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79"/>
        <w:ind w:right="688"/>
      </w:pPr>
      <w:r>
        <w:rPr/>
        <w:t>FINANCIAL</w:t>
      </w:r>
      <w:r>
        <w:rPr>
          <w:spacing w:val="-13"/>
        </w:rPr>
        <w:t> </w:t>
      </w:r>
      <w:r>
        <w:rPr/>
        <w:t>INTEGRATION</w:t>
      </w:r>
      <w:r>
        <w:rPr>
          <w:spacing w:val="-11"/>
        </w:rPr>
        <w:t> </w:t>
      </w:r>
      <w:r>
        <w:rPr/>
        <w:t>AND</w:t>
      </w:r>
      <w:r>
        <w:rPr>
          <w:spacing w:val="-8"/>
        </w:rPr>
        <w:t> </w:t>
      </w:r>
      <w:r>
        <w:rPr/>
        <w:t>ECONOMIC</w:t>
      </w:r>
      <w:r>
        <w:rPr>
          <w:spacing w:val="-11"/>
        </w:rPr>
        <w:t> </w:t>
      </w:r>
      <w:r>
        <w:rPr/>
        <w:t>GROWTH</w:t>
      </w:r>
      <w:r>
        <w:rPr>
          <w:spacing w:val="-11"/>
        </w:rPr>
        <w:t> </w:t>
      </w:r>
      <w:r>
        <w:rPr/>
        <w:t>IN</w:t>
      </w:r>
      <w:r>
        <w:rPr>
          <w:spacing w:val="-10"/>
        </w:rPr>
        <w:t> </w:t>
      </w:r>
      <w:r>
        <w:rPr>
          <w:spacing w:val="-2"/>
        </w:rPr>
        <w:t>NIGERIA</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50"/>
        <w:ind w:left="0"/>
        <w:rPr>
          <w:b/>
        </w:rPr>
      </w:pPr>
    </w:p>
    <w:p>
      <w:pPr>
        <w:spacing w:before="0"/>
        <w:ind w:left="173" w:right="688" w:firstLine="0"/>
        <w:jc w:val="center"/>
        <w:rPr>
          <w:b/>
          <w:sz w:val="25"/>
        </w:rPr>
      </w:pPr>
      <w:r>
        <w:rPr/>
        <mc:AlternateContent>
          <mc:Choice Requires="wps">
            <w:drawing>
              <wp:anchor distT="0" distB="0" distL="0" distR="0" allowOverlap="1" layoutInCell="1" locked="0" behindDoc="1" simplePos="0" relativeHeight="478002176">
                <wp:simplePos x="0" y="0"/>
                <wp:positionH relativeFrom="page">
                  <wp:posOffset>950112</wp:posOffset>
                </wp:positionH>
                <wp:positionV relativeFrom="paragraph">
                  <wp:posOffset>-989525</wp:posOffset>
                </wp:positionV>
                <wp:extent cx="5505450" cy="5661025"/>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77.915382pt;width:433.5pt;height:445.75pt;mso-position-horizontal-relative:page;mso-position-vertical-relative:paragraph;z-index:-25314304" id="docshape2" coordorigin="1496,-1558" coordsize="8670,8915" path="m2562,7161l1691,6290,1496,6485,2367,7356,2562,7161xm3154,6485l3153,6446,3148,6403,3139,6359,3125,6315,3106,6272,3083,6228,3055,6186,3025,6145,2991,6105,2954,6066,2435,5546,2241,5741,2772,6272,2805,6308,2829,6344,2846,6379,2856,6413,2858,6446,2851,6476,2837,6505,2816,6531,2790,6552,2761,6566,2730,6572,2697,6570,2663,6561,2628,6544,2593,6520,2557,6488,2026,5956,1831,6150,2351,6669,2385,6702,2424,6734,2468,6766,2516,6799,2548,6818,2583,6834,2620,6847,2658,6857,2697,6865,2733,6869,2767,6869,2800,6866,2831,6859,2863,6847,2895,6831,2926,6810,2957,6787,2985,6764,3011,6742,3035,6719,3071,6679,3102,6638,3125,6596,3142,6554,3150,6521,3154,6485xm3882,5702l3876,5638,3860,5572,3834,5506,3806,5451,3771,5395,3728,5338,3678,5279,3661,5260,3621,5218,3597,5196,3597,5690,3592,5730,3577,5767,3551,5800,3518,5826,3481,5841,3441,5845,3396,5839,3347,5821,3294,5789,3235,5744,3171,5685,3112,5621,3066,5562,3035,5508,3016,5458,3010,5414,3014,5374,3029,5338,3053,5306,3086,5281,3122,5265,3163,5260,3207,5265,3255,5282,3307,5312,3363,5354,3423,5409,3488,5479,3538,5542,3572,5598,3591,5646,3597,5690,3597,5196,3551,5153,3482,5098,3413,5053,3344,5018,3276,4992,3209,4976,3130,4971,3055,4981,2983,5006,2914,5047,2850,5102,2796,5166,2756,5233,2732,5305,2723,5380,2729,5460,2746,5528,2772,5597,2808,5667,2854,5737,2910,5807,2976,5878,3036,5935,3096,5985,3156,6027,3215,6062,3273,6089,3344,6113,3411,6127,3475,6131,3535,6124,3593,6108,3649,6081,3705,6043,3758,5995,3805,5941,3841,5885,3858,5845,3866,5826,3879,5765,3882,5702xm4153,5122l3966,4935,3712,5190,3899,5377,4153,5122xm4664,5060l3793,4189,3598,4384,4469,5255,4664,5060xm4998,4726l4675,4402,4781,4296,4832,4236,4837,4226,4866,4174,4883,4111,4882,4046,4866,3981,4843,3930,4836,3915,4792,3849,4733,3783,4670,3726,4607,3683,4598,3679,4598,4072,4597,4097,4587,4124,4570,4151,4546,4178,4498,4226,4304,4031,4359,3976,4386,3953,4412,3937,4438,3930,4462,3930,4486,3937,4509,3947,4531,3962,4552,3980,4570,4002,4584,4024,4593,4047,4598,4072,4598,3679,4544,3653,4483,3637,4423,3636,4365,3651,4309,3681,4255,3726,3931,4050,4803,4921,4998,4726xm5788,3936l5132,3280,5330,3081,5115,2866,4524,3458,4739,3673,4937,3474,5593,4130,5788,3936xm6423,3300l5767,2644,5966,2446,5751,2231,5159,2822,5374,3037,5573,2839,6229,3495,6423,3300xm7157,2427l7151,2363,7135,2298,7109,2231,7081,2176,7046,2120,7003,2063,6953,2004,6935,1985,6896,1944,6872,1921,6872,2415,6867,2455,6851,2492,6825,2525,6793,2551,6756,2566,6716,2570,6671,2564,6622,2546,6569,2514,6510,2469,6446,2410,6387,2346,6341,2287,6309,2233,6291,2183,6285,2139,6289,2099,6304,2063,6328,2031,6361,2006,6397,1990,6438,1985,6482,1990,6530,2008,6582,2037,6638,2080,6698,2135,6763,2204,6813,2267,6847,2323,6866,2372,6872,2415,6872,1921,6826,1879,6756,1823,6687,1778,6619,1743,6551,1717,6483,1701,6405,1696,6329,1706,6258,1731,6189,1772,6125,1827,6071,1891,6031,1958,6007,2030,5998,2106,6004,2185,6021,2254,6047,2323,6083,2392,6129,2462,6184,2532,6250,2603,6311,2660,6371,2710,6431,2752,6490,2787,6548,2814,6619,2839,6686,2852,6750,2856,6810,2849,6868,2833,6924,2806,6979,2768,7033,2720,7080,2666,7116,2610,7133,2570,7141,2551,7154,2490,7157,2427xm8170,1432l8165,1383,8153,1332,8134,1280,8109,1225,8079,1170,8041,1112,7980,1137,7799,1211,7831,1258,7855,1301,7873,1341,7884,1379,7887,1414,7881,1447,7866,1478,7843,1507,7812,1531,7778,1545,7740,1549,7700,1543,7653,1524,7600,1490,7538,1441,7469,1376,7417,1320,7375,1268,7344,1220,7324,1177,7311,1126,7312,1079,7325,1038,7352,1002,7367,989,7384,979,7402,971,7422,966,7442,964,7464,965,7486,968,7509,974,7524,980,7542,988,7563,999,7586,1013,7705,788,7622,743,7543,710,7469,691,7400,685,7333,693,7269,716,7206,753,7146,806,7092,868,7054,935,7030,1005,7021,1079,7027,1157,7044,1224,7070,1292,7106,1360,7153,1430,7209,1501,7276,1573,7341,1633,7404,1685,7467,1729,7529,1765,7590,1792,7662,1815,7730,1828,7791,1831,7847,1824,7900,1808,7952,1781,8004,1744,8056,1698,8094,1655,8125,1612,8147,1568,8161,1524,8169,1479,8170,1432xm8868,716l8861,652,8846,587,8820,520,8792,466,8757,410,8714,352,8664,293,8646,274,8607,233,8583,210,8583,704,8578,744,8562,781,8536,814,8504,840,8467,855,8427,859,8382,853,8333,835,8279,803,8221,758,8157,699,8098,635,8052,576,8020,522,8002,473,7996,428,8000,388,8014,352,8039,320,8071,295,8108,279,8149,274,8193,279,8241,297,8293,326,8349,369,8409,424,8474,493,8524,556,8558,612,8577,661,8583,704,8583,210,8537,168,8467,112,8398,67,8330,32,8262,6,8194,-10,8116,-15,8040,-5,7968,20,7900,61,7835,116,7781,180,7742,247,7718,319,7709,395,7715,474,7731,543,7758,612,7794,681,7839,751,7895,822,7961,892,8022,950,8082,999,8142,1041,8201,1076,8259,1103,8329,1128,8397,1141,8461,1145,8521,1138,8579,1122,8635,1095,8690,1057,8744,1009,8791,956,8827,899,8844,859,8852,841,8865,779,8868,716xm9348,376l9025,52,9132,-55,9182,-114,9188,-124,9216,-176,9233,-239,9233,-304,9217,-370,9194,-420,9187,-435,9142,-501,9084,-567,9020,-624,8957,-668,8948,-672,8948,-279,8947,-253,8938,-227,8921,-200,8896,-172,8849,-124,8654,-319,8710,-374,8737,-398,8763,-413,8788,-420,8812,-420,8836,-413,8859,-403,8881,-389,8902,-370,8920,-349,8934,-326,8943,-303,8948,-279,8948,-672,8895,-697,8833,-713,8773,-714,8715,-699,8659,-669,8605,-624,8282,-300,9153,571,9348,376xm10166,-442l9801,-807,9748,-957,9593,-1408,9540,-1558,9325,-1343,9353,-1273,9436,-1062,9492,-922,9422,-950,9211,-1033,9071,-1089,8854,-873,9005,-820,9456,-665,9606,-612,9971,-247,10166,-442xe" filled="true" fillcolor="#c0c0c0" stroked="false">
                <v:path arrowok="t"/>
                <v:fill opacity="32896f" type="solid"/>
                <w10:wrap type="none"/>
              </v:shape>
            </w:pict>
          </mc:Fallback>
        </mc:AlternateContent>
      </w:r>
      <w:r>
        <w:rPr>
          <w:b/>
          <w:spacing w:val="-5"/>
          <w:sz w:val="25"/>
        </w:rPr>
        <w:t>BY</w:t>
      </w:r>
    </w:p>
    <w:p>
      <w:pPr>
        <w:pStyle w:val="BodyText"/>
        <w:ind w:left="0"/>
        <w:rPr>
          <w:b/>
        </w:rPr>
      </w:pPr>
    </w:p>
    <w:p>
      <w:pPr>
        <w:pStyle w:val="BodyText"/>
        <w:ind w:left="0"/>
        <w:rPr>
          <w:b/>
        </w:rPr>
      </w:pPr>
    </w:p>
    <w:p>
      <w:pPr>
        <w:pStyle w:val="BodyText"/>
        <w:spacing w:before="143"/>
        <w:ind w:left="0"/>
        <w:rPr>
          <w:b/>
        </w:rPr>
      </w:pPr>
    </w:p>
    <w:p>
      <w:pPr>
        <w:spacing w:line="360" w:lineRule="auto" w:before="0"/>
        <w:ind w:left="2826" w:right="3342" w:firstLine="0"/>
        <w:jc w:val="center"/>
        <w:rPr>
          <w:b/>
          <w:sz w:val="25"/>
        </w:rPr>
      </w:pPr>
      <w:r>
        <w:rPr>
          <w:b/>
          <w:sz w:val="25"/>
        </w:rPr>
        <w:t>OBRIKI,</w:t>
      </w:r>
      <w:r>
        <w:rPr>
          <w:b/>
          <w:spacing w:val="-16"/>
          <w:sz w:val="25"/>
        </w:rPr>
        <w:t> </w:t>
      </w:r>
      <w:r>
        <w:rPr>
          <w:b/>
          <w:sz w:val="25"/>
        </w:rPr>
        <w:t>Samson</w:t>
      </w:r>
      <w:r>
        <w:rPr>
          <w:b/>
          <w:spacing w:val="-16"/>
          <w:sz w:val="25"/>
        </w:rPr>
        <w:t> </w:t>
      </w:r>
      <w:r>
        <w:rPr>
          <w:b/>
          <w:sz w:val="25"/>
        </w:rPr>
        <w:t>Tegheri </w:t>
      </w:r>
      <w:r>
        <w:rPr>
          <w:b/>
          <w:spacing w:val="-2"/>
          <w:sz w:val="25"/>
        </w:rPr>
        <w:t>PG17/021885/BMS</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45"/>
        <w:ind w:left="0"/>
        <w:rPr>
          <w:b/>
        </w:rPr>
      </w:pPr>
    </w:p>
    <w:p>
      <w:pPr>
        <w:spacing w:before="0"/>
        <w:ind w:left="170" w:right="688" w:firstLine="0"/>
        <w:jc w:val="center"/>
        <w:rPr>
          <w:b/>
          <w:sz w:val="25"/>
        </w:rPr>
      </w:pPr>
      <w:r>
        <w:rPr>
          <w:b/>
          <w:spacing w:val="-2"/>
          <w:sz w:val="25"/>
        </w:rPr>
        <w:t>IGBINEDION</w:t>
      </w:r>
      <w:r>
        <w:rPr>
          <w:b/>
          <w:spacing w:val="5"/>
          <w:sz w:val="25"/>
        </w:rPr>
        <w:t> </w:t>
      </w:r>
      <w:r>
        <w:rPr>
          <w:b/>
          <w:spacing w:val="-2"/>
          <w:sz w:val="25"/>
        </w:rPr>
        <w:t>UNIVERSITY,</w:t>
      </w:r>
      <w:r>
        <w:rPr>
          <w:b/>
          <w:spacing w:val="5"/>
          <w:sz w:val="25"/>
        </w:rPr>
        <w:t> </w:t>
      </w:r>
      <w:r>
        <w:rPr>
          <w:b/>
          <w:spacing w:val="-2"/>
          <w:sz w:val="25"/>
        </w:rPr>
        <w:t>OKADA</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spacing w:before="0"/>
        <w:ind w:left="170" w:right="691" w:firstLine="0"/>
        <w:jc w:val="center"/>
        <w:rPr>
          <w:b/>
          <w:sz w:val="25"/>
        </w:rPr>
      </w:pPr>
      <w:r>
        <w:rPr>
          <w:b/>
          <w:sz w:val="25"/>
        </w:rPr>
        <w:t>OCTOBER,</w:t>
      </w:r>
      <w:r>
        <w:rPr>
          <w:b/>
          <w:spacing w:val="-16"/>
          <w:sz w:val="25"/>
        </w:rPr>
        <w:t> </w:t>
      </w:r>
      <w:r>
        <w:rPr>
          <w:b/>
          <w:spacing w:val="-2"/>
          <w:sz w:val="25"/>
        </w:rPr>
        <w:t>2021.</w:t>
      </w:r>
    </w:p>
    <w:p>
      <w:pPr>
        <w:spacing w:after="0"/>
        <w:jc w:val="center"/>
        <w:rPr>
          <w:sz w:val="25"/>
        </w:rPr>
        <w:sectPr>
          <w:footerReference w:type="default" r:id="rId5"/>
          <w:type w:val="continuous"/>
          <w:pgSz w:w="12240" w:h="15840"/>
          <w:pgMar w:header="0" w:footer="1012" w:top="1440" w:bottom="1200" w:left="1220" w:right="700"/>
          <w:pgNumType w:start="1"/>
        </w:sectPr>
      </w:pPr>
    </w:p>
    <w:p>
      <w:pPr>
        <w:spacing w:line="427" w:lineRule="auto" w:before="60"/>
        <w:ind w:left="170" w:right="688" w:firstLine="0"/>
        <w:jc w:val="center"/>
        <w:rPr>
          <w:b/>
          <w:sz w:val="25"/>
        </w:rPr>
      </w:pPr>
      <w:r>
        <w:rPr>
          <w:b/>
          <w:sz w:val="25"/>
        </w:rPr>
        <w:t>FINANCIAL</w:t>
      </w:r>
      <w:r>
        <w:rPr>
          <w:b/>
          <w:spacing w:val="-8"/>
          <w:sz w:val="25"/>
        </w:rPr>
        <w:t> </w:t>
      </w:r>
      <w:r>
        <w:rPr>
          <w:b/>
          <w:sz w:val="25"/>
        </w:rPr>
        <w:t>INTEGRATION</w:t>
      </w:r>
      <w:r>
        <w:rPr>
          <w:b/>
          <w:spacing w:val="-8"/>
          <w:sz w:val="25"/>
        </w:rPr>
        <w:t> </w:t>
      </w:r>
      <w:r>
        <w:rPr>
          <w:b/>
          <w:sz w:val="25"/>
        </w:rPr>
        <w:t>AND</w:t>
      </w:r>
      <w:r>
        <w:rPr>
          <w:b/>
          <w:spacing w:val="-4"/>
          <w:sz w:val="25"/>
        </w:rPr>
        <w:t> </w:t>
      </w:r>
      <w:r>
        <w:rPr>
          <w:b/>
          <w:sz w:val="25"/>
        </w:rPr>
        <w:t>ECONOMIC</w:t>
      </w:r>
      <w:r>
        <w:rPr>
          <w:b/>
          <w:spacing w:val="-8"/>
          <w:sz w:val="25"/>
        </w:rPr>
        <w:t> </w:t>
      </w:r>
      <w:r>
        <w:rPr>
          <w:b/>
          <w:sz w:val="25"/>
        </w:rPr>
        <w:t>GROWTH</w:t>
      </w:r>
      <w:r>
        <w:rPr>
          <w:b/>
          <w:spacing w:val="-8"/>
          <w:sz w:val="25"/>
        </w:rPr>
        <w:t> </w:t>
      </w:r>
      <w:r>
        <w:rPr>
          <w:b/>
          <w:sz w:val="25"/>
        </w:rPr>
        <w:t>IN</w:t>
      </w:r>
      <w:r>
        <w:rPr>
          <w:b/>
          <w:spacing w:val="-6"/>
          <w:sz w:val="25"/>
        </w:rPr>
        <w:t> </w:t>
      </w:r>
      <w:r>
        <w:rPr>
          <w:b/>
          <w:sz w:val="25"/>
        </w:rPr>
        <w:t>NIGERIA FINANCIAL</w:t>
      </w:r>
      <w:r>
        <w:rPr>
          <w:b/>
          <w:spacing w:val="-13"/>
          <w:sz w:val="25"/>
        </w:rPr>
        <w:t> </w:t>
      </w:r>
      <w:r>
        <w:rPr>
          <w:b/>
          <w:sz w:val="25"/>
        </w:rPr>
        <w:t>INTEGRATION</w:t>
      </w:r>
      <w:r>
        <w:rPr>
          <w:b/>
          <w:spacing w:val="-11"/>
          <w:sz w:val="25"/>
        </w:rPr>
        <w:t> </w:t>
      </w:r>
      <w:r>
        <w:rPr>
          <w:b/>
          <w:sz w:val="25"/>
        </w:rPr>
        <w:t>AND</w:t>
      </w:r>
      <w:r>
        <w:rPr>
          <w:b/>
          <w:spacing w:val="-8"/>
          <w:sz w:val="25"/>
        </w:rPr>
        <w:t> </w:t>
      </w:r>
      <w:r>
        <w:rPr>
          <w:b/>
          <w:sz w:val="25"/>
        </w:rPr>
        <w:t>ECONOMIC</w:t>
      </w:r>
      <w:r>
        <w:rPr>
          <w:b/>
          <w:spacing w:val="-11"/>
          <w:sz w:val="25"/>
        </w:rPr>
        <w:t> </w:t>
      </w:r>
      <w:r>
        <w:rPr>
          <w:b/>
          <w:sz w:val="25"/>
        </w:rPr>
        <w:t>GROWTH</w:t>
      </w:r>
      <w:r>
        <w:rPr>
          <w:b/>
          <w:spacing w:val="-11"/>
          <w:sz w:val="25"/>
        </w:rPr>
        <w:t> </w:t>
      </w:r>
      <w:r>
        <w:rPr>
          <w:b/>
          <w:sz w:val="25"/>
        </w:rPr>
        <w:t>IN</w:t>
      </w:r>
      <w:r>
        <w:rPr>
          <w:b/>
          <w:spacing w:val="-10"/>
          <w:sz w:val="25"/>
        </w:rPr>
        <w:t> </w:t>
      </w:r>
      <w:r>
        <w:rPr>
          <w:b/>
          <w:spacing w:val="-2"/>
          <w:sz w:val="25"/>
        </w:rPr>
        <w:t>NIGERIA</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284"/>
        <w:ind w:left="0"/>
        <w:rPr>
          <w:b/>
        </w:rPr>
      </w:pPr>
    </w:p>
    <w:p>
      <w:pPr>
        <w:spacing w:before="0"/>
        <w:ind w:left="173" w:right="688" w:firstLine="0"/>
        <w:jc w:val="center"/>
        <w:rPr>
          <w:b/>
          <w:sz w:val="25"/>
        </w:rPr>
      </w:pPr>
      <w:r>
        <w:rPr/>
        <mc:AlternateContent>
          <mc:Choice Requires="wps">
            <w:drawing>
              <wp:anchor distT="0" distB="0" distL="0" distR="0" allowOverlap="1" layoutInCell="1" locked="0" behindDoc="1" simplePos="0" relativeHeight="478002688">
                <wp:simplePos x="0" y="0"/>
                <wp:positionH relativeFrom="page">
                  <wp:posOffset>950112</wp:posOffset>
                </wp:positionH>
                <wp:positionV relativeFrom="paragraph">
                  <wp:posOffset>-459988</wp:posOffset>
                </wp:positionV>
                <wp:extent cx="5505450" cy="566102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36.219582pt;width:433.5pt;height:445.75pt;mso-position-horizontal-relative:page;mso-position-vertical-relative:paragraph;z-index:-25313792" id="docshape3" coordorigin="1496,-724" coordsize="8670,8915" path="m2562,7995l1691,7124,1496,7319,2367,8190,2562,7995xm3154,7319l3153,7280,3148,7237,3139,7193,3125,7149,3106,7106,3083,7062,3055,7020,3025,6979,2991,6939,2954,6900,2435,6380,2241,6575,2772,7106,2805,7142,2829,7178,2846,7213,2856,7247,2858,7279,2851,7310,2837,7338,2816,7365,2790,7386,2761,7400,2730,7406,2697,7404,2663,7395,2628,7378,2593,7353,2557,7322,2026,6790,1831,6984,2351,7503,2385,7536,2424,7568,2468,7600,2516,7633,2548,7652,2583,7667,2620,7681,2658,7691,2697,7699,2733,7703,2767,7703,2800,7700,2831,7693,2863,7681,2895,7665,2926,7644,2957,7621,2985,7598,3011,7575,3035,7553,3071,7512,3102,7472,3125,7430,3142,7388,3150,7355,3154,7319xm3882,6536l3876,6472,3860,6406,3834,6340,3806,6285,3771,6229,3728,6172,3678,6113,3661,6094,3621,6052,3597,6030,3597,6524,3592,6564,3577,6601,3551,6634,3518,6659,3481,6674,3441,6679,3396,6673,3347,6654,3294,6623,3235,6578,3171,6519,3112,6455,3066,6396,3035,6341,3016,6292,3010,6248,3014,6208,3029,6172,3053,6140,3086,6114,3122,6099,3163,6094,3207,6099,3255,6116,3307,6146,3363,6188,3423,6243,3488,6313,3538,6376,3572,6432,3591,6480,3597,6524,3597,6030,3551,5987,3482,5932,3413,5887,3344,5852,3276,5826,3209,5810,3130,5804,3055,5814,2983,5840,2914,5880,2850,5936,2796,5999,2756,6067,2732,6139,2723,6214,2729,6294,2746,6362,2772,6431,2808,6501,2854,6571,2910,6641,2976,6712,3036,6769,3096,6819,3156,6861,3215,6896,3273,6923,3344,6947,3411,6961,3475,6964,3535,6958,3593,6942,3649,6915,3705,6877,3758,6829,3805,6775,3841,6719,3858,6679,3866,6660,3879,6599,3882,6536xm4153,5956l3966,5769,3712,6024,3899,6211,4153,5956xm4664,5894l3793,5023,3598,5218,4469,6089,4664,5894xm4998,5560l4675,5236,4781,5130,4832,5070,4837,5060,4866,5008,4883,4945,4882,4880,4866,4815,4843,4764,4836,4749,4792,4683,4733,4617,4670,4560,4607,4517,4598,4513,4598,4906,4597,4931,4587,4957,4570,4985,4546,5012,4498,5060,4304,4865,4359,4810,4386,4787,4412,4771,4438,4764,4462,4764,4486,4771,4509,4781,4531,4796,4552,4814,4570,4836,4584,4858,4593,4881,4598,4906,4598,4513,4544,4487,4483,4471,4423,4470,4365,4485,4309,4515,4255,4560,3931,4884,4803,5755,4998,5560xm5788,4770l5132,4114,5330,3915,5115,3700,4524,4292,4739,4507,4937,4308,5593,4964,5788,4770xm6423,4134l5767,3478,5966,3280,5751,3065,5159,3656,5374,3871,5573,3673,6229,4329,6423,4134xm7157,3261l7151,3197,7135,3131,7109,3065,7081,3010,7046,2954,7003,2897,6953,2838,6935,2819,6896,2778,6872,2755,6872,3249,6867,3289,6851,3326,6825,3359,6793,3385,6756,3400,6716,3404,6671,3398,6622,3379,6569,3348,6510,3303,6446,3244,6387,3180,6341,3121,6309,3066,6291,3017,6285,2973,6289,2933,6304,2897,6328,2865,6361,2840,6397,2824,6438,2819,6482,2824,6530,2842,6582,2871,6638,2914,6698,2969,6763,3038,6813,3101,6847,3157,6866,3206,6872,3249,6872,2755,6826,2712,6756,2657,6687,2612,6619,2577,6551,2551,6483,2535,6405,2530,6329,2540,6258,2565,6189,2606,6125,2661,6071,2724,6031,2792,6007,2864,5998,2940,6004,3019,6021,3088,6047,3156,6083,3226,6129,3296,6184,3366,6250,3437,6311,3494,6371,3544,6431,3586,6490,3621,6548,3648,6619,3672,6686,3686,6750,3690,6810,3683,6868,3667,6924,3640,6979,3602,7033,3554,7080,3500,7116,3444,7133,3404,7141,3385,7154,3324,7157,3261xm8170,2266l8165,2217,8153,2166,8134,2114,8109,2059,8079,2003,8041,1946,7980,1971,7799,2045,7831,2092,7855,2135,7873,2175,7884,2213,7887,2248,7881,2281,7866,2312,7843,2341,7812,2365,7778,2379,7740,2383,7700,2377,7653,2358,7600,2324,7538,2275,7469,2210,7417,2154,7375,2102,7344,2054,7324,2011,7311,1960,7312,1913,7325,1872,7352,1836,7367,1823,7384,1813,7402,1805,7422,1800,7442,1798,7464,1799,7486,1802,7509,1808,7524,1814,7542,1822,7563,1833,7586,1847,7705,1622,7622,1577,7543,1544,7469,1525,7400,1519,7333,1527,7269,1550,7206,1587,7146,1640,7092,1702,7054,1769,7030,1839,7021,1913,7027,1991,7044,2058,7070,2126,7106,2194,7153,2264,7209,2335,7276,2407,7341,2467,7404,2519,7467,2563,7529,2598,7590,2626,7662,2649,7730,2662,7791,2665,7847,2658,7900,2642,7952,2615,8004,2578,8056,2532,8094,2489,8125,2446,8147,2402,8161,2358,8169,2313,8170,2266xm8868,1550l8861,1486,8846,1421,8820,1354,8792,1299,8757,1243,8714,1186,8664,1127,8646,1108,8607,1067,8583,1044,8583,1538,8578,1578,8562,1615,8536,1648,8504,1674,8467,1689,8427,1693,8382,1687,8333,1669,8279,1637,8221,1592,8157,1533,8098,1469,8052,1410,8020,1356,8002,1307,7996,1262,8000,1222,8014,1186,8039,1154,8071,1129,8108,1113,8149,1108,8193,1113,8241,1131,8293,1160,8349,1203,8409,1258,8474,1327,8524,1390,8558,1446,8577,1495,8583,1538,8583,1044,8537,1001,8467,946,8398,901,8330,866,8262,840,8194,824,8116,819,8040,829,7968,854,7900,895,7835,950,7781,1014,7742,1081,7718,1153,7709,1229,7715,1308,7731,1377,7758,1446,7794,1515,7839,1585,7895,1656,7961,1726,8022,1784,8082,1833,8142,1875,8201,1910,8259,1937,8329,1962,8397,1975,8461,1979,8521,1972,8579,1956,8635,1929,8690,1891,8744,1843,8791,1789,8827,1733,8844,1693,8852,1674,8865,1613,8868,1550xm9348,1209l9025,886,9132,779,9182,720,9188,710,9216,658,9233,595,9233,530,9217,464,9194,413,9187,398,9142,333,9084,267,9020,210,8957,166,8948,162,8948,555,8947,581,8938,607,8921,634,8896,662,8849,710,8654,515,8710,460,8737,436,8763,421,8788,413,8812,414,8836,420,8859,431,8881,445,8902,464,8920,485,8934,508,8943,531,8948,555,8948,162,8895,137,8833,121,8773,120,8715,135,8659,165,8605,210,8282,534,9153,1405,9348,1209xm10166,392l9801,27,9748,-123,9593,-574,9540,-724,9325,-509,9353,-439,9436,-228,9492,-88,9422,-116,9211,-199,9071,-255,8854,-39,9005,14,9456,169,9606,222,9971,587,10166,392xe" filled="true" fillcolor="#c0c0c0" stroked="false">
                <v:path arrowok="t"/>
                <v:fill opacity="32896f" type="solid"/>
                <w10:wrap type="none"/>
              </v:shape>
            </w:pict>
          </mc:Fallback>
        </mc:AlternateContent>
      </w:r>
      <w:r>
        <w:rPr>
          <w:b/>
          <w:spacing w:val="-5"/>
          <w:sz w:val="25"/>
        </w:rPr>
        <w:t>BY</w:t>
      </w:r>
    </w:p>
    <w:p>
      <w:pPr>
        <w:pStyle w:val="BodyText"/>
        <w:ind w:left="0"/>
        <w:rPr>
          <w:b/>
        </w:rPr>
      </w:pPr>
    </w:p>
    <w:p>
      <w:pPr>
        <w:pStyle w:val="BodyText"/>
        <w:spacing w:before="2"/>
        <w:ind w:left="0"/>
        <w:rPr>
          <w:b/>
        </w:rPr>
      </w:pPr>
    </w:p>
    <w:p>
      <w:pPr>
        <w:spacing w:before="0"/>
        <w:ind w:left="2826" w:right="3342" w:firstLine="0"/>
        <w:jc w:val="center"/>
        <w:rPr>
          <w:b/>
          <w:sz w:val="25"/>
        </w:rPr>
      </w:pPr>
      <w:r>
        <w:rPr>
          <w:b/>
          <w:sz w:val="25"/>
        </w:rPr>
        <w:t>OBRIKI,</w:t>
      </w:r>
      <w:r>
        <w:rPr>
          <w:b/>
          <w:spacing w:val="-16"/>
          <w:sz w:val="25"/>
        </w:rPr>
        <w:t> </w:t>
      </w:r>
      <w:r>
        <w:rPr>
          <w:b/>
          <w:sz w:val="25"/>
        </w:rPr>
        <w:t>Samson</w:t>
      </w:r>
      <w:r>
        <w:rPr>
          <w:b/>
          <w:spacing w:val="-16"/>
          <w:sz w:val="25"/>
        </w:rPr>
        <w:t> </w:t>
      </w:r>
      <w:r>
        <w:rPr>
          <w:b/>
          <w:sz w:val="25"/>
        </w:rPr>
        <w:t>Tegheri </w:t>
      </w:r>
      <w:r>
        <w:rPr>
          <w:b/>
          <w:spacing w:val="-2"/>
          <w:sz w:val="25"/>
        </w:rPr>
        <w:t>PG17/021885/BMS</w:t>
      </w:r>
    </w:p>
    <w:p>
      <w:pPr>
        <w:pStyle w:val="BodyText"/>
        <w:ind w:left="0"/>
        <w:rPr>
          <w:b/>
        </w:rPr>
      </w:pPr>
    </w:p>
    <w:p>
      <w:pPr>
        <w:pStyle w:val="BodyText"/>
        <w:ind w:left="0"/>
        <w:rPr>
          <w:b/>
        </w:rPr>
      </w:pPr>
    </w:p>
    <w:p>
      <w:pPr>
        <w:pStyle w:val="BodyText"/>
        <w:ind w:left="0"/>
        <w:rPr>
          <w:b/>
        </w:rPr>
      </w:pPr>
    </w:p>
    <w:p>
      <w:pPr>
        <w:pStyle w:val="BodyText"/>
        <w:spacing w:before="1"/>
        <w:ind w:left="0"/>
        <w:rPr>
          <w:b/>
        </w:rPr>
      </w:pPr>
    </w:p>
    <w:p>
      <w:pPr>
        <w:spacing w:before="0"/>
        <w:ind w:left="170" w:right="693" w:firstLine="0"/>
        <w:jc w:val="center"/>
        <w:rPr>
          <w:b/>
          <w:sz w:val="25"/>
        </w:rPr>
      </w:pPr>
      <w:r>
        <w:rPr>
          <w:b/>
          <w:sz w:val="25"/>
        </w:rPr>
        <w:t>BEING</w:t>
      </w:r>
      <w:r>
        <w:rPr>
          <w:b/>
          <w:spacing w:val="-9"/>
          <w:sz w:val="25"/>
        </w:rPr>
        <w:t> </w:t>
      </w:r>
      <w:r>
        <w:rPr>
          <w:b/>
          <w:sz w:val="25"/>
        </w:rPr>
        <w:t>A</w:t>
      </w:r>
      <w:r>
        <w:rPr>
          <w:b/>
          <w:spacing w:val="-7"/>
          <w:sz w:val="25"/>
        </w:rPr>
        <w:t> </w:t>
      </w:r>
      <w:r>
        <w:rPr>
          <w:b/>
          <w:sz w:val="25"/>
        </w:rPr>
        <w:t>THESIS</w:t>
      </w:r>
      <w:r>
        <w:rPr>
          <w:b/>
          <w:spacing w:val="-9"/>
          <w:sz w:val="25"/>
        </w:rPr>
        <w:t> </w:t>
      </w:r>
      <w:r>
        <w:rPr>
          <w:b/>
          <w:sz w:val="25"/>
        </w:rPr>
        <w:t>IN</w:t>
      </w:r>
      <w:r>
        <w:rPr>
          <w:b/>
          <w:spacing w:val="-9"/>
          <w:sz w:val="25"/>
        </w:rPr>
        <w:t> </w:t>
      </w:r>
      <w:r>
        <w:rPr>
          <w:b/>
          <w:sz w:val="25"/>
        </w:rPr>
        <w:t>THE</w:t>
      </w:r>
      <w:r>
        <w:rPr>
          <w:b/>
          <w:spacing w:val="-8"/>
          <w:sz w:val="25"/>
        </w:rPr>
        <w:t> </w:t>
      </w:r>
      <w:r>
        <w:rPr>
          <w:b/>
          <w:sz w:val="25"/>
        </w:rPr>
        <w:t>DEPARTMENT</w:t>
      </w:r>
      <w:r>
        <w:rPr>
          <w:b/>
          <w:spacing w:val="-7"/>
          <w:sz w:val="25"/>
        </w:rPr>
        <w:t> </w:t>
      </w:r>
      <w:r>
        <w:rPr>
          <w:b/>
          <w:spacing w:val="-5"/>
          <w:sz w:val="25"/>
        </w:rPr>
        <w:t>OF</w:t>
      </w:r>
    </w:p>
    <w:p>
      <w:pPr>
        <w:spacing w:line="360" w:lineRule="auto" w:before="142"/>
        <w:ind w:left="170" w:right="691" w:firstLine="0"/>
        <w:jc w:val="center"/>
        <w:rPr>
          <w:b/>
          <w:sz w:val="25"/>
        </w:rPr>
      </w:pPr>
      <w:r>
        <w:rPr>
          <w:b/>
          <w:sz w:val="25"/>
        </w:rPr>
        <w:t>BANKING</w:t>
      </w:r>
      <w:r>
        <w:rPr>
          <w:b/>
          <w:spacing w:val="-6"/>
          <w:sz w:val="25"/>
        </w:rPr>
        <w:t> </w:t>
      </w:r>
      <w:r>
        <w:rPr>
          <w:b/>
          <w:sz w:val="25"/>
        </w:rPr>
        <w:t>AND</w:t>
      </w:r>
      <w:r>
        <w:rPr>
          <w:b/>
          <w:spacing w:val="-6"/>
          <w:sz w:val="25"/>
        </w:rPr>
        <w:t> </w:t>
      </w:r>
      <w:r>
        <w:rPr>
          <w:b/>
          <w:sz w:val="25"/>
        </w:rPr>
        <w:t>FINANCE,</w:t>
      </w:r>
      <w:r>
        <w:rPr>
          <w:b/>
          <w:spacing w:val="-4"/>
          <w:sz w:val="25"/>
        </w:rPr>
        <w:t> </w:t>
      </w:r>
      <w:r>
        <w:rPr>
          <w:b/>
          <w:sz w:val="25"/>
        </w:rPr>
        <w:t>MALLAM</w:t>
      </w:r>
      <w:r>
        <w:rPr>
          <w:b/>
          <w:spacing w:val="-6"/>
          <w:sz w:val="25"/>
        </w:rPr>
        <w:t> </w:t>
      </w:r>
      <w:r>
        <w:rPr>
          <w:b/>
          <w:sz w:val="25"/>
        </w:rPr>
        <w:t>SANUSI</w:t>
      </w:r>
      <w:r>
        <w:rPr>
          <w:b/>
          <w:spacing w:val="-5"/>
          <w:sz w:val="25"/>
        </w:rPr>
        <w:t> </w:t>
      </w:r>
      <w:r>
        <w:rPr>
          <w:b/>
          <w:sz w:val="25"/>
        </w:rPr>
        <w:t>LAMIDO</w:t>
      </w:r>
      <w:r>
        <w:rPr>
          <w:b/>
          <w:spacing w:val="-6"/>
          <w:sz w:val="25"/>
        </w:rPr>
        <w:t> </w:t>
      </w:r>
      <w:r>
        <w:rPr>
          <w:b/>
          <w:sz w:val="25"/>
        </w:rPr>
        <w:t>SANUSI</w:t>
      </w:r>
      <w:r>
        <w:rPr>
          <w:b/>
          <w:spacing w:val="-5"/>
          <w:sz w:val="25"/>
        </w:rPr>
        <w:t> </w:t>
      </w:r>
      <w:r>
        <w:rPr>
          <w:b/>
          <w:sz w:val="25"/>
        </w:rPr>
        <w:t>COLLEGE</w:t>
      </w:r>
      <w:r>
        <w:rPr>
          <w:b/>
          <w:spacing w:val="-7"/>
          <w:sz w:val="25"/>
        </w:rPr>
        <w:t> </w:t>
      </w:r>
      <w:r>
        <w:rPr>
          <w:b/>
          <w:sz w:val="25"/>
        </w:rPr>
        <w:t>OF BUSINESS AND MANAGEMENT STUDIES,</w:t>
      </w:r>
    </w:p>
    <w:p>
      <w:pPr>
        <w:spacing w:before="2"/>
        <w:ind w:left="170" w:right="688" w:firstLine="0"/>
        <w:jc w:val="center"/>
        <w:rPr>
          <w:b/>
          <w:sz w:val="25"/>
        </w:rPr>
      </w:pPr>
      <w:r>
        <w:rPr>
          <w:b/>
          <w:spacing w:val="-2"/>
          <w:sz w:val="25"/>
        </w:rPr>
        <w:t>IGBINEDION</w:t>
      </w:r>
      <w:r>
        <w:rPr>
          <w:b/>
          <w:spacing w:val="5"/>
          <w:sz w:val="25"/>
        </w:rPr>
        <w:t> </w:t>
      </w:r>
      <w:r>
        <w:rPr>
          <w:b/>
          <w:spacing w:val="-2"/>
          <w:sz w:val="25"/>
        </w:rPr>
        <w:t>UNIVERSITY,</w:t>
      </w:r>
      <w:r>
        <w:rPr>
          <w:b/>
          <w:spacing w:val="5"/>
          <w:sz w:val="25"/>
        </w:rPr>
        <w:t> </w:t>
      </w:r>
      <w:r>
        <w:rPr>
          <w:b/>
          <w:spacing w:val="-2"/>
          <w:sz w:val="25"/>
        </w:rPr>
        <w:t>OKADA</w:t>
      </w:r>
    </w:p>
    <w:p>
      <w:pPr>
        <w:pStyle w:val="BodyText"/>
        <w:spacing w:before="287"/>
        <w:ind w:left="0"/>
        <w:rPr>
          <w:b/>
        </w:rPr>
      </w:pPr>
    </w:p>
    <w:p>
      <w:pPr>
        <w:spacing w:line="360" w:lineRule="auto" w:before="0"/>
        <w:ind w:left="328" w:right="851" w:firstLine="2"/>
        <w:jc w:val="center"/>
        <w:rPr>
          <w:b/>
          <w:sz w:val="25"/>
        </w:rPr>
      </w:pPr>
      <w:r>
        <w:rPr>
          <w:b/>
          <w:sz w:val="25"/>
        </w:rPr>
        <w:t>SUBMITTED TO THE SCHOOL OF POSTGRADUATE STUDIES IN PARTIAL FULFILLMENT</w:t>
      </w:r>
      <w:r>
        <w:rPr>
          <w:b/>
          <w:spacing w:val="-7"/>
          <w:sz w:val="25"/>
        </w:rPr>
        <w:t> </w:t>
      </w:r>
      <w:r>
        <w:rPr>
          <w:b/>
          <w:sz w:val="25"/>
        </w:rPr>
        <w:t>OF</w:t>
      </w:r>
      <w:r>
        <w:rPr>
          <w:b/>
          <w:spacing w:val="-2"/>
          <w:sz w:val="25"/>
        </w:rPr>
        <w:t> </w:t>
      </w:r>
      <w:r>
        <w:rPr>
          <w:b/>
          <w:sz w:val="25"/>
        </w:rPr>
        <w:t>THE</w:t>
      </w:r>
      <w:r>
        <w:rPr>
          <w:b/>
          <w:spacing w:val="-6"/>
          <w:sz w:val="25"/>
        </w:rPr>
        <w:t> </w:t>
      </w:r>
      <w:r>
        <w:rPr>
          <w:b/>
          <w:sz w:val="25"/>
        </w:rPr>
        <w:t>REQUIREMENTS</w:t>
      </w:r>
      <w:r>
        <w:rPr>
          <w:b/>
          <w:spacing w:val="-6"/>
          <w:sz w:val="25"/>
        </w:rPr>
        <w:t> </w:t>
      </w:r>
      <w:r>
        <w:rPr>
          <w:b/>
          <w:sz w:val="25"/>
        </w:rPr>
        <w:t>FOR</w:t>
      </w:r>
      <w:r>
        <w:rPr>
          <w:b/>
          <w:spacing w:val="-6"/>
          <w:sz w:val="25"/>
        </w:rPr>
        <w:t> </w:t>
      </w:r>
      <w:r>
        <w:rPr>
          <w:b/>
          <w:sz w:val="25"/>
        </w:rPr>
        <w:t>THE</w:t>
      </w:r>
      <w:r>
        <w:rPr>
          <w:b/>
          <w:spacing w:val="-4"/>
          <w:sz w:val="25"/>
        </w:rPr>
        <w:t> </w:t>
      </w:r>
      <w:r>
        <w:rPr>
          <w:b/>
          <w:sz w:val="25"/>
        </w:rPr>
        <w:t>AWARD</w:t>
      </w:r>
      <w:r>
        <w:rPr>
          <w:b/>
          <w:spacing w:val="-6"/>
          <w:sz w:val="25"/>
        </w:rPr>
        <w:t> </w:t>
      </w:r>
      <w:r>
        <w:rPr>
          <w:b/>
          <w:sz w:val="25"/>
        </w:rPr>
        <w:t>OF</w:t>
      </w:r>
      <w:r>
        <w:rPr>
          <w:b/>
          <w:spacing w:val="-5"/>
          <w:sz w:val="25"/>
        </w:rPr>
        <w:t> </w:t>
      </w:r>
      <w:r>
        <w:rPr>
          <w:b/>
          <w:sz w:val="25"/>
        </w:rPr>
        <w:t>DOCTOR</w:t>
      </w:r>
      <w:r>
        <w:rPr>
          <w:b/>
          <w:spacing w:val="-6"/>
          <w:sz w:val="25"/>
        </w:rPr>
        <w:t> </w:t>
      </w:r>
      <w:r>
        <w:rPr>
          <w:b/>
          <w:sz w:val="25"/>
        </w:rPr>
        <w:t>OF PHILOSOPHY (Ph.D) IN BANKING AND FINANCE</w:t>
      </w:r>
    </w:p>
    <w:p>
      <w:pPr>
        <w:pStyle w:val="BodyText"/>
        <w:ind w:left="0"/>
        <w:rPr>
          <w:b/>
        </w:rPr>
      </w:pPr>
    </w:p>
    <w:p>
      <w:pPr>
        <w:pStyle w:val="BodyText"/>
        <w:ind w:left="0"/>
        <w:rPr>
          <w:b/>
        </w:rPr>
      </w:pPr>
    </w:p>
    <w:p>
      <w:pPr>
        <w:pStyle w:val="BodyText"/>
        <w:spacing w:before="287"/>
        <w:ind w:left="0"/>
        <w:rPr>
          <w:b/>
        </w:rPr>
      </w:pPr>
    </w:p>
    <w:p>
      <w:pPr>
        <w:pStyle w:val="Heading1"/>
        <w:spacing w:before="0"/>
        <w:ind w:right="689"/>
      </w:pPr>
      <w:r>
        <w:rPr/>
        <w:t>PROF.</w:t>
      </w:r>
      <w:r>
        <w:rPr>
          <w:spacing w:val="-8"/>
        </w:rPr>
        <w:t> </w:t>
      </w:r>
      <w:r>
        <w:rPr/>
        <w:t>S.M.</w:t>
      </w:r>
      <w:r>
        <w:rPr>
          <w:spacing w:val="-7"/>
        </w:rPr>
        <w:t> </w:t>
      </w:r>
      <w:r>
        <w:rPr>
          <w:spacing w:val="-2"/>
        </w:rPr>
        <w:t>AGUWAMBA</w:t>
      </w:r>
    </w:p>
    <w:p>
      <w:pPr>
        <w:pStyle w:val="BodyText"/>
        <w:spacing w:before="1"/>
        <w:ind w:left="170" w:right="690"/>
        <w:jc w:val="center"/>
      </w:pPr>
      <w:r>
        <w:rPr>
          <w:spacing w:val="-2"/>
        </w:rPr>
        <w:t>SUPERVISOR</w:t>
      </w:r>
    </w:p>
    <w:p>
      <w:pPr>
        <w:pStyle w:val="Heading1"/>
        <w:spacing w:before="286"/>
        <w:ind w:right="690"/>
      </w:pPr>
      <w:r>
        <w:rPr/>
        <w:t>PROF.</w:t>
      </w:r>
      <w:r>
        <w:rPr>
          <w:spacing w:val="-12"/>
        </w:rPr>
        <w:t> </w:t>
      </w:r>
      <w:r>
        <w:rPr/>
        <w:t>ADEGHE</w:t>
      </w:r>
      <w:r>
        <w:rPr>
          <w:spacing w:val="-11"/>
        </w:rPr>
        <w:t> </w:t>
      </w:r>
      <w:r>
        <w:rPr/>
        <w:t>RAPHAEL</w:t>
      </w:r>
      <w:r>
        <w:rPr>
          <w:spacing w:val="-12"/>
        </w:rPr>
        <w:t> </w:t>
      </w:r>
      <w:r>
        <w:rPr>
          <w:spacing w:val="-2"/>
        </w:rPr>
        <w:t>IGBINOSA</w:t>
      </w:r>
    </w:p>
    <w:p>
      <w:pPr>
        <w:pStyle w:val="BodyText"/>
        <w:spacing w:before="1"/>
        <w:ind w:left="171" w:right="688"/>
        <w:jc w:val="center"/>
      </w:pPr>
      <w:r>
        <w:rPr>
          <w:spacing w:val="-4"/>
        </w:rPr>
        <w:t>CO-</w:t>
      </w:r>
      <w:r>
        <w:rPr>
          <w:spacing w:val="-2"/>
        </w:rPr>
        <w:t>SUPERVISOR</w:t>
      </w:r>
    </w:p>
    <w:p>
      <w:pPr>
        <w:pStyle w:val="BodyText"/>
        <w:ind w:left="0"/>
      </w:pPr>
    </w:p>
    <w:p>
      <w:pPr>
        <w:pStyle w:val="BodyText"/>
        <w:ind w:left="0"/>
      </w:pPr>
    </w:p>
    <w:p>
      <w:pPr>
        <w:pStyle w:val="BodyText"/>
        <w:ind w:left="0"/>
      </w:pPr>
    </w:p>
    <w:p>
      <w:pPr>
        <w:pStyle w:val="BodyText"/>
        <w:ind w:left="0"/>
      </w:pPr>
    </w:p>
    <w:p>
      <w:pPr>
        <w:pStyle w:val="Heading1"/>
        <w:spacing w:before="0"/>
        <w:ind w:right="691"/>
      </w:pPr>
      <w:r>
        <w:rPr/>
        <w:t>OCTOBER,</w:t>
      </w:r>
      <w:r>
        <w:rPr>
          <w:spacing w:val="-16"/>
        </w:rPr>
        <w:t> </w:t>
      </w:r>
      <w:r>
        <w:rPr>
          <w:spacing w:val="-2"/>
        </w:rPr>
        <w:t>2021.</w:t>
      </w:r>
    </w:p>
    <w:p>
      <w:pPr>
        <w:spacing w:after="0"/>
        <w:sectPr>
          <w:pgSz w:w="12240" w:h="15840"/>
          <w:pgMar w:header="0" w:footer="1012" w:top="1380" w:bottom="1200" w:left="1220" w:right="700"/>
        </w:sectPr>
      </w:pPr>
    </w:p>
    <w:p>
      <w:pPr>
        <w:pStyle w:val="Heading1"/>
        <w:ind w:right="689"/>
      </w:pPr>
      <w:bookmarkStart w:name="_TOC_250074" w:id="1"/>
      <w:bookmarkEnd w:id="1"/>
      <w:r>
        <w:rPr>
          <w:spacing w:val="-2"/>
        </w:rPr>
        <w:t>DECLARATION</w:t>
      </w:r>
    </w:p>
    <w:p>
      <w:pPr>
        <w:pStyle w:val="BodyText"/>
        <w:ind w:left="0"/>
        <w:rPr>
          <w:b/>
        </w:rPr>
      </w:pPr>
    </w:p>
    <w:p>
      <w:pPr>
        <w:pStyle w:val="BodyText"/>
        <w:spacing w:line="480" w:lineRule="auto" w:before="1"/>
        <w:ind w:right="736"/>
        <w:jc w:val="both"/>
      </w:pPr>
      <w:r>
        <w:rPr/>
        <mc:AlternateContent>
          <mc:Choice Requires="wps">
            <w:drawing>
              <wp:anchor distT="0" distB="0" distL="0" distR="0" allowOverlap="1" layoutInCell="1" locked="0" behindDoc="1" simplePos="0" relativeHeight="478004224">
                <wp:simplePos x="0" y="0"/>
                <wp:positionH relativeFrom="page">
                  <wp:posOffset>950112</wp:posOffset>
                </wp:positionH>
                <wp:positionV relativeFrom="paragraph">
                  <wp:posOffset>917859</wp:posOffset>
                </wp:positionV>
                <wp:extent cx="5505450" cy="566102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72.272415pt;width:433.5pt;height:445.75pt;mso-position-horizontal-relative:page;mso-position-vertical-relative:paragraph;z-index:-25312256" id="docshape4" coordorigin="1496,1445" coordsize="8670,8915" path="m2562,10165l1691,9294,1496,9489,2367,10360,2562,10165xm3154,9489l3153,9450,3148,9407,3139,9363,3125,9319,3106,9275,3083,9232,3055,9190,3025,9149,2991,9109,2954,9070,2435,8550,2241,8744,2772,9276,2805,9312,2829,9348,2846,9382,2856,9416,2858,9449,2851,9480,2837,9508,2816,9534,2790,9556,2761,9570,2730,9576,2697,9574,2663,9564,2628,9548,2593,9523,2557,9491,2026,8960,1831,9154,2351,9673,2385,9705,2424,9738,2468,9770,2516,9803,2548,9821,2583,9837,2620,9850,2658,9861,2697,9869,2733,9873,2767,9873,2800,9870,2831,9863,2863,9851,2895,9835,2926,9814,2957,9791,2985,9768,3011,9745,3035,9722,3071,9682,3102,9641,3125,9600,3142,9558,3150,9525,3154,9489xm3882,8706l3876,8642,3860,8576,3834,8509,3806,8455,3771,8399,3728,8341,3678,8282,3661,8264,3621,8222,3597,8200,3597,8694,3592,8734,3577,8771,3551,8804,3518,8829,3481,8844,3441,8849,3396,8842,3347,8824,3294,8793,3235,8748,3171,8688,3112,8625,3066,8565,3035,8511,3016,8462,3010,8418,3014,8377,3029,8341,3053,8310,3086,8284,3122,8269,3163,8264,3207,8269,3255,8286,3307,8316,3363,8358,3423,8413,3488,8483,3538,8546,3572,8602,3591,8650,3597,8694,3597,8200,3551,8157,3482,8102,3413,8057,3344,8021,3276,7996,3209,7980,3130,7974,3055,7984,2983,8010,2914,8050,2850,8106,2796,8169,2756,8237,2732,8309,2723,8384,2729,8464,2746,8532,2772,8601,2808,8671,2854,8741,2910,8811,2976,8882,3036,8939,3096,8989,3156,9031,3215,9065,3273,9093,3344,9117,3411,9131,3475,9134,3535,9128,3593,9112,3649,9085,3705,9047,3758,8999,3805,8945,3841,8889,3858,8849,3866,8830,3879,8769,3882,8706xm4153,8126l3966,7939,3712,8193,3899,8380,4153,8126xm4664,8064l3793,7192,3598,7387,4469,8259,4664,8064xm4998,7729l4675,7406,4781,7299,4832,7240,4837,7230,4866,7178,4883,7115,4882,7050,4866,6984,4843,6934,4836,6919,4792,6853,4733,6787,4670,6730,4607,6686,4598,6682,4598,7075,4597,7101,4587,7127,4570,7154,4546,7182,4498,7230,4304,7035,4359,6980,4386,6956,4412,6941,4438,6934,4462,6934,4486,6941,4509,6951,4531,6965,4552,6984,4570,7005,4584,7028,4593,7051,4598,7075,4598,6682,4544,6657,4483,6641,4423,6640,4365,6655,4309,6685,4255,6730,3931,7054,4803,7925,4998,7729xm5788,6940l5132,6284,5330,6085,5115,5870,4524,6462,4739,6677,4937,6478,5593,7134,5788,6940xm6423,6304l5767,5648,5966,5450,5751,5235,5159,5826,5374,6041,5573,5843,6229,6499,6423,6304xm7157,5431l7151,5367,7135,5301,7109,5234,7081,5180,7046,5124,7003,5067,6953,5008,6935,4989,6896,4947,6872,4925,6872,5419,6867,5459,6851,5496,6825,5529,6793,5554,6756,5569,6716,5574,6671,5567,6622,5549,6569,5518,6510,5473,6446,5414,6387,5350,6341,5290,6309,5236,6291,5187,6285,5143,6289,5103,6304,5067,6328,5035,6361,5010,6397,4994,6438,4989,6482,4994,6530,5011,6582,5041,6638,5083,6698,5138,6763,5208,6813,5271,6847,5327,6866,5375,6872,5419,6872,4925,6826,4882,6756,4827,6687,4782,6619,4747,6551,4721,6483,4705,6405,4699,6329,4709,6258,4735,6189,4775,6125,4831,6071,4894,6031,4962,6007,5034,5998,5109,6004,5189,6021,5257,6047,5326,6083,5396,6129,5466,6184,5536,6250,5607,6311,5664,6371,5714,6431,5756,6490,5791,6548,5818,6619,5842,6686,5856,6750,5859,6810,5853,6868,5837,6924,5810,6979,5772,7033,5724,7080,5670,7116,5614,7133,5574,7141,5555,7154,5494,7157,5431xm8170,4436l8165,4387,8153,4336,8134,4283,8109,4229,8079,4173,8041,4116,7980,4141,7799,4215,7831,4262,7855,4305,7873,4345,7884,4382,7887,4418,7881,4451,7866,4482,7843,4511,7812,4534,7778,4549,7740,4553,7700,4546,7653,4528,7600,4494,7538,4444,7469,4380,7417,4323,7375,4271,7344,4224,7324,4181,7311,4130,7312,4083,7325,4042,7352,4006,7367,3993,7384,3983,7402,3975,7422,3970,7442,3968,7464,3968,7486,3972,7509,3978,7524,3983,7542,3992,7563,4003,7586,4017,7705,3792,7622,3746,7543,3714,7469,3695,7400,3689,7333,3696,7269,3719,7206,3757,7146,3809,7092,3872,7054,3939,7030,4009,7021,4083,7027,4160,7044,4227,7070,4295,7106,4364,7153,4434,7209,4505,7276,4576,7341,4637,7404,4689,7467,4733,7529,4768,7590,4796,7662,4819,7730,4832,7791,4835,7847,4828,7900,4811,7952,4785,8004,4748,8056,4701,8094,4659,8125,4616,8147,4572,8161,4528,8169,4483,8170,4436xm8868,3720l8861,3656,8846,3590,8820,3524,8792,3469,8757,3413,8714,3356,8664,3297,8646,3278,8607,3236,8583,3214,8583,3708,8578,3748,8562,3785,8536,3818,8504,3843,8467,3859,8427,3863,8382,3857,8333,3839,8279,3807,8221,3762,8157,3703,8098,3639,8052,3580,8020,3526,8002,3476,7996,3432,8000,3392,8014,3356,8039,3324,8071,3299,8108,3283,8149,3278,8193,3283,8241,3300,8293,3330,8349,3372,8409,3427,8474,3497,8524,3560,8558,3616,8577,3665,8583,3708,8583,3214,8537,3171,8467,3116,8398,3071,8330,3036,8262,3010,8194,2994,8116,2989,8040,2999,7968,3024,7900,3065,7835,3120,7781,3184,7742,3251,7718,3323,7709,3399,7715,3478,7731,3547,7758,3616,7794,3685,7839,3755,7895,3825,7961,3896,8022,3953,8082,4003,8142,4045,8201,4080,8259,4107,8329,4131,8397,4145,8461,4149,8521,4142,8579,4126,8635,4099,8690,4061,8744,4013,8791,3959,8827,3903,8844,3863,8852,3844,8865,3783,8868,3720xm9348,3379l9025,3056,9132,2949,9182,2889,9188,2879,9216,2828,9233,2764,9233,2700,9217,2634,9194,2583,9187,2568,9142,2502,9084,2436,9020,2379,8957,2336,8948,2332,8948,2725,8947,2751,8938,2777,8921,2804,8896,2832,8849,2879,8654,2685,8710,2630,8737,2606,8763,2591,8788,2583,8812,2584,8836,2590,8859,2601,8881,2615,8902,2634,8920,2655,8934,2678,8943,2701,8948,2725,8948,2332,8895,2307,8833,2291,8773,2290,8715,2305,8659,2335,8605,2380,8282,2703,9153,3575,9348,3379xm10166,2561l9801,2197,9748,2047,9593,1595,9540,1445,9325,1661,9353,1731,9436,1942,9492,2082,9422,2054,9211,1971,9071,1915,8854,2131,9005,2184,9456,2339,9606,2392,9971,2756,10166,2561xe" filled="true" fillcolor="#c0c0c0" stroked="false">
                <v:path arrowok="t"/>
                <v:fill opacity="32896f" type="solid"/>
                <w10:wrap type="none"/>
              </v:shape>
            </w:pict>
          </mc:Fallback>
        </mc:AlternateContent>
      </w:r>
      <w:r>
        <w:rPr/>
        <w:t>This is to declare that this thesis titled “Financial Integration and Economic Growth in Nigeria” is truly researched by Obriki, Samson Tegheri under the supervision of Prof. S.M. Aguwamba and Prof. Adeghe Raphael Igbinosa has not been presented elsewhere for the award of any degree or certificate. All materials consulted have been fully acknowledged.</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7"/>
        <w:ind w:left="0"/>
        <w:rPr>
          <w:sz w:val="20"/>
        </w:rPr>
      </w:pPr>
      <w:r>
        <w:rPr/>
        <mc:AlternateContent>
          <mc:Choice Requires="wps">
            <w:drawing>
              <wp:anchor distT="0" distB="0" distL="0" distR="0" allowOverlap="1" layoutInCell="1" locked="0" behindDoc="1" simplePos="0" relativeHeight="487588864">
                <wp:simplePos x="0" y="0"/>
                <wp:positionH relativeFrom="page">
                  <wp:posOffset>914704</wp:posOffset>
                </wp:positionH>
                <wp:positionV relativeFrom="paragraph">
                  <wp:posOffset>178936</wp:posOffset>
                </wp:positionV>
                <wp:extent cx="1746885"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746885" cy="1270"/>
                        </a:xfrm>
                        <a:custGeom>
                          <a:avLst/>
                          <a:gdLst/>
                          <a:ahLst/>
                          <a:cxnLst/>
                          <a:rect l="l" t="t" r="r" b="b"/>
                          <a:pathLst>
                            <a:path w="1746885" h="0">
                              <a:moveTo>
                                <a:pt x="0" y="0"/>
                              </a:moveTo>
                              <a:lnTo>
                                <a:pt x="1746309" y="0"/>
                              </a:lnTo>
                            </a:path>
                          </a:pathLst>
                        </a:custGeom>
                        <a:ln w="64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4.089458pt;width:137.550pt;height:.1pt;mso-position-horizontal-relative:page;mso-position-vertical-relative:paragraph;z-index:-15727616;mso-wrap-distance-left:0;mso-wrap-distance-right:0" id="docshape5" coordorigin="1440,282" coordsize="2751,0" path="m1440,282l4191,282e" filled="false" stroked="true" strokeweight=".5066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376">
                <wp:simplePos x="0" y="0"/>
                <wp:positionH relativeFrom="page">
                  <wp:posOffset>4572889</wp:posOffset>
                </wp:positionH>
                <wp:positionV relativeFrom="paragraph">
                  <wp:posOffset>178936</wp:posOffset>
                </wp:positionV>
                <wp:extent cx="19050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905000" cy="1270"/>
                        </a:xfrm>
                        <a:custGeom>
                          <a:avLst/>
                          <a:gdLst/>
                          <a:ahLst/>
                          <a:cxnLst/>
                          <a:rect l="l" t="t" r="r" b="b"/>
                          <a:pathLst>
                            <a:path w="1905000" h="0">
                              <a:moveTo>
                                <a:pt x="0" y="0"/>
                              </a:moveTo>
                              <a:lnTo>
                                <a:pt x="1904805" y="0"/>
                              </a:lnTo>
                            </a:path>
                          </a:pathLst>
                        </a:custGeom>
                        <a:ln w="64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0.070007pt;margin-top:14.089458pt;width:150pt;height:.1pt;mso-position-horizontal-relative:page;mso-position-vertical-relative:paragraph;z-index:-15727104;mso-wrap-distance-left:0;mso-wrap-distance-right:0" id="docshape6" coordorigin="7201,282" coordsize="3000,0" path="m7201,282l10201,282e" filled="false" stroked="true" strokeweight=".50661pt" strokecolor="#000000">
                <v:path arrowok="t"/>
                <v:stroke dashstyle="solid"/>
                <w10:wrap type="topAndBottom"/>
              </v:shape>
            </w:pict>
          </mc:Fallback>
        </mc:AlternateContent>
      </w:r>
    </w:p>
    <w:p>
      <w:pPr>
        <w:pStyle w:val="BodyText"/>
        <w:tabs>
          <w:tab w:pos="7421" w:val="left" w:leader="none"/>
        </w:tabs>
        <w:spacing w:line="287" w:lineRule="exact"/>
      </w:pPr>
      <w:r>
        <w:rPr/>
        <w:t>Obriki,</w:t>
      </w:r>
      <w:r>
        <w:rPr>
          <w:spacing w:val="-9"/>
        </w:rPr>
        <w:t> </w:t>
      </w:r>
      <w:r>
        <w:rPr/>
        <w:t>Samson</w:t>
      </w:r>
      <w:r>
        <w:rPr>
          <w:spacing w:val="-8"/>
        </w:rPr>
        <w:t> </w:t>
      </w:r>
      <w:r>
        <w:rPr>
          <w:spacing w:val="-2"/>
        </w:rPr>
        <w:t>Tegheri</w:t>
      </w:r>
      <w:r>
        <w:rPr/>
        <w:tab/>
      </w:r>
      <w:r>
        <w:rPr>
          <w:spacing w:val="-4"/>
        </w:rPr>
        <w:t>Date</w:t>
      </w:r>
    </w:p>
    <w:p>
      <w:pPr>
        <w:pStyle w:val="BodyText"/>
        <w:spacing w:line="287" w:lineRule="exact"/>
      </w:pPr>
      <w:r>
        <w:rPr>
          <w:spacing w:val="-2"/>
        </w:rPr>
        <w:t>(Researcher)</w:t>
      </w:r>
    </w:p>
    <w:p>
      <w:pPr>
        <w:spacing w:after="0" w:line="287" w:lineRule="exact"/>
        <w:sectPr>
          <w:pgSz w:w="12240" w:h="15840"/>
          <w:pgMar w:header="0" w:footer="1012" w:top="1380" w:bottom="1200" w:left="1220" w:right="700"/>
        </w:sectPr>
      </w:pPr>
    </w:p>
    <w:p>
      <w:pPr>
        <w:pStyle w:val="Heading1"/>
        <w:ind w:right="691"/>
      </w:pPr>
      <w:bookmarkStart w:name="_TOC_250073" w:id="2"/>
      <w:bookmarkEnd w:id="2"/>
      <w:r>
        <w:rPr>
          <w:spacing w:val="-2"/>
        </w:rPr>
        <w:t>CERTIFICATION</w:t>
      </w:r>
    </w:p>
    <w:p>
      <w:pPr>
        <w:pStyle w:val="BodyText"/>
        <w:ind w:left="0"/>
        <w:rPr>
          <w:b/>
        </w:rPr>
      </w:pPr>
    </w:p>
    <w:p>
      <w:pPr>
        <w:pStyle w:val="BodyText"/>
        <w:spacing w:line="480" w:lineRule="auto" w:before="1"/>
        <w:ind w:right="737" w:firstLine="62"/>
        <w:jc w:val="both"/>
      </w:pPr>
      <w:r>
        <w:rPr/>
        <mc:AlternateContent>
          <mc:Choice Requires="wps">
            <w:drawing>
              <wp:anchor distT="0" distB="0" distL="0" distR="0" allowOverlap="1" layoutInCell="1" locked="0" behindDoc="1" simplePos="0" relativeHeight="478004736">
                <wp:simplePos x="0" y="0"/>
                <wp:positionH relativeFrom="page">
                  <wp:posOffset>950112</wp:posOffset>
                </wp:positionH>
                <wp:positionV relativeFrom="paragraph">
                  <wp:posOffset>917859</wp:posOffset>
                </wp:positionV>
                <wp:extent cx="5505450" cy="5661025"/>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72.272415pt;width:433.5pt;height:445.75pt;mso-position-horizontal-relative:page;mso-position-vertical-relative:paragraph;z-index:-25311744" id="docshape7" coordorigin="1496,1445" coordsize="8670,8915" path="m2562,10165l1691,9294,1496,9489,2367,10360,2562,10165xm3154,9489l3153,9450,3148,9407,3139,9363,3125,9319,3106,9275,3083,9232,3055,9190,3025,9149,2991,9109,2954,9070,2435,8550,2241,8744,2772,9276,2805,9312,2829,9348,2846,9382,2856,9416,2858,9449,2851,9480,2837,9508,2816,9534,2790,9556,2761,9570,2730,9576,2697,9574,2663,9564,2628,9548,2593,9523,2557,9491,2026,8960,1831,9154,2351,9673,2385,9705,2424,9738,2468,9770,2516,9803,2548,9821,2583,9837,2620,9850,2658,9861,2697,9869,2733,9873,2767,9873,2800,9870,2831,9863,2863,9851,2895,9835,2926,9814,2957,9791,2985,9768,3011,9745,3035,9722,3071,9682,3102,9641,3125,9600,3142,9558,3150,9525,3154,9489xm3882,8706l3876,8642,3860,8576,3834,8509,3806,8455,3771,8399,3728,8341,3678,8282,3661,8264,3621,8222,3597,8200,3597,8694,3592,8734,3577,8771,3551,8804,3518,8829,3481,8844,3441,8849,3396,8842,3347,8824,3294,8793,3235,8748,3171,8688,3112,8625,3066,8565,3035,8511,3016,8462,3010,8418,3014,8377,3029,8341,3053,8310,3086,8284,3122,8269,3163,8264,3207,8269,3255,8286,3307,8316,3363,8358,3423,8413,3488,8483,3538,8546,3572,8602,3591,8650,3597,8694,3597,8200,3551,8157,3482,8102,3413,8057,3344,8021,3276,7996,3209,7980,3130,7974,3055,7984,2983,8010,2914,8050,2850,8106,2796,8169,2756,8237,2732,8309,2723,8384,2729,8464,2746,8532,2772,8601,2808,8671,2854,8741,2910,8811,2976,8882,3036,8939,3096,8989,3156,9031,3215,9065,3273,9093,3344,9117,3411,9131,3475,9134,3535,9128,3593,9112,3649,9085,3705,9047,3758,8999,3805,8945,3841,8889,3858,8849,3866,8830,3879,8769,3882,8706xm4153,8126l3966,7939,3712,8193,3899,8380,4153,8126xm4664,8064l3793,7192,3598,7387,4469,8259,4664,8064xm4998,7729l4675,7406,4781,7299,4832,7240,4837,7230,4866,7178,4883,7115,4882,7050,4866,6984,4843,6934,4836,6919,4792,6853,4733,6787,4670,6730,4607,6686,4598,6682,4598,7075,4597,7101,4587,7127,4570,7154,4546,7182,4498,7230,4304,7035,4359,6980,4386,6956,4412,6941,4438,6934,4462,6934,4486,6941,4509,6951,4531,6965,4552,6984,4570,7005,4584,7028,4593,7051,4598,7075,4598,6682,4544,6657,4483,6641,4423,6640,4365,6655,4309,6685,4255,6730,3931,7054,4803,7925,4998,7729xm5788,6940l5132,6284,5330,6085,5115,5870,4524,6462,4739,6677,4937,6478,5593,7134,5788,6940xm6423,6304l5767,5648,5966,5450,5751,5235,5159,5826,5374,6041,5573,5843,6229,6499,6423,6304xm7157,5431l7151,5367,7135,5301,7109,5234,7081,5180,7046,5124,7003,5067,6953,5008,6935,4989,6896,4947,6872,4925,6872,5419,6867,5459,6851,5496,6825,5529,6793,5554,6756,5569,6716,5574,6671,5567,6622,5549,6569,5518,6510,5473,6446,5414,6387,5350,6341,5290,6309,5236,6291,5187,6285,5143,6289,5103,6304,5067,6328,5035,6361,5010,6397,4994,6438,4989,6482,4994,6530,5011,6582,5041,6638,5083,6698,5138,6763,5208,6813,5271,6847,5327,6866,5375,6872,5419,6872,4925,6826,4882,6756,4827,6687,4782,6619,4747,6551,4721,6483,4705,6405,4699,6329,4709,6258,4735,6189,4775,6125,4831,6071,4894,6031,4962,6007,5034,5998,5109,6004,5189,6021,5257,6047,5326,6083,5396,6129,5466,6184,5536,6250,5607,6311,5664,6371,5714,6431,5756,6490,5791,6548,5818,6619,5842,6686,5856,6750,5859,6810,5853,6868,5837,6924,5810,6979,5772,7033,5724,7080,5670,7116,5614,7133,5574,7141,5555,7154,5494,7157,5431xm8170,4436l8165,4387,8153,4336,8134,4283,8109,4229,8079,4173,8041,4116,7980,4141,7799,4215,7831,4262,7855,4305,7873,4345,7884,4382,7887,4418,7881,4451,7866,4482,7843,4511,7812,4534,7778,4549,7740,4553,7700,4546,7653,4528,7600,4494,7538,4444,7469,4380,7417,4323,7375,4271,7344,4224,7324,4181,7311,4130,7312,4083,7325,4042,7352,4006,7367,3993,7384,3983,7402,3975,7422,3970,7442,3968,7464,3968,7486,3972,7509,3978,7524,3983,7542,3992,7563,4003,7586,4017,7705,3792,7622,3746,7543,3714,7469,3695,7400,3689,7333,3696,7269,3719,7206,3757,7146,3809,7092,3872,7054,3939,7030,4009,7021,4083,7027,4160,7044,4227,7070,4295,7106,4364,7153,4434,7209,4505,7276,4576,7341,4637,7404,4689,7467,4733,7529,4768,7590,4796,7662,4819,7730,4832,7791,4835,7847,4828,7900,4811,7952,4785,8004,4748,8056,4701,8094,4659,8125,4616,8147,4572,8161,4528,8169,4483,8170,4436xm8868,3720l8861,3656,8846,3590,8820,3524,8792,3469,8757,3413,8714,3356,8664,3297,8646,3278,8607,3236,8583,3214,8583,3708,8578,3748,8562,3785,8536,3818,8504,3843,8467,3859,8427,3863,8382,3857,8333,3839,8279,3807,8221,3762,8157,3703,8098,3639,8052,3580,8020,3526,8002,3476,7996,3432,8000,3392,8014,3356,8039,3324,8071,3299,8108,3283,8149,3278,8193,3283,8241,3300,8293,3330,8349,3372,8409,3427,8474,3497,8524,3560,8558,3616,8577,3665,8583,3708,8583,3214,8537,3171,8467,3116,8398,3071,8330,3036,8262,3010,8194,2994,8116,2989,8040,2999,7968,3024,7900,3065,7835,3120,7781,3184,7742,3251,7718,3323,7709,3399,7715,3478,7731,3547,7758,3616,7794,3685,7839,3755,7895,3825,7961,3896,8022,3953,8082,4003,8142,4045,8201,4080,8259,4107,8329,4131,8397,4145,8461,4149,8521,4142,8579,4126,8635,4099,8690,4061,8744,4013,8791,3959,8827,3903,8844,3863,8852,3844,8865,3783,8868,3720xm9348,3379l9025,3056,9132,2949,9182,2889,9188,2879,9216,2828,9233,2764,9233,2700,9217,2634,9194,2583,9187,2568,9142,2502,9084,2436,9020,2379,8957,2336,8948,2332,8948,2725,8947,2751,8938,2777,8921,2804,8896,2832,8849,2879,8654,2685,8710,2630,8737,2606,8763,2591,8788,2583,8812,2584,8836,2590,8859,2601,8881,2615,8902,2634,8920,2655,8934,2678,8943,2701,8948,2725,8948,2332,8895,2307,8833,2291,8773,2290,8715,2305,8659,2335,8605,2380,8282,2703,9153,3575,9348,3379xm10166,2561l9801,2197,9748,2047,9593,1595,9540,1445,9325,1661,9353,1731,9436,1942,9492,2082,9422,2054,9211,1971,9071,1915,8854,2131,9005,2184,9456,2339,9606,2392,9971,2756,10166,2561xe" filled="true" fillcolor="#c0c0c0" stroked="false">
                <v:path arrowok="t"/>
                <v:fill opacity="32896f" type="solid"/>
                <w10:wrap type="none"/>
              </v:shape>
            </w:pict>
          </mc:Fallback>
        </mc:AlternateContent>
      </w:r>
      <w:r>
        <w:rPr/>
        <w:t>We, the under-signed, hereby certify that this thesis titled “Financial Integration and Economic Growth in Nigeria” was written by Obriki, Samson Tegheri with Matriculation Number PG17/021885/BMS under our supervision/examination and thus same meet the regulations governing the award of Doctor of Philosophy (Ph.D) Degree in Finance of the Igbinedion University, Okada, Edo State.</w:t>
      </w:r>
    </w:p>
    <w:p>
      <w:pPr>
        <w:pStyle w:val="BodyText"/>
        <w:spacing w:before="287"/>
        <w:ind w:left="0"/>
      </w:pPr>
    </w:p>
    <w:p>
      <w:pPr>
        <w:pStyle w:val="BodyText"/>
        <w:tabs>
          <w:tab w:pos="6701" w:val="left" w:leader="none"/>
          <w:tab w:pos="7825" w:val="left" w:leader="none"/>
        </w:tabs>
        <w:ind w:right="804" w:firstLine="62"/>
      </w:pPr>
      <w:r>
        <w:rPr>
          <w:spacing w:val="-2"/>
        </w:rPr>
        <w:t>…………………………………</w:t>
      </w:r>
      <w:r>
        <w:rPr/>
        <w:tab/>
      </w:r>
      <w:r>
        <w:rPr>
          <w:spacing w:val="-2"/>
        </w:rPr>
        <w:t>……………………………. </w:t>
      </w:r>
      <w:r>
        <w:rPr/>
        <w:t>Prof. S.M. Aguwamba</w:t>
        <w:tab/>
        <w:tab/>
      </w:r>
      <w:r>
        <w:rPr>
          <w:spacing w:val="-4"/>
        </w:rPr>
        <w:t>Date</w:t>
      </w:r>
    </w:p>
    <w:p>
      <w:pPr>
        <w:pStyle w:val="BodyText"/>
        <w:spacing w:line="286" w:lineRule="exact"/>
      </w:pPr>
      <w:r>
        <w:rPr>
          <w:spacing w:val="-2"/>
        </w:rPr>
        <w:t>(Supervisor)</w:t>
      </w:r>
    </w:p>
    <w:p>
      <w:pPr>
        <w:pStyle w:val="BodyText"/>
        <w:ind w:left="0"/>
      </w:pPr>
    </w:p>
    <w:p>
      <w:pPr>
        <w:pStyle w:val="BodyText"/>
        <w:spacing w:before="1"/>
        <w:ind w:left="0"/>
      </w:pPr>
    </w:p>
    <w:p>
      <w:pPr>
        <w:tabs>
          <w:tab w:pos="6701" w:val="left" w:leader="none"/>
        </w:tabs>
        <w:spacing w:line="287" w:lineRule="exact" w:before="0"/>
        <w:ind w:left="220" w:right="0" w:firstLine="0"/>
        <w:jc w:val="left"/>
        <w:rPr>
          <w:sz w:val="25"/>
        </w:rPr>
      </w:pPr>
      <w:r>
        <w:rPr>
          <w:spacing w:val="-2"/>
          <w:sz w:val="25"/>
        </w:rPr>
        <w:t>…………………………………</w:t>
      </w:r>
      <w:r>
        <w:rPr>
          <w:sz w:val="25"/>
        </w:rPr>
        <w:tab/>
      </w:r>
      <w:r>
        <w:rPr>
          <w:spacing w:val="-2"/>
          <w:sz w:val="25"/>
        </w:rPr>
        <w:t>…………………………….</w:t>
      </w:r>
    </w:p>
    <w:p>
      <w:pPr>
        <w:pStyle w:val="BodyText"/>
        <w:tabs>
          <w:tab w:pos="7733" w:val="left" w:leader="none"/>
        </w:tabs>
        <w:spacing w:line="287" w:lineRule="exact"/>
      </w:pPr>
      <w:r>
        <w:rPr/>
        <w:t>Prof.</w:t>
      </w:r>
      <w:r>
        <w:rPr>
          <w:spacing w:val="-8"/>
        </w:rPr>
        <w:t> </w:t>
      </w:r>
      <w:r>
        <w:rPr/>
        <w:t>Adeghe</w:t>
      </w:r>
      <w:r>
        <w:rPr>
          <w:spacing w:val="-9"/>
        </w:rPr>
        <w:t> </w:t>
      </w:r>
      <w:r>
        <w:rPr/>
        <w:t>Raphael</w:t>
      </w:r>
      <w:r>
        <w:rPr>
          <w:spacing w:val="-8"/>
        </w:rPr>
        <w:t> </w:t>
      </w:r>
      <w:r>
        <w:rPr>
          <w:spacing w:val="-2"/>
        </w:rPr>
        <w:t>Igbinosa</w:t>
      </w:r>
      <w:r>
        <w:rPr/>
        <w:tab/>
      </w:r>
      <w:r>
        <w:rPr>
          <w:spacing w:val="-4"/>
        </w:rPr>
        <w:t>Date</w:t>
      </w:r>
    </w:p>
    <w:p>
      <w:pPr>
        <w:pStyle w:val="BodyText"/>
        <w:spacing w:before="1"/>
      </w:pPr>
      <w:r>
        <w:rPr>
          <w:spacing w:val="-2"/>
        </w:rPr>
        <w:t>(Co-Supervisor)</w:t>
      </w:r>
    </w:p>
    <w:p>
      <w:pPr>
        <w:pStyle w:val="BodyText"/>
        <w:ind w:left="0"/>
      </w:pPr>
    </w:p>
    <w:p>
      <w:pPr>
        <w:pStyle w:val="BodyText"/>
        <w:spacing w:before="2"/>
        <w:ind w:left="0"/>
      </w:pPr>
    </w:p>
    <w:p>
      <w:pPr>
        <w:pStyle w:val="BodyText"/>
        <w:tabs>
          <w:tab w:pos="6701" w:val="left" w:leader="none"/>
          <w:tab w:pos="7733" w:val="left" w:leader="none"/>
        </w:tabs>
        <w:ind w:right="741"/>
      </w:pPr>
      <w:r>
        <w:rPr>
          <w:spacing w:val="-2"/>
        </w:rPr>
        <w:t>………………………………..</w:t>
      </w:r>
      <w:r>
        <w:rPr/>
        <w:tab/>
      </w:r>
      <w:r>
        <w:rPr>
          <w:spacing w:val="-2"/>
        </w:rPr>
        <w:t>……………..……………… </w:t>
      </w:r>
      <w:r>
        <w:rPr/>
        <w:t>Prof. S.M. Aguwamba</w:t>
        <w:tab/>
        <w:tab/>
      </w:r>
      <w:r>
        <w:rPr>
          <w:spacing w:val="-4"/>
        </w:rPr>
        <w:t>Date</w:t>
      </w:r>
    </w:p>
    <w:p>
      <w:pPr>
        <w:pStyle w:val="BodyText"/>
        <w:spacing w:line="286" w:lineRule="exact"/>
      </w:pPr>
      <w:r>
        <w:rPr/>
        <w:t>(Head</w:t>
      </w:r>
      <w:r>
        <w:rPr>
          <w:spacing w:val="-6"/>
        </w:rPr>
        <w:t> </w:t>
      </w:r>
      <w:r>
        <w:rPr/>
        <w:t>of</w:t>
      </w:r>
      <w:r>
        <w:rPr>
          <w:spacing w:val="-5"/>
        </w:rPr>
        <w:t> </w:t>
      </w:r>
      <w:r>
        <w:rPr>
          <w:spacing w:val="-2"/>
        </w:rPr>
        <w:t>Department)</w:t>
      </w:r>
    </w:p>
    <w:p>
      <w:pPr>
        <w:pStyle w:val="BodyText"/>
        <w:spacing w:before="286"/>
        <w:ind w:left="0"/>
      </w:pPr>
    </w:p>
    <w:p>
      <w:pPr>
        <w:pStyle w:val="BodyText"/>
        <w:tabs>
          <w:tab w:pos="6701" w:val="left" w:leader="none"/>
          <w:tab w:pos="7796" w:val="left" w:leader="none"/>
        </w:tabs>
        <w:ind w:right="741"/>
      </w:pPr>
      <w:r>
        <w:rPr>
          <w:spacing w:val="-2"/>
        </w:rPr>
        <w:t>………………………………..</w:t>
      </w:r>
      <w:r>
        <w:rPr/>
        <w:tab/>
      </w:r>
      <w:r>
        <w:rPr>
          <w:spacing w:val="-2"/>
        </w:rPr>
        <w:t>……………..……………… </w:t>
      </w:r>
      <w:r>
        <w:rPr/>
        <w:t>Prof. Raphael I. Adeghe</w:t>
        <w:tab/>
        <w:tab/>
      </w:r>
      <w:r>
        <w:rPr>
          <w:spacing w:val="-4"/>
        </w:rPr>
        <w:t>Date</w:t>
      </w:r>
    </w:p>
    <w:p>
      <w:pPr>
        <w:pStyle w:val="BodyText"/>
        <w:spacing w:before="1"/>
      </w:pPr>
      <w:r>
        <w:rPr/>
        <w:t>(Dean,</w:t>
      </w:r>
      <w:r>
        <w:rPr>
          <w:spacing w:val="-9"/>
        </w:rPr>
        <w:t> </w:t>
      </w:r>
      <w:r>
        <w:rPr/>
        <w:t>Mallam</w:t>
      </w:r>
      <w:r>
        <w:rPr>
          <w:spacing w:val="-8"/>
        </w:rPr>
        <w:t> </w:t>
      </w:r>
      <w:r>
        <w:rPr/>
        <w:t>Sanusi</w:t>
      </w:r>
      <w:r>
        <w:rPr>
          <w:spacing w:val="-5"/>
        </w:rPr>
        <w:t> </w:t>
      </w:r>
      <w:r>
        <w:rPr/>
        <w:t>Lamido</w:t>
      </w:r>
      <w:r>
        <w:rPr>
          <w:spacing w:val="-8"/>
        </w:rPr>
        <w:t> </w:t>
      </w:r>
      <w:r>
        <w:rPr>
          <w:spacing w:val="-2"/>
        </w:rPr>
        <w:t>Sanusi</w:t>
      </w:r>
    </w:p>
    <w:p>
      <w:pPr>
        <w:pStyle w:val="BodyText"/>
        <w:spacing w:before="1"/>
      </w:pPr>
      <w:r>
        <w:rPr/>
        <w:t>College</w:t>
      </w:r>
      <w:r>
        <w:rPr>
          <w:spacing w:val="-8"/>
        </w:rPr>
        <w:t> </w:t>
      </w:r>
      <w:r>
        <w:rPr/>
        <w:t>of</w:t>
      </w:r>
      <w:r>
        <w:rPr>
          <w:spacing w:val="-8"/>
        </w:rPr>
        <w:t> </w:t>
      </w:r>
      <w:r>
        <w:rPr/>
        <w:t>Business</w:t>
      </w:r>
      <w:r>
        <w:rPr>
          <w:spacing w:val="-8"/>
        </w:rPr>
        <w:t> </w:t>
      </w:r>
      <w:r>
        <w:rPr/>
        <w:t>And</w:t>
      </w:r>
      <w:r>
        <w:rPr>
          <w:spacing w:val="-8"/>
        </w:rPr>
        <w:t> </w:t>
      </w:r>
      <w:r>
        <w:rPr/>
        <w:t>Management</w:t>
      </w:r>
      <w:r>
        <w:rPr>
          <w:spacing w:val="-8"/>
        </w:rPr>
        <w:t> </w:t>
      </w:r>
      <w:r>
        <w:rPr>
          <w:spacing w:val="-2"/>
        </w:rPr>
        <w:t>Studies)</w:t>
      </w:r>
    </w:p>
    <w:p>
      <w:pPr>
        <w:pStyle w:val="BodyText"/>
        <w:ind w:left="0"/>
      </w:pPr>
    </w:p>
    <w:p>
      <w:pPr>
        <w:pStyle w:val="BodyText"/>
        <w:ind w:left="0"/>
      </w:pPr>
    </w:p>
    <w:p>
      <w:pPr>
        <w:pStyle w:val="BodyText"/>
        <w:tabs>
          <w:tab w:pos="6701" w:val="left" w:leader="none"/>
          <w:tab w:pos="7825" w:val="left" w:leader="none"/>
        </w:tabs>
        <w:ind w:right="741"/>
      </w:pPr>
      <w:r>
        <w:rPr>
          <w:spacing w:val="-2"/>
        </w:rPr>
        <w:t>………………………………..</w:t>
      </w:r>
      <w:r>
        <w:rPr/>
        <w:tab/>
      </w:r>
      <w:r>
        <w:rPr>
          <w:spacing w:val="-2"/>
        </w:rPr>
        <w:t>……………..……………… </w:t>
      </w:r>
      <w:r>
        <w:rPr/>
        <w:t>Prof. Charles E. Ochem</w:t>
        <w:tab/>
        <w:tab/>
      </w:r>
      <w:r>
        <w:rPr>
          <w:spacing w:val="-4"/>
        </w:rPr>
        <w:t>Date</w:t>
      </w:r>
    </w:p>
    <w:p>
      <w:pPr>
        <w:pStyle w:val="BodyText"/>
        <w:spacing w:before="1"/>
        <w:ind w:right="6369"/>
      </w:pPr>
      <w:r>
        <w:rPr/>
        <w:t>(Dean,</w:t>
      </w:r>
      <w:r>
        <w:rPr>
          <w:spacing w:val="-14"/>
        </w:rPr>
        <w:t> </w:t>
      </w:r>
      <w:r>
        <w:rPr/>
        <w:t>School</w:t>
      </w:r>
      <w:r>
        <w:rPr>
          <w:spacing w:val="-14"/>
        </w:rPr>
        <w:t> </w:t>
      </w:r>
      <w:r>
        <w:rPr/>
        <w:t>of</w:t>
      </w:r>
      <w:r>
        <w:rPr>
          <w:spacing w:val="-13"/>
        </w:rPr>
        <w:t> </w:t>
      </w:r>
      <w:r>
        <w:rPr/>
        <w:t>Postgraduate Studies and Research)</w:t>
      </w:r>
    </w:p>
    <w:p>
      <w:pPr>
        <w:pStyle w:val="BodyText"/>
        <w:ind w:left="0"/>
      </w:pPr>
    </w:p>
    <w:p>
      <w:pPr>
        <w:pStyle w:val="BodyText"/>
        <w:ind w:left="0"/>
      </w:pPr>
    </w:p>
    <w:p>
      <w:pPr>
        <w:pStyle w:val="BodyText"/>
        <w:ind w:left="0"/>
      </w:pPr>
    </w:p>
    <w:p>
      <w:pPr>
        <w:pStyle w:val="BodyText"/>
        <w:tabs>
          <w:tab w:pos="6701" w:val="left" w:leader="none"/>
          <w:tab w:pos="7825" w:val="left" w:leader="none"/>
        </w:tabs>
        <w:ind w:right="803"/>
      </w:pPr>
      <w:r>
        <w:rPr>
          <w:spacing w:val="-2"/>
        </w:rPr>
        <w:t>…………………………………</w:t>
      </w:r>
      <w:r>
        <w:rPr/>
        <w:tab/>
      </w:r>
      <w:r>
        <w:rPr>
          <w:spacing w:val="-2"/>
        </w:rPr>
        <w:t>……………………………. </w:t>
      </w:r>
      <w:r>
        <w:rPr/>
        <w:t>External Examiner</w:t>
        <w:tab/>
        <w:tab/>
      </w:r>
      <w:r>
        <w:rPr>
          <w:spacing w:val="-4"/>
        </w:rPr>
        <w:t>Date</w:t>
      </w:r>
    </w:p>
    <w:p>
      <w:pPr>
        <w:spacing w:after="0"/>
        <w:sectPr>
          <w:pgSz w:w="12240" w:h="15840"/>
          <w:pgMar w:header="0" w:footer="1012" w:top="1380" w:bottom="1200" w:left="1220" w:right="700"/>
        </w:sectPr>
      </w:pPr>
    </w:p>
    <w:p>
      <w:pPr>
        <w:pStyle w:val="Heading1"/>
        <w:ind w:right="691"/>
      </w:pPr>
      <w:bookmarkStart w:name="_TOC_250072" w:id="3"/>
      <w:bookmarkEnd w:id="3"/>
      <w:r>
        <w:rPr>
          <w:spacing w:val="-2"/>
        </w:rPr>
        <w:t>DEDICATION</w:t>
      </w:r>
    </w:p>
    <w:p>
      <w:pPr>
        <w:pStyle w:val="BodyText"/>
        <w:ind w:left="0"/>
        <w:rPr>
          <w:b/>
        </w:rPr>
      </w:pPr>
    </w:p>
    <w:p>
      <w:pPr>
        <w:pStyle w:val="BodyText"/>
        <w:spacing w:before="1"/>
        <w:ind w:left="233" w:right="688"/>
        <w:jc w:val="center"/>
      </w:pPr>
      <w:r>
        <w:rPr/>
        <mc:AlternateContent>
          <mc:Choice Requires="wps">
            <w:drawing>
              <wp:anchor distT="0" distB="0" distL="0" distR="0" allowOverlap="1" layoutInCell="1" locked="0" behindDoc="1" simplePos="0" relativeHeight="478005248">
                <wp:simplePos x="0" y="0"/>
                <wp:positionH relativeFrom="page">
                  <wp:posOffset>950112</wp:posOffset>
                </wp:positionH>
                <wp:positionV relativeFrom="paragraph">
                  <wp:posOffset>917859</wp:posOffset>
                </wp:positionV>
                <wp:extent cx="5505450" cy="566102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72.272415pt;width:433.5pt;height:445.75pt;mso-position-horizontal-relative:page;mso-position-vertical-relative:paragraph;z-index:-25311232" id="docshape8" coordorigin="1496,1445" coordsize="8670,8915" path="m2562,10165l1691,9294,1496,9489,2367,10360,2562,10165xm3154,9489l3153,9450,3148,9407,3139,9363,3125,9319,3106,9275,3083,9232,3055,9190,3025,9149,2991,9109,2954,9070,2435,8550,2241,8744,2772,9276,2805,9312,2829,9348,2846,9382,2856,9416,2858,9449,2851,9480,2837,9508,2816,9534,2790,9556,2761,9570,2730,9576,2697,9574,2663,9564,2628,9548,2593,9523,2557,9491,2026,8960,1831,9154,2351,9673,2385,9705,2424,9738,2468,9770,2516,9803,2548,9821,2583,9837,2620,9850,2658,9861,2697,9869,2733,9873,2767,9873,2800,9870,2831,9863,2863,9851,2895,9835,2926,9814,2957,9791,2985,9768,3011,9745,3035,9722,3071,9682,3102,9641,3125,9600,3142,9558,3150,9525,3154,9489xm3882,8706l3876,8642,3860,8576,3834,8509,3806,8455,3771,8399,3728,8341,3678,8282,3661,8264,3621,8222,3597,8200,3597,8694,3592,8734,3577,8771,3551,8804,3518,8829,3481,8844,3441,8849,3396,8842,3347,8824,3294,8793,3235,8748,3171,8688,3112,8625,3066,8565,3035,8511,3016,8462,3010,8418,3014,8377,3029,8341,3053,8310,3086,8284,3122,8269,3163,8264,3207,8269,3255,8286,3307,8316,3363,8358,3423,8413,3488,8483,3538,8546,3572,8602,3591,8650,3597,8694,3597,8200,3551,8157,3482,8102,3413,8057,3344,8021,3276,7996,3209,7980,3130,7974,3055,7984,2983,8010,2914,8050,2850,8106,2796,8169,2756,8237,2732,8309,2723,8384,2729,8464,2746,8532,2772,8601,2808,8671,2854,8741,2910,8811,2976,8882,3036,8939,3096,8989,3156,9031,3215,9065,3273,9093,3344,9117,3411,9131,3475,9134,3535,9128,3593,9112,3649,9085,3705,9047,3758,8999,3805,8945,3841,8889,3858,8849,3866,8830,3879,8769,3882,8706xm4153,8126l3966,7939,3712,8193,3899,8380,4153,8126xm4664,8064l3793,7192,3598,7387,4469,8259,4664,8064xm4998,7729l4675,7406,4781,7299,4832,7240,4837,7230,4866,7178,4883,7115,4882,7050,4866,6984,4843,6934,4836,6919,4792,6853,4733,6787,4670,6730,4607,6686,4598,6682,4598,7075,4597,7101,4587,7127,4570,7154,4546,7182,4498,7230,4304,7035,4359,6980,4386,6956,4412,6941,4438,6934,4462,6934,4486,6941,4509,6951,4531,6965,4552,6984,4570,7005,4584,7028,4593,7051,4598,7075,4598,6682,4544,6657,4483,6641,4423,6640,4365,6655,4309,6685,4255,6730,3931,7054,4803,7925,4998,7729xm5788,6940l5132,6284,5330,6085,5115,5870,4524,6462,4739,6677,4937,6478,5593,7134,5788,6940xm6423,6304l5767,5648,5966,5450,5751,5235,5159,5826,5374,6041,5573,5843,6229,6499,6423,6304xm7157,5431l7151,5367,7135,5301,7109,5234,7081,5180,7046,5124,7003,5067,6953,5008,6935,4989,6896,4947,6872,4925,6872,5419,6867,5459,6851,5496,6825,5529,6793,5554,6756,5569,6716,5574,6671,5567,6622,5549,6569,5518,6510,5473,6446,5414,6387,5350,6341,5290,6309,5236,6291,5187,6285,5143,6289,5103,6304,5067,6328,5035,6361,5010,6397,4994,6438,4989,6482,4994,6530,5011,6582,5041,6638,5083,6698,5138,6763,5208,6813,5271,6847,5327,6866,5375,6872,5419,6872,4925,6826,4882,6756,4827,6687,4782,6619,4747,6551,4721,6483,4705,6405,4699,6329,4709,6258,4735,6189,4775,6125,4831,6071,4894,6031,4962,6007,5034,5998,5109,6004,5189,6021,5257,6047,5326,6083,5396,6129,5466,6184,5536,6250,5607,6311,5664,6371,5714,6431,5756,6490,5791,6548,5818,6619,5842,6686,5856,6750,5859,6810,5853,6868,5837,6924,5810,6979,5772,7033,5724,7080,5670,7116,5614,7133,5574,7141,5555,7154,5494,7157,5431xm8170,4436l8165,4387,8153,4336,8134,4283,8109,4229,8079,4173,8041,4116,7980,4141,7799,4215,7831,4262,7855,4305,7873,4345,7884,4382,7887,4418,7881,4451,7866,4482,7843,4511,7812,4534,7778,4549,7740,4553,7700,4546,7653,4528,7600,4494,7538,4444,7469,4380,7417,4323,7375,4271,7344,4224,7324,4181,7311,4130,7312,4083,7325,4042,7352,4006,7367,3993,7384,3983,7402,3975,7422,3970,7442,3968,7464,3968,7486,3972,7509,3978,7524,3983,7542,3992,7563,4003,7586,4017,7705,3792,7622,3746,7543,3714,7469,3695,7400,3689,7333,3696,7269,3719,7206,3757,7146,3809,7092,3872,7054,3939,7030,4009,7021,4083,7027,4160,7044,4227,7070,4295,7106,4364,7153,4434,7209,4505,7276,4576,7341,4637,7404,4689,7467,4733,7529,4768,7590,4796,7662,4819,7730,4832,7791,4835,7847,4828,7900,4811,7952,4785,8004,4748,8056,4701,8094,4659,8125,4616,8147,4572,8161,4528,8169,4483,8170,4436xm8868,3720l8861,3656,8846,3590,8820,3524,8792,3469,8757,3413,8714,3356,8664,3297,8646,3278,8607,3236,8583,3214,8583,3708,8578,3748,8562,3785,8536,3818,8504,3843,8467,3859,8427,3863,8382,3857,8333,3839,8279,3807,8221,3762,8157,3703,8098,3639,8052,3580,8020,3526,8002,3476,7996,3432,8000,3392,8014,3356,8039,3324,8071,3299,8108,3283,8149,3278,8193,3283,8241,3300,8293,3330,8349,3372,8409,3427,8474,3497,8524,3560,8558,3616,8577,3665,8583,3708,8583,3214,8537,3171,8467,3116,8398,3071,8330,3036,8262,3010,8194,2994,8116,2989,8040,2999,7968,3024,7900,3065,7835,3120,7781,3184,7742,3251,7718,3323,7709,3399,7715,3478,7731,3547,7758,3616,7794,3685,7839,3755,7895,3825,7961,3896,8022,3953,8082,4003,8142,4045,8201,4080,8259,4107,8329,4131,8397,4145,8461,4149,8521,4142,8579,4126,8635,4099,8690,4061,8744,4013,8791,3959,8827,3903,8844,3863,8852,3844,8865,3783,8868,3720xm9348,3379l9025,3056,9132,2949,9182,2889,9188,2879,9216,2828,9233,2764,9233,2700,9217,2634,9194,2583,9187,2568,9142,2502,9084,2436,9020,2379,8957,2336,8948,2332,8948,2725,8947,2751,8938,2777,8921,2804,8896,2832,8849,2879,8654,2685,8710,2630,8737,2606,8763,2591,8788,2583,8812,2584,8836,2590,8859,2601,8881,2615,8902,2634,8920,2655,8934,2678,8943,2701,8948,2725,8948,2332,8895,2307,8833,2291,8773,2290,8715,2305,8659,2335,8605,2380,8282,2703,9153,3575,9348,3379xm10166,2561l9801,2197,9748,2047,9593,1595,9540,1445,9325,1661,9353,1731,9436,1942,9492,2082,9422,2054,9211,1971,9071,1915,8854,2131,9005,2184,9456,2339,9606,2392,9971,2756,10166,2561xe" filled="true" fillcolor="#c0c0c0" stroked="false">
                <v:path arrowok="t"/>
                <v:fill opacity="32896f" type="solid"/>
                <w10:wrap type="none"/>
              </v:shape>
            </w:pict>
          </mc:Fallback>
        </mc:AlternateContent>
      </w:r>
      <w:r>
        <w:rPr/>
        <w:t>This</w:t>
      </w:r>
      <w:r>
        <w:rPr>
          <w:spacing w:val="-4"/>
        </w:rPr>
        <w:t> </w:t>
      </w:r>
      <w:r>
        <w:rPr/>
        <w:t>work</w:t>
      </w:r>
      <w:r>
        <w:rPr>
          <w:spacing w:val="-5"/>
        </w:rPr>
        <w:t> </w:t>
      </w:r>
      <w:r>
        <w:rPr/>
        <w:t>is</w:t>
      </w:r>
      <w:r>
        <w:rPr>
          <w:spacing w:val="-5"/>
        </w:rPr>
        <w:t> </w:t>
      </w:r>
      <w:r>
        <w:rPr/>
        <w:t>dedicated</w:t>
      </w:r>
      <w:r>
        <w:rPr>
          <w:spacing w:val="-5"/>
        </w:rPr>
        <w:t> </w:t>
      </w:r>
      <w:r>
        <w:rPr/>
        <w:t>to</w:t>
      </w:r>
      <w:r>
        <w:rPr>
          <w:spacing w:val="-6"/>
        </w:rPr>
        <w:t> </w:t>
      </w:r>
      <w:r>
        <w:rPr/>
        <w:t>God</w:t>
      </w:r>
      <w:r>
        <w:rPr>
          <w:spacing w:val="-5"/>
        </w:rPr>
        <w:t> </w:t>
      </w:r>
      <w:r>
        <w:rPr/>
        <w:t>Almighty</w:t>
      </w:r>
      <w:r>
        <w:rPr>
          <w:spacing w:val="-6"/>
        </w:rPr>
        <w:t> </w:t>
      </w:r>
      <w:r>
        <w:rPr/>
        <w:t>for</w:t>
      </w:r>
      <w:r>
        <w:rPr>
          <w:spacing w:val="-4"/>
        </w:rPr>
        <w:t> </w:t>
      </w:r>
      <w:r>
        <w:rPr/>
        <w:t>His</w:t>
      </w:r>
      <w:r>
        <w:rPr>
          <w:spacing w:val="-5"/>
        </w:rPr>
        <w:t> </w:t>
      </w:r>
      <w:r>
        <w:rPr/>
        <w:t>love</w:t>
      </w:r>
      <w:r>
        <w:rPr>
          <w:spacing w:val="-5"/>
        </w:rPr>
        <w:t> </w:t>
      </w:r>
      <w:r>
        <w:rPr/>
        <w:t>and</w:t>
      </w:r>
      <w:r>
        <w:rPr>
          <w:spacing w:val="-5"/>
        </w:rPr>
        <w:t> </w:t>
      </w:r>
      <w:r>
        <w:rPr>
          <w:spacing w:val="-2"/>
        </w:rPr>
        <w:t>steadfastness.</w:t>
      </w:r>
    </w:p>
    <w:p>
      <w:pPr>
        <w:spacing w:after="0"/>
        <w:jc w:val="center"/>
        <w:sectPr>
          <w:pgSz w:w="12240" w:h="15840"/>
          <w:pgMar w:header="0" w:footer="1012" w:top="1380" w:bottom="1200" w:left="1220" w:right="700"/>
        </w:sectPr>
      </w:pPr>
    </w:p>
    <w:p>
      <w:pPr>
        <w:pStyle w:val="Heading1"/>
        <w:ind w:right="689"/>
      </w:pPr>
      <w:r>
        <w:rPr>
          <w:spacing w:val="-2"/>
        </w:rPr>
        <w:t>ACKNOWLEDGMENTS</w:t>
      </w:r>
    </w:p>
    <w:p>
      <w:pPr>
        <w:pStyle w:val="BodyText"/>
        <w:spacing w:before="120"/>
        <w:ind w:left="0"/>
        <w:rPr>
          <w:b/>
        </w:rPr>
      </w:pPr>
    </w:p>
    <w:p>
      <w:pPr>
        <w:pStyle w:val="BodyText"/>
        <w:spacing w:line="480" w:lineRule="auto" w:before="1"/>
        <w:ind w:right="734"/>
        <w:jc w:val="both"/>
      </w:pPr>
      <w:r>
        <w:rPr/>
        <mc:AlternateContent>
          <mc:Choice Requires="wps">
            <w:drawing>
              <wp:anchor distT="0" distB="0" distL="0" distR="0" allowOverlap="1" layoutInCell="1" locked="0" behindDoc="1" simplePos="0" relativeHeight="478005760">
                <wp:simplePos x="0" y="0"/>
                <wp:positionH relativeFrom="page">
                  <wp:posOffset>950112</wp:posOffset>
                </wp:positionH>
                <wp:positionV relativeFrom="paragraph">
                  <wp:posOffset>841659</wp:posOffset>
                </wp:positionV>
                <wp:extent cx="5505450" cy="5661025"/>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66.272415pt;width:433.5pt;height:445.75pt;mso-position-horizontal-relative:page;mso-position-vertical-relative:paragraph;z-index:-25310720" id="docshape9" coordorigin="1496,1325" coordsize="8670,8915" path="m2562,10045l1691,9174,1496,9369,2367,10240,2562,10045xm3154,9369l3153,9330,3148,9287,3139,9243,3125,9199,3106,9155,3083,9112,3055,9070,3025,9029,2991,8989,2954,8950,2435,8430,2241,8624,2772,9156,2805,9192,2829,9228,2846,9262,2856,9296,2858,9329,2851,9360,2837,9388,2816,9414,2790,9436,2761,9450,2730,9456,2697,9454,2663,9444,2628,9428,2593,9403,2557,9371,2026,8840,1831,9034,2351,9553,2385,9585,2424,9618,2468,9650,2516,9683,2548,9701,2583,9717,2620,9730,2658,9741,2697,9749,2733,9753,2767,9753,2800,9750,2831,9743,2863,9731,2895,9715,2926,9694,2957,9671,2985,9648,3011,9625,3035,9602,3071,9562,3102,9521,3125,9480,3142,9438,3150,9405,3154,9369xm3882,8586l3876,8522,3860,8456,3834,8389,3806,8335,3771,8279,3728,8221,3678,8162,3661,8144,3621,8102,3597,8080,3597,8574,3592,8614,3577,8651,3551,8684,3518,8709,3481,8724,3441,8729,3396,8722,3347,8704,3294,8673,3235,8628,3171,8568,3112,8505,3066,8445,3035,8391,3016,8342,3010,8298,3014,8257,3029,8221,3053,8190,3086,8164,3122,8149,3163,8144,3207,8149,3255,8166,3307,8196,3363,8238,3423,8293,3488,8363,3538,8426,3572,8482,3591,8530,3597,8574,3597,8080,3551,8037,3482,7982,3413,7937,3344,7901,3276,7876,3209,7860,3130,7854,3055,7864,2983,7890,2914,7930,2850,7986,2796,8049,2756,8117,2732,8189,2723,8264,2729,8344,2746,8412,2772,8481,2808,8551,2854,8621,2910,8691,2976,8762,3036,8819,3096,8869,3156,8911,3215,8945,3273,8973,3344,8997,3411,9011,3475,9014,3535,9008,3593,8992,3649,8965,3705,8927,3758,8879,3805,8825,3841,8769,3858,8729,3866,8710,3879,8649,3882,8586xm4153,8006l3966,7819,3712,8073,3899,8260,4153,8006xm4664,7944l3793,7072,3598,7267,4469,8139,4664,7944xm4998,7609l4675,7286,4781,7179,4832,7120,4837,7110,4866,7058,4883,6995,4882,6930,4866,6864,4843,6814,4836,6799,4792,6733,4733,6667,4670,6610,4607,6566,4598,6562,4598,6955,4597,6981,4587,7007,4570,7034,4546,7062,4498,7110,4304,6915,4359,6860,4386,6836,4412,6821,4438,6814,4462,6814,4486,6821,4509,6831,4531,6845,4552,6864,4570,6885,4584,6908,4593,6931,4598,6955,4598,6562,4544,6537,4483,6521,4423,6520,4365,6535,4309,6565,4255,6610,3931,6934,4803,7805,4998,7609xm5788,6820l5132,6164,5330,5965,5115,5750,4524,6342,4739,6557,4937,6358,5593,7014,5788,6820xm6423,6184l5767,5528,5966,5330,5751,5115,5159,5706,5374,5921,5573,5723,6229,6379,6423,6184xm7157,5311l7151,5247,7135,5181,7109,5114,7081,5060,7046,5004,7003,4947,6953,4888,6935,4869,6896,4827,6872,4805,6872,5299,6867,5339,6851,5376,6825,5409,6793,5434,6756,5449,6716,5454,6671,5447,6622,5429,6569,5398,6510,5353,6446,5294,6387,5230,6341,5170,6309,5116,6291,5067,6285,5023,6289,4983,6304,4947,6328,4915,6361,4890,6397,4874,6438,4869,6482,4874,6530,4891,6582,4921,6638,4963,6698,5018,6763,5088,6813,5151,6847,5207,6866,5255,6872,5299,6872,4805,6826,4762,6756,4707,6687,4662,6619,4627,6551,4601,6483,4585,6405,4579,6329,4589,6258,4615,6189,4655,6125,4711,6071,4774,6031,4842,6007,4914,5998,4989,6004,5069,6021,5137,6047,5206,6083,5276,6129,5346,6184,5416,6250,5487,6311,5544,6371,5594,6431,5636,6490,5671,6548,5698,6619,5722,6686,5736,6750,5739,6810,5733,6868,5717,6924,5690,6979,5652,7033,5604,7080,5550,7116,5494,7133,5454,7141,5435,7154,5374,7157,5311xm8170,4316l8165,4267,8153,4216,8134,4163,8109,4109,8079,4053,8041,3996,7980,4021,7799,4095,7831,4142,7855,4185,7873,4225,7884,4262,7887,4298,7881,4331,7866,4362,7843,4391,7812,4414,7778,4429,7740,4433,7700,4426,7653,4408,7600,4374,7538,4324,7469,4260,7417,4203,7375,4151,7344,4104,7324,4061,7311,4010,7312,3963,7325,3922,7352,3886,7367,3873,7384,3863,7402,3855,7422,3850,7442,3848,7464,3848,7486,3852,7509,3858,7524,3863,7542,3872,7563,3883,7586,3897,7705,3672,7622,3626,7543,3594,7469,3575,7400,3569,7333,3576,7269,3599,7206,3637,7146,3689,7092,3752,7054,3819,7030,3889,7021,3963,7027,4040,7044,4107,7070,4175,7106,4244,7153,4314,7209,4385,7276,4456,7341,4517,7404,4569,7467,4613,7529,4648,7590,4676,7662,4699,7730,4712,7791,4715,7847,4708,7900,4691,7952,4665,8004,4628,8056,4581,8094,4539,8125,4496,8147,4452,8161,4408,8169,4363,8170,4316xm8868,3600l8861,3536,8846,3470,8820,3404,8792,3349,8757,3293,8714,3236,8664,3177,8646,3158,8607,3116,8583,3094,8583,3588,8578,3628,8562,3665,8536,3698,8504,3723,8467,3739,8427,3743,8382,3737,8333,3719,8279,3687,8221,3642,8157,3583,8098,3519,8052,3460,8020,3406,8002,3356,7996,3312,8000,3272,8014,3236,8039,3204,8071,3179,8108,3163,8149,3158,8193,3163,8241,3180,8293,3210,8349,3252,8409,3307,8474,3377,8524,3440,8558,3496,8577,3545,8583,3588,8583,3094,8537,3051,8467,2996,8398,2951,8330,2916,8262,2890,8194,2874,8116,2869,8040,2879,7968,2904,7900,2945,7835,3000,7781,3064,7742,3131,7718,3203,7709,3279,7715,3358,7731,3427,7758,3496,7794,3565,7839,3635,7895,3705,7961,3776,8022,3833,8082,3883,8142,3925,8201,3960,8259,3987,8329,4011,8397,4025,8461,4029,8521,4022,8579,4006,8635,3979,8690,3941,8744,3893,8791,3839,8827,3783,8844,3743,8852,3724,8865,3663,8868,3600xm9348,3259l9025,2936,9132,2829,9182,2769,9188,2759,9216,2708,9233,2644,9233,2580,9217,2514,9194,2463,9187,2448,9142,2382,9084,2316,9020,2259,8957,2216,8948,2212,8948,2605,8947,2631,8938,2657,8921,2684,8896,2712,8849,2759,8654,2565,8710,2510,8737,2486,8763,2471,8788,2463,8812,2464,8836,2470,8859,2481,8881,2495,8902,2514,8920,2535,8934,2558,8943,2581,8948,2605,8948,2212,8895,2187,8833,2171,8773,2170,8715,2185,8659,2215,8605,2260,8282,2583,9153,3455,9348,3259xm10166,2441l9801,2077,9748,1927,9593,1475,9540,1325,9325,1541,9353,1611,9436,1822,9492,1962,9422,1934,9211,1851,9071,1795,8854,2011,9005,2064,9456,2219,9606,2272,9971,2636,10166,2441xe" filled="true" fillcolor="#c0c0c0" stroked="false">
                <v:path arrowok="t"/>
                <v:fill opacity="32896f" type="solid"/>
                <w10:wrap type="none"/>
              </v:shape>
            </w:pict>
          </mc:Fallback>
        </mc:AlternateContent>
      </w:r>
      <w:r>
        <w:rPr/>
        <w:t>It would have been very difficult if not impossible to complete this study without the assistance I got from many copyright materials, scholars, academic mentors, friends and family members. For this, I am very grateful to all the authors and publishers whose work were consulted and used in this work.</w:t>
      </w:r>
    </w:p>
    <w:p>
      <w:pPr>
        <w:pStyle w:val="BodyText"/>
        <w:spacing w:line="480" w:lineRule="auto" w:before="119"/>
        <w:ind w:right="739"/>
        <w:jc w:val="both"/>
      </w:pPr>
      <w:r>
        <w:rPr/>
        <w:t>I am indeed grateful to my erudite and articulated supervisor, Prof. S.M. Aguwamba and Prof. Adeghe Raphael Igbinosa the co-supervisor for their efficient and effective guide in the form of objective criticisms, patience and painstaking efforts in scrutinizing this work. My heartfelt gratitude also goes to the Dean of the Faculty, Prof. Raphael I. Adeghe and Head of Department,</w:t>
      </w:r>
      <w:r>
        <w:rPr>
          <w:spacing w:val="-1"/>
        </w:rPr>
        <w:t> </w:t>
      </w:r>
      <w:r>
        <w:rPr/>
        <w:t>Prof.</w:t>
      </w:r>
      <w:r>
        <w:rPr>
          <w:spacing w:val="-1"/>
        </w:rPr>
        <w:t> </w:t>
      </w:r>
      <w:r>
        <w:rPr/>
        <w:t>S.M. Aguwamba for</w:t>
      </w:r>
      <w:r>
        <w:rPr>
          <w:spacing w:val="-1"/>
        </w:rPr>
        <w:t> </w:t>
      </w:r>
      <w:r>
        <w:rPr/>
        <w:t>their</w:t>
      </w:r>
      <w:r>
        <w:rPr>
          <w:spacing w:val="-1"/>
        </w:rPr>
        <w:t> </w:t>
      </w:r>
      <w:r>
        <w:rPr/>
        <w:t>firm</w:t>
      </w:r>
      <w:r>
        <w:rPr>
          <w:spacing w:val="-1"/>
        </w:rPr>
        <w:t> </w:t>
      </w:r>
      <w:r>
        <w:rPr/>
        <w:t>and</w:t>
      </w:r>
      <w:r>
        <w:rPr>
          <w:spacing w:val="-2"/>
        </w:rPr>
        <w:t> </w:t>
      </w:r>
      <w:r>
        <w:rPr/>
        <w:t>focused</w:t>
      </w:r>
      <w:r>
        <w:rPr>
          <w:spacing w:val="-2"/>
        </w:rPr>
        <w:t> </w:t>
      </w:r>
      <w:r>
        <w:rPr/>
        <w:t>leadership</w:t>
      </w:r>
      <w:r>
        <w:rPr>
          <w:spacing w:val="-1"/>
        </w:rPr>
        <w:t> </w:t>
      </w:r>
      <w:r>
        <w:rPr/>
        <w:t>pattern</w:t>
      </w:r>
      <w:r>
        <w:rPr>
          <w:spacing w:val="-1"/>
        </w:rPr>
        <w:t> </w:t>
      </w:r>
      <w:r>
        <w:rPr/>
        <w:t>and, moreso for his motivating approach to me during this academic journey. To other lecturers in the department, I am grateful and indebted for the knowledge you impacted on me.</w:t>
      </w:r>
    </w:p>
    <w:p>
      <w:pPr>
        <w:pStyle w:val="BodyText"/>
        <w:spacing w:line="480" w:lineRule="auto" w:before="121"/>
        <w:ind w:right="733"/>
        <w:jc w:val="both"/>
      </w:pPr>
      <w:r>
        <w:rPr/>
        <w:t>Very sincere mention must be made of my</w:t>
      </w:r>
      <w:r>
        <w:rPr>
          <w:spacing w:val="-1"/>
        </w:rPr>
        <w:t> </w:t>
      </w:r>
      <w:r>
        <w:rPr/>
        <w:t>unique wife, Mrs.</w:t>
      </w:r>
      <w:r>
        <w:rPr>
          <w:spacing w:val="-2"/>
        </w:rPr>
        <w:t> </w:t>
      </w:r>
      <w:r>
        <w:rPr/>
        <w:t>Obriki Brillance, my children – Prince and Princess, and my family members for their support and encouragement. May the Almighty God reward you for your love, understanding and sacrifices. To my friends and colleague, Agboma Anthony,</w:t>
      </w:r>
      <w:r>
        <w:rPr>
          <w:spacing w:val="-1"/>
        </w:rPr>
        <w:t> </w:t>
      </w:r>
      <w:r>
        <w:rPr/>
        <w:t>Ebegha Lewis, Otemu</w:t>
      </w:r>
      <w:r>
        <w:rPr>
          <w:spacing w:val="-2"/>
        </w:rPr>
        <w:t> </w:t>
      </w:r>
      <w:r>
        <w:rPr/>
        <w:t>Oghenevwogaga, Estsemitan</w:t>
      </w:r>
      <w:r>
        <w:rPr>
          <w:spacing w:val="-2"/>
        </w:rPr>
        <w:t> </w:t>
      </w:r>
      <w:r>
        <w:rPr/>
        <w:t>Rita,</w:t>
      </w:r>
      <w:r>
        <w:rPr>
          <w:spacing w:val="-1"/>
        </w:rPr>
        <w:t> </w:t>
      </w:r>
      <w:r>
        <w:rPr/>
        <w:t>D. E. Anuya, Ogbugbulu Ifenyi, Daniel Godless, and Ahoro Monday and Okumah James, I remain sincerely grateful and indebted to you for your kind gestures.</w:t>
      </w:r>
    </w:p>
    <w:p>
      <w:pPr>
        <w:pStyle w:val="BodyText"/>
        <w:spacing w:line="480" w:lineRule="auto" w:before="120"/>
        <w:ind w:right="742"/>
        <w:jc w:val="both"/>
      </w:pPr>
      <w:r>
        <w:rPr/>
        <w:t>Finally, I thank God Almighty for His love, care and protection throughout the duration of this programme.</w:t>
      </w:r>
    </w:p>
    <w:p>
      <w:pPr>
        <w:spacing w:after="0" w:line="480" w:lineRule="auto"/>
        <w:jc w:val="both"/>
        <w:sectPr>
          <w:pgSz w:w="12240" w:h="15840"/>
          <w:pgMar w:header="0" w:footer="1012" w:top="1380" w:bottom="1200" w:left="1220" w:right="700"/>
        </w:sectPr>
      </w:pPr>
    </w:p>
    <w:p>
      <w:pPr>
        <w:pStyle w:val="Heading1"/>
        <w:ind w:right="690"/>
      </w:pPr>
      <w:bookmarkStart w:name="_TOC_250071" w:id="4"/>
      <w:r>
        <w:rPr/>
        <w:t>TABLE</w:t>
      </w:r>
      <w:r>
        <w:rPr>
          <w:spacing w:val="-9"/>
        </w:rPr>
        <w:t> </w:t>
      </w:r>
      <w:r>
        <w:rPr/>
        <w:t>OF</w:t>
      </w:r>
      <w:r>
        <w:rPr>
          <w:spacing w:val="-6"/>
        </w:rPr>
        <w:t> </w:t>
      </w:r>
      <w:bookmarkEnd w:id="4"/>
      <w:r>
        <w:rPr>
          <w:spacing w:val="-2"/>
        </w:rPr>
        <w:t>CONTENTS</w:t>
      </w:r>
    </w:p>
    <w:p>
      <w:pPr>
        <w:pStyle w:val="BodyText"/>
        <w:ind w:left="0"/>
        <w:rPr>
          <w:b/>
        </w:rPr>
      </w:pPr>
    </w:p>
    <w:p>
      <w:pPr>
        <w:pStyle w:val="BodyText"/>
        <w:tabs>
          <w:tab w:pos="8861" w:val="left" w:leader="none"/>
        </w:tabs>
        <w:spacing w:before="1"/>
      </w:pPr>
      <w:r>
        <w:rPr/>
        <w:t>Cover</w:t>
      </w:r>
      <w:r>
        <w:rPr>
          <w:spacing w:val="-9"/>
        </w:rPr>
        <w:t> </w:t>
      </w:r>
      <w:r>
        <w:rPr>
          <w:spacing w:val="-4"/>
        </w:rPr>
        <w:t>Page</w:t>
      </w:r>
      <w:r>
        <w:rPr/>
        <w:tab/>
      </w:r>
      <w:r>
        <w:rPr>
          <w:spacing w:val="-10"/>
        </w:rPr>
        <w:t>i</w:t>
      </w:r>
    </w:p>
    <w:p>
      <w:pPr>
        <w:spacing w:after="0"/>
        <w:sectPr>
          <w:pgSz w:w="12240" w:h="15840"/>
          <w:pgMar w:header="0" w:footer="1012" w:top="1380" w:bottom="1443" w:left="1220" w:right="700"/>
        </w:sectPr>
      </w:pPr>
    </w:p>
    <w:sdt>
      <w:sdtPr>
        <w:docPartObj>
          <w:docPartGallery w:val="Table of Contents"/>
          <w:docPartUnique/>
        </w:docPartObj>
      </w:sdtPr>
      <w:sdtEndPr/>
      <w:sdtContent>
        <w:p>
          <w:pPr>
            <w:pStyle w:val="TOC3"/>
            <w:tabs>
              <w:tab w:pos="9001" w:val="right" w:leader="none"/>
            </w:tabs>
            <w:ind w:left="220" w:firstLine="0"/>
          </w:pPr>
          <w:r>
            <w:rPr/>
            <w:t>Title</w:t>
          </w:r>
          <w:r>
            <w:rPr>
              <w:spacing w:val="-6"/>
            </w:rPr>
            <w:t> </w:t>
          </w:r>
          <w:r>
            <w:rPr>
              <w:spacing w:val="-4"/>
            </w:rPr>
            <w:t>Page</w:t>
          </w:r>
          <w:r>
            <w:rPr/>
            <w:tab/>
          </w:r>
          <w:r>
            <w:rPr>
              <w:spacing w:val="-5"/>
            </w:rPr>
            <w:t>ii</w:t>
          </w:r>
        </w:p>
        <w:p>
          <w:pPr>
            <w:pStyle w:val="TOC3"/>
            <w:tabs>
              <w:tab w:pos="9070" w:val="right" w:leader="none"/>
            </w:tabs>
            <w:spacing w:before="288"/>
            <w:ind w:left="220" w:firstLine="0"/>
          </w:pPr>
          <w:r>
            <w:rPr/>
            <mc:AlternateContent>
              <mc:Choice Requires="wps">
                <w:drawing>
                  <wp:anchor distT="0" distB="0" distL="0" distR="0" allowOverlap="1" layoutInCell="1" locked="0" behindDoc="1" simplePos="0" relativeHeight="478006272">
                    <wp:simplePos x="0" y="0"/>
                    <wp:positionH relativeFrom="page">
                      <wp:posOffset>950112</wp:posOffset>
                    </wp:positionH>
                    <wp:positionV relativeFrom="paragraph">
                      <wp:posOffset>370520</wp:posOffset>
                    </wp:positionV>
                    <wp:extent cx="5505450" cy="5661025"/>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29.174854pt;width:433.5pt;height:445.75pt;mso-position-horizontal-relative:page;mso-position-vertical-relative:paragraph;z-index:-25310208" id="docshape10" coordorigin="1496,583" coordsize="8670,8915" path="m2562,9303l1691,8432,1496,8627,2367,9498,2562,9303xm3154,8627l3153,8588,3148,8545,3139,8501,3125,8457,3106,8414,3083,8370,3055,8328,3025,8287,2991,8247,2954,8208,2435,7688,2241,7882,2772,8414,2805,8450,2829,8486,2846,8520,2856,8554,2858,8587,2851,8618,2837,8646,2816,8672,2790,8694,2761,8708,2730,8714,2697,8712,2663,8702,2628,8686,2593,8661,2557,8629,2026,8098,1831,8292,2351,8811,2385,8843,2424,8876,2468,8908,2516,8941,2548,8960,2583,8975,2620,8988,2658,8999,2697,9007,2733,9011,2767,9011,2800,9008,2831,9001,2863,8989,2895,8973,2926,8952,2957,8929,2985,8906,3011,8883,3035,8860,3071,8820,3102,8780,3125,8738,3142,8696,3150,8663,3154,8627xm3882,7844l3876,7780,3860,7714,3834,7647,3806,7593,3771,7537,3728,7480,3678,7421,3661,7402,3621,7360,3597,7338,3597,7832,3592,7872,3577,7909,3551,7942,3518,7967,3481,7982,3441,7987,3396,7980,3347,7962,3294,7931,3235,7886,3171,7827,3112,7763,3066,7704,3035,7649,3016,7600,3010,7556,3014,7515,3029,7480,3053,7448,3086,7422,3122,7407,3163,7402,3207,7407,3255,7424,3307,7454,3363,7496,3423,7551,3488,7621,3538,7684,3572,7740,3591,7788,3597,7832,3597,7338,3551,7295,3482,7240,3413,7195,3344,7159,3276,7134,3209,7118,3130,7112,3055,7122,2983,7148,2914,7188,2850,7244,2796,7307,2756,7375,2732,7447,2723,7522,2729,7602,2746,7670,2772,7739,2808,7809,2854,7879,2910,7949,2976,8020,3036,8077,3096,8127,3156,8169,3215,8204,3273,8231,3344,8255,3411,8269,3475,8272,3535,8266,3593,8250,3649,8223,3705,8185,3758,8137,3805,8083,3841,8027,3858,7987,3866,7968,3879,7907,3882,7844xm4153,7264l3966,7077,3712,7331,3899,7518,4153,7264xm4664,7202l3793,6330,3598,6525,4469,7397,4664,7202xm4998,6867l4675,6544,4781,6437,4832,6378,4837,6368,4866,6316,4883,6253,4882,6188,4866,6122,4843,6072,4836,6057,4792,5991,4733,5925,4670,5868,4607,5825,4598,5820,4598,6213,4597,6239,4587,6265,4570,6292,4546,6320,4498,6368,4304,6173,4359,6118,4386,6094,4412,6079,4438,6072,4462,6072,4486,6079,4509,6089,4531,6103,4552,6122,4570,6143,4584,6166,4593,6189,4598,6213,4598,5820,4544,5795,4483,5779,4423,5778,4365,5793,4309,5823,4255,5868,3931,6192,4803,7063,4998,6867xm5788,6078l5132,5422,5330,5223,5115,5008,4524,5600,4739,5815,4937,5616,5593,6272,5788,6078xm6423,5442l5767,4786,5966,4588,5751,4373,5159,4964,5374,5179,5573,4981,6229,5637,6423,5442xm7157,4569l7151,4505,7135,4439,7109,4372,7081,4318,7046,4262,7003,4205,6953,4146,6935,4127,6896,4085,6872,4063,6872,4557,6867,4597,6851,4634,6825,4667,6793,4693,6756,4707,6716,4712,6671,4705,6622,4687,6569,4656,6510,4611,6446,4552,6387,4488,6341,4429,6309,4374,6291,4325,6285,4281,6289,4241,6304,4205,6328,4173,6361,4148,6397,4132,6438,4127,6482,4132,6530,4149,6582,4179,6638,4221,6698,4276,6763,4346,6813,4409,6847,4465,6866,4513,6872,4557,6872,4063,6826,4020,6756,3965,6687,3920,6619,3885,6551,3859,6483,3843,6405,3838,6329,3848,6258,3873,6189,3913,6125,3969,6071,4032,6031,4100,6007,4172,5998,4247,6004,4327,6021,4395,6047,4464,6083,4534,6129,4604,6184,4674,6250,4745,6311,4802,6371,4852,6431,4894,6490,4929,6548,4956,6619,4980,6686,4994,6750,4998,6810,4991,6868,4975,6924,4948,6979,4910,7033,4862,7080,4808,7116,4752,7133,4712,7141,4693,7154,4632,7157,4569xm8170,3574l8165,3525,8153,3474,8134,3421,8109,3367,8079,3311,8041,3254,7980,3279,7799,3353,7831,3400,7855,3443,7873,3483,7884,3520,7887,3556,7881,3589,7866,3620,7843,3649,7812,3673,7778,3687,7740,3691,7700,3684,7653,3666,7600,3632,7538,3582,7469,3518,7417,3461,7375,3409,7344,3362,7324,3319,7311,3268,7312,3221,7325,3180,7352,3144,7367,3131,7384,3121,7402,3113,7422,3108,7442,3106,7464,3106,7486,3110,7509,3116,7524,3122,7542,3130,7563,3141,7586,3155,7705,2930,7622,2884,7543,2852,7469,2833,7400,2827,7333,2834,7269,2857,7206,2895,7146,2947,7092,3010,7054,3077,7030,3147,7021,3221,7027,3298,7044,3365,7070,3433,7106,3502,7153,3572,7209,3643,7276,3714,7341,3775,7404,3827,7467,3871,7529,3906,7590,3934,7662,3957,7730,3970,7791,3973,7847,3966,7900,3949,7952,3923,8004,3886,8056,3839,8094,3797,8125,3754,8147,3710,8161,3666,8169,3621,8170,3574xm8868,2858l8861,2794,8846,2729,8820,2662,8792,2607,8757,2551,8714,2494,8664,2435,8646,2416,8607,2374,8583,2352,8583,2846,8578,2886,8562,2923,8536,2956,8504,2982,8467,2997,8427,3001,8382,2995,8333,2977,8279,2945,8221,2900,8157,2841,8098,2777,8052,2718,8020,2664,8002,2615,7996,2570,8000,2530,8014,2494,8039,2462,8071,2437,8108,2421,8149,2416,8193,2421,8241,2438,8293,2468,8349,2510,8409,2565,8474,2635,8524,2698,8558,2754,8577,2803,8583,2846,8583,2352,8537,2309,8467,2254,8398,2209,8330,2174,8262,2148,8194,2132,8116,2127,8040,2137,7968,2162,7900,2203,7835,2258,7781,2322,7742,2389,7718,2461,7709,2537,7715,2616,7731,2685,7758,2754,7794,2823,7839,2893,7895,2963,7961,3034,8022,3091,8082,3141,8142,3183,8201,3218,8259,3245,8329,3270,8397,3283,8461,3287,8521,3280,8579,3264,8635,3237,8690,3199,8744,3151,8791,3097,8827,3041,8844,3001,8852,2982,8865,2921,8868,2858xm9348,2517l9025,2194,9132,2087,9182,2027,9188,2017,9216,1966,9233,1903,9233,1838,9217,1772,9194,1721,9187,1706,9142,1640,9084,1574,9020,1517,8957,1474,8948,1470,8948,1863,8947,1889,8938,1915,8921,1942,8896,1970,8849,2017,8654,1823,8710,1768,8737,1744,8763,1729,8788,1721,8812,1722,8836,1728,8859,1739,8881,1753,8902,1772,8920,1793,8934,1816,8943,1839,8948,1863,8948,1470,8895,1445,8833,1429,8773,1428,8715,1443,8659,1473,8605,1518,8282,1841,9153,2713,9348,2517xm10166,1699l9801,1335,9748,1185,9593,733,9540,583,9325,799,9353,869,9436,1080,9492,1220,9422,1192,9211,1109,9071,1053,8854,1269,9005,1322,9456,1477,9606,1530,9971,1894,10166,1699xe" filled="true" fillcolor="#c0c0c0" stroked="false">
                    <v:path arrowok="t"/>
                    <v:fill opacity="32896f" type="solid"/>
                    <w10:wrap type="none"/>
                  </v:shape>
                </w:pict>
              </mc:Fallback>
            </mc:AlternateContent>
          </w:r>
          <w:hyperlink w:history="true" w:anchor="_TOC_250074">
            <w:r>
              <w:rPr>
                <w:spacing w:val="-2"/>
              </w:rPr>
              <w:t>Declaration</w:t>
            </w:r>
            <w:r>
              <w:rPr/>
              <w:tab/>
            </w:r>
            <w:r>
              <w:rPr>
                <w:spacing w:val="-5"/>
              </w:rPr>
              <w:t>iii</w:t>
            </w:r>
          </w:hyperlink>
        </w:p>
        <w:p>
          <w:pPr>
            <w:pStyle w:val="TOC3"/>
            <w:tabs>
              <w:tab w:pos="9056" w:val="right" w:leader="none"/>
            </w:tabs>
            <w:ind w:left="220" w:firstLine="0"/>
          </w:pPr>
          <w:hyperlink w:history="true" w:anchor="_TOC_250073">
            <w:r>
              <w:rPr>
                <w:spacing w:val="-2"/>
              </w:rPr>
              <w:t>Certification</w:t>
            </w:r>
            <w:r>
              <w:rPr/>
              <w:tab/>
            </w:r>
            <w:r>
              <w:rPr>
                <w:spacing w:val="-5"/>
              </w:rPr>
              <w:t>iv</w:t>
            </w:r>
          </w:hyperlink>
        </w:p>
        <w:p>
          <w:pPr>
            <w:pStyle w:val="TOC3"/>
            <w:tabs>
              <w:tab w:pos="8986" w:val="right" w:leader="none"/>
            </w:tabs>
            <w:spacing w:before="289"/>
            <w:ind w:left="220" w:firstLine="0"/>
          </w:pPr>
          <w:hyperlink w:history="true" w:anchor="_TOC_250072">
            <w:r>
              <w:rPr>
                <w:spacing w:val="-2"/>
              </w:rPr>
              <w:t>Dedication</w:t>
            </w:r>
            <w:r>
              <w:rPr/>
              <w:tab/>
            </w:r>
            <w:r>
              <w:rPr>
                <w:spacing w:val="-10"/>
              </w:rPr>
              <w:t>v</w:t>
            </w:r>
          </w:hyperlink>
        </w:p>
        <w:p>
          <w:pPr>
            <w:pStyle w:val="TOC3"/>
            <w:tabs>
              <w:tab w:pos="9056" w:val="right" w:leader="none"/>
            </w:tabs>
            <w:spacing w:before="287"/>
            <w:ind w:left="220" w:firstLine="0"/>
          </w:pPr>
          <w:r>
            <w:rPr>
              <w:spacing w:val="-2"/>
            </w:rPr>
            <w:t>Acknowledgement</w:t>
          </w:r>
          <w:r>
            <w:rPr/>
            <w:tab/>
          </w:r>
          <w:r>
            <w:rPr>
              <w:spacing w:val="-5"/>
            </w:rPr>
            <w:t>vi</w:t>
          </w:r>
        </w:p>
        <w:p>
          <w:pPr>
            <w:pStyle w:val="TOC3"/>
            <w:tabs>
              <w:tab w:pos="9125" w:val="right" w:leader="none"/>
            </w:tabs>
            <w:spacing w:before="288"/>
            <w:ind w:left="220" w:firstLine="0"/>
          </w:pPr>
          <w:hyperlink w:history="true" w:anchor="_TOC_250071">
            <w:r>
              <w:rPr/>
              <w:t>Table</w:t>
            </w:r>
            <w:r>
              <w:rPr>
                <w:spacing w:val="-5"/>
              </w:rPr>
              <w:t> </w:t>
            </w:r>
            <w:r>
              <w:rPr/>
              <w:t>of</w:t>
            </w:r>
            <w:r>
              <w:rPr>
                <w:spacing w:val="-5"/>
              </w:rPr>
              <w:t> </w:t>
            </w:r>
            <w:r>
              <w:rPr>
                <w:spacing w:val="-2"/>
              </w:rPr>
              <w:t>Contents</w:t>
            </w:r>
            <w:r>
              <w:rPr/>
              <w:tab/>
            </w:r>
            <w:r>
              <w:rPr>
                <w:spacing w:val="-5"/>
              </w:rPr>
              <w:t>vii</w:t>
            </w:r>
          </w:hyperlink>
        </w:p>
        <w:p>
          <w:pPr>
            <w:pStyle w:val="TOC3"/>
            <w:tabs>
              <w:tab w:pos="9194" w:val="right" w:leader="none"/>
            </w:tabs>
            <w:spacing w:before="289"/>
            <w:ind w:left="220" w:firstLine="0"/>
          </w:pPr>
          <w:hyperlink w:history="true" w:anchor="_TOC_250070">
            <w:r>
              <w:rPr/>
              <w:t>List</w:t>
            </w:r>
            <w:r>
              <w:rPr>
                <w:spacing w:val="-4"/>
              </w:rPr>
              <w:t> </w:t>
            </w:r>
            <w:r>
              <w:rPr/>
              <w:t>of</w:t>
            </w:r>
            <w:r>
              <w:rPr>
                <w:spacing w:val="-2"/>
              </w:rPr>
              <w:t> Tables</w:t>
            </w:r>
            <w:r>
              <w:rPr/>
              <w:tab/>
            </w:r>
            <w:r>
              <w:rPr>
                <w:spacing w:val="-4"/>
              </w:rPr>
              <w:t>viii</w:t>
            </w:r>
          </w:hyperlink>
        </w:p>
        <w:p>
          <w:pPr>
            <w:pStyle w:val="TOC3"/>
            <w:tabs>
              <w:tab w:pos="9194" w:val="right" w:leader="none"/>
            </w:tabs>
            <w:ind w:left="220" w:firstLine="0"/>
          </w:pPr>
          <w:hyperlink w:history="true" w:anchor="_TOC_250069">
            <w:r>
              <w:rPr>
                <w:spacing w:val="-2"/>
              </w:rPr>
              <w:t>Abstract</w:t>
            </w:r>
            <w:r>
              <w:rPr/>
              <w:tab/>
            </w:r>
            <w:r>
              <w:rPr>
                <w:spacing w:val="-4"/>
              </w:rPr>
              <w:t>xiii</w:t>
            </w:r>
          </w:hyperlink>
        </w:p>
        <w:p>
          <w:pPr>
            <w:pStyle w:val="TOC2"/>
          </w:pPr>
          <w:hyperlink w:history="true" w:anchor="_TOC_250068">
            <w:r>
              <w:rPr/>
              <w:t>CHAPTER</w:t>
            </w:r>
            <w:r>
              <w:rPr>
                <w:spacing w:val="-11"/>
              </w:rPr>
              <w:t> </w:t>
            </w:r>
            <w:r>
              <w:rPr/>
              <w:t>ONE:</w:t>
            </w:r>
            <w:r>
              <w:rPr>
                <w:spacing w:val="-10"/>
              </w:rPr>
              <w:t> </w:t>
            </w:r>
            <w:r>
              <w:rPr>
                <w:spacing w:val="-2"/>
              </w:rPr>
              <w:t>INTRODUCTION</w:t>
            </w:r>
          </w:hyperlink>
        </w:p>
        <w:p>
          <w:pPr>
            <w:pStyle w:val="TOC3"/>
            <w:numPr>
              <w:ilvl w:val="1"/>
              <w:numId w:val="1"/>
            </w:numPr>
            <w:tabs>
              <w:tab w:pos="593" w:val="left" w:leader="none"/>
              <w:tab w:pos="8986" w:val="right" w:leader="none"/>
            </w:tabs>
            <w:spacing w:line="240" w:lineRule="auto" w:before="289" w:after="0"/>
            <w:ind w:left="593" w:right="0" w:hanging="373"/>
            <w:jc w:val="left"/>
          </w:pPr>
          <w:r>
            <w:rPr/>
            <mc:AlternateContent>
              <mc:Choice Requires="wps">
                <w:drawing>
                  <wp:anchor distT="0" distB="0" distL="0" distR="0" allowOverlap="1" layoutInCell="1" locked="0" behindDoc="1" simplePos="0" relativeHeight="478006784">
                    <wp:simplePos x="0" y="0"/>
                    <wp:positionH relativeFrom="page">
                      <wp:posOffset>896416</wp:posOffset>
                    </wp:positionH>
                    <wp:positionV relativeFrom="paragraph">
                      <wp:posOffset>183650</wp:posOffset>
                    </wp:positionV>
                    <wp:extent cx="5981065" cy="292100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5981065" cy="2921000"/>
                            </a:xfrm>
                            <a:custGeom>
                              <a:avLst/>
                              <a:gdLst/>
                              <a:ahLst/>
                              <a:cxnLst/>
                              <a:rect l="l" t="t" r="r" b="b"/>
                              <a:pathLst>
                                <a:path w="5981065" h="2921000">
                                  <a:moveTo>
                                    <a:pt x="5981065" y="2190369"/>
                                  </a:moveTo>
                                  <a:lnTo>
                                    <a:pt x="0" y="2190369"/>
                                  </a:lnTo>
                                  <a:lnTo>
                                    <a:pt x="0" y="2556433"/>
                                  </a:lnTo>
                                  <a:lnTo>
                                    <a:pt x="0" y="2920669"/>
                                  </a:lnTo>
                                  <a:lnTo>
                                    <a:pt x="5981065" y="2920669"/>
                                  </a:lnTo>
                                  <a:lnTo>
                                    <a:pt x="5981065" y="2556433"/>
                                  </a:lnTo>
                                  <a:lnTo>
                                    <a:pt x="5981065" y="2190369"/>
                                  </a:lnTo>
                                  <a:close/>
                                </a:path>
                                <a:path w="5981065" h="2921000">
                                  <a:moveTo>
                                    <a:pt x="5981065" y="0"/>
                                  </a:moveTo>
                                  <a:lnTo>
                                    <a:pt x="0" y="0"/>
                                  </a:lnTo>
                                  <a:lnTo>
                                    <a:pt x="0" y="366064"/>
                                  </a:lnTo>
                                  <a:lnTo>
                                    <a:pt x="0" y="730300"/>
                                  </a:lnTo>
                                  <a:lnTo>
                                    <a:pt x="0" y="1096060"/>
                                  </a:lnTo>
                                  <a:lnTo>
                                    <a:pt x="0" y="1460296"/>
                                  </a:lnTo>
                                  <a:lnTo>
                                    <a:pt x="0" y="1826056"/>
                                  </a:lnTo>
                                  <a:lnTo>
                                    <a:pt x="0" y="2190292"/>
                                  </a:lnTo>
                                  <a:lnTo>
                                    <a:pt x="5981065" y="2190292"/>
                                  </a:lnTo>
                                  <a:lnTo>
                                    <a:pt x="5981065" y="366064"/>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4.46063pt;width:470.95pt;height:230pt;mso-position-horizontal-relative:page;mso-position-vertical-relative:paragraph;z-index:-25309696" id="docshape11" coordorigin="1412,289" coordsize="9419,4600" path="m10831,3739l1412,3739,1412,4315,1412,4889,10831,4889,10831,4315,10831,3739xm10831,289l1412,289,1412,866,1412,1439,1412,2015,1412,2589,1412,3165,1412,3738,10831,3738,10831,3165,10831,2589,10831,2015,10831,1439,10831,866,10831,289xe" filled="true" fillcolor="#ffffff" stroked="false">
                    <v:path arrowok="t"/>
                    <v:fill type="solid"/>
                    <w10:wrap type="none"/>
                  </v:shape>
                </w:pict>
              </mc:Fallback>
            </mc:AlternateContent>
          </w:r>
          <w:hyperlink w:history="true" w:anchor="_TOC_250067">
            <w:r>
              <w:rPr/>
              <w:t>Background</w:t>
            </w:r>
            <w:r>
              <w:rPr>
                <w:spacing w:val="-7"/>
              </w:rPr>
              <w:t> </w:t>
            </w:r>
            <w:r>
              <w:rPr/>
              <w:t>to</w:t>
            </w:r>
            <w:r>
              <w:rPr>
                <w:spacing w:val="-7"/>
              </w:rPr>
              <w:t> </w:t>
            </w:r>
            <w:r>
              <w:rPr/>
              <w:t>the</w:t>
            </w:r>
            <w:r>
              <w:rPr>
                <w:spacing w:val="-7"/>
              </w:rPr>
              <w:t> </w:t>
            </w:r>
            <w:r>
              <w:rPr>
                <w:spacing w:val="-2"/>
              </w:rPr>
              <w:t>Study</w:t>
            </w:r>
            <w:r>
              <w:rPr/>
              <w:tab/>
            </w:r>
            <w:r>
              <w:rPr>
                <w:spacing w:val="-10"/>
              </w:rPr>
              <w:t>1</w:t>
            </w:r>
          </w:hyperlink>
        </w:p>
        <w:p>
          <w:pPr>
            <w:pStyle w:val="TOC3"/>
            <w:numPr>
              <w:ilvl w:val="1"/>
              <w:numId w:val="1"/>
            </w:numPr>
            <w:tabs>
              <w:tab w:pos="593" w:val="left" w:leader="none"/>
              <w:tab w:pos="8986" w:val="right" w:leader="none"/>
            </w:tabs>
            <w:spacing w:line="240" w:lineRule="auto" w:before="288" w:after="0"/>
            <w:ind w:left="593" w:right="0" w:hanging="373"/>
            <w:jc w:val="left"/>
          </w:pPr>
          <w:hyperlink w:history="true" w:anchor="_TOC_250066">
            <w:r>
              <w:rPr/>
              <w:t>Statement</w:t>
            </w:r>
            <w:r>
              <w:rPr>
                <w:spacing w:val="-7"/>
              </w:rPr>
              <w:t> </w:t>
            </w:r>
            <w:r>
              <w:rPr/>
              <w:t>of</w:t>
            </w:r>
            <w:r>
              <w:rPr>
                <w:spacing w:val="-5"/>
              </w:rPr>
              <w:t> </w:t>
            </w:r>
            <w:r>
              <w:rPr/>
              <w:t>the</w:t>
            </w:r>
            <w:r>
              <w:rPr>
                <w:spacing w:val="-6"/>
              </w:rPr>
              <w:t> </w:t>
            </w:r>
            <w:r>
              <w:rPr>
                <w:spacing w:val="-2"/>
              </w:rPr>
              <w:t>Problem</w:t>
            </w:r>
            <w:r>
              <w:rPr/>
              <w:tab/>
            </w:r>
            <w:r>
              <w:rPr>
                <w:spacing w:val="-10"/>
              </w:rPr>
              <w:t>6</w:t>
            </w:r>
          </w:hyperlink>
        </w:p>
        <w:p>
          <w:pPr>
            <w:pStyle w:val="TOC3"/>
            <w:numPr>
              <w:ilvl w:val="1"/>
              <w:numId w:val="1"/>
            </w:numPr>
            <w:tabs>
              <w:tab w:pos="593" w:val="left" w:leader="none"/>
              <w:tab w:pos="8986" w:val="right" w:leader="none"/>
            </w:tabs>
            <w:spacing w:line="240" w:lineRule="auto" w:before="286" w:after="0"/>
            <w:ind w:left="593" w:right="0" w:hanging="373"/>
            <w:jc w:val="left"/>
          </w:pPr>
          <w:hyperlink w:history="true" w:anchor="_TOC_250065">
            <w:r>
              <w:rPr/>
              <w:t>Objectives</w:t>
            </w:r>
            <w:r>
              <w:rPr>
                <w:spacing w:val="-6"/>
              </w:rPr>
              <w:t> </w:t>
            </w:r>
            <w:r>
              <w:rPr/>
              <w:t>of</w:t>
            </w:r>
            <w:r>
              <w:rPr>
                <w:spacing w:val="-6"/>
              </w:rPr>
              <w:t> </w:t>
            </w:r>
            <w:r>
              <w:rPr/>
              <w:t>the</w:t>
            </w:r>
            <w:r>
              <w:rPr>
                <w:spacing w:val="-6"/>
              </w:rPr>
              <w:t> </w:t>
            </w:r>
            <w:r>
              <w:rPr>
                <w:spacing w:val="-4"/>
              </w:rPr>
              <w:t>Study</w:t>
            </w:r>
            <w:r>
              <w:rPr/>
              <w:tab/>
            </w:r>
            <w:r>
              <w:rPr>
                <w:spacing w:val="-10"/>
              </w:rPr>
              <w:t>8</w:t>
            </w:r>
          </w:hyperlink>
        </w:p>
        <w:p>
          <w:pPr>
            <w:pStyle w:val="TOC3"/>
            <w:numPr>
              <w:ilvl w:val="1"/>
              <w:numId w:val="1"/>
            </w:numPr>
            <w:tabs>
              <w:tab w:pos="593" w:val="left" w:leader="none"/>
              <w:tab w:pos="8986" w:val="right" w:leader="none"/>
            </w:tabs>
            <w:spacing w:line="240" w:lineRule="auto" w:before="289" w:after="0"/>
            <w:ind w:left="593" w:right="0" w:hanging="373"/>
            <w:jc w:val="left"/>
          </w:pPr>
          <w:hyperlink w:history="true" w:anchor="_TOC_250064">
            <w:r>
              <w:rPr/>
              <w:t>Research</w:t>
            </w:r>
            <w:r>
              <w:rPr>
                <w:spacing w:val="-13"/>
              </w:rPr>
              <w:t> </w:t>
            </w:r>
            <w:r>
              <w:rPr>
                <w:spacing w:val="-2"/>
              </w:rPr>
              <w:t>Questions</w:t>
            </w:r>
            <w:r>
              <w:rPr/>
              <w:tab/>
            </w:r>
            <w:r>
              <w:rPr>
                <w:spacing w:val="-10"/>
              </w:rPr>
              <w:t>8</w:t>
            </w:r>
          </w:hyperlink>
        </w:p>
        <w:p>
          <w:pPr>
            <w:pStyle w:val="TOC3"/>
            <w:numPr>
              <w:ilvl w:val="1"/>
              <w:numId w:val="1"/>
            </w:numPr>
            <w:tabs>
              <w:tab w:pos="593" w:val="left" w:leader="none"/>
              <w:tab w:pos="8986" w:val="right" w:leader="none"/>
            </w:tabs>
            <w:spacing w:line="240" w:lineRule="auto" w:before="286" w:after="0"/>
            <w:ind w:left="593" w:right="0" w:hanging="373"/>
            <w:jc w:val="left"/>
          </w:pPr>
          <w:hyperlink w:history="true" w:anchor="_TOC_250063">
            <w:r>
              <w:rPr>
                <w:spacing w:val="-2"/>
              </w:rPr>
              <w:t>Hypotheses</w:t>
            </w:r>
            <w:r>
              <w:rPr/>
              <w:tab/>
            </w:r>
            <w:r>
              <w:rPr>
                <w:spacing w:val="-10"/>
              </w:rPr>
              <w:t>9</w:t>
            </w:r>
          </w:hyperlink>
        </w:p>
        <w:p>
          <w:pPr>
            <w:pStyle w:val="TOC3"/>
            <w:numPr>
              <w:ilvl w:val="1"/>
              <w:numId w:val="1"/>
            </w:numPr>
            <w:tabs>
              <w:tab w:pos="593" w:val="left" w:leader="none"/>
              <w:tab w:pos="8986" w:val="right" w:leader="none"/>
            </w:tabs>
            <w:spacing w:line="240" w:lineRule="auto" w:before="289" w:after="0"/>
            <w:ind w:left="593" w:right="0" w:hanging="373"/>
            <w:jc w:val="left"/>
          </w:pPr>
          <w:hyperlink w:history="true" w:anchor="_TOC_250062">
            <w:r>
              <w:rPr/>
              <w:t>Significance</w:t>
            </w:r>
            <w:r>
              <w:rPr>
                <w:spacing w:val="-8"/>
              </w:rPr>
              <w:t> </w:t>
            </w:r>
            <w:r>
              <w:rPr/>
              <w:t>of</w:t>
            </w:r>
            <w:r>
              <w:rPr>
                <w:spacing w:val="-7"/>
              </w:rPr>
              <w:t> </w:t>
            </w:r>
            <w:r>
              <w:rPr/>
              <w:t>the</w:t>
            </w:r>
            <w:r>
              <w:rPr>
                <w:spacing w:val="-4"/>
              </w:rPr>
              <w:t> Study</w:t>
            </w:r>
            <w:r>
              <w:rPr/>
              <w:tab/>
            </w:r>
            <w:r>
              <w:rPr>
                <w:spacing w:val="-10"/>
              </w:rPr>
              <w:t>9</w:t>
            </w:r>
          </w:hyperlink>
        </w:p>
        <w:p>
          <w:pPr>
            <w:pStyle w:val="TOC3"/>
            <w:numPr>
              <w:ilvl w:val="1"/>
              <w:numId w:val="1"/>
            </w:numPr>
            <w:tabs>
              <w:tab w:pos="593" w:val="left" w:leader="none"/>
              <w:tab w:pos="9111" w:val="right" w:leader="none"/>
            </w:tabs>
            <w:spacing w:line="240" w:lineRule="auto" w:before="286" w:after="0"/>
            <w:ind w:left="593" w:right="0" w:hanging="373"/>
            <w:jc w:val="left"/>
          </w:pPr>
          <w:hyperlink w:history="true" w:anchor="_TOC_250061">
            <w:r>
              <w:rPr/>
              <w:t>Scope</w:t>
            </w:r>
            <w:r>
              <w:rPr>
                <w:spacing w:val="-5"/>
              </w:rPr>
              <w:t> </w:t>
            </w:r>
            <w:r>
              <w:rPr/>
              <w:t>of</w:t>
            </w:r>
            <w:r>
              <w:rPr>
                <w:spacing w:val="-5"/>
              </w:rPr>
              <w:t> </w:t>
            </w:r>
            <w:r>
              <w:rPr/>
              <w:t>the</w:t>
            </w:r>
            <w:r>
              <w:rPr>
                <w:spacing w:val="-5"/>
              </w:rPr>
              <w:t> </w:t>
            </w:r>
            <w:r>
              <w:rPr>
                <w:spacing w:val="-2"/>
              </w:rPr>
              <w:t>Study</w:t>
            </w:r>
            <w:r>
              <w:rPr/>
              <w:tab/>
            </w:r>
            <w:r>
              <w:rPr>
                <w:spacing w:val="-5"/>
              </w:rPr>
              <w:t>10</w:t>
            </w:r>
          </w:hyperlink>
        </w:p>
        <w:p>
          <w:pPr>
            <w:pStyle w:val="TOC3"/>
            <w:numPr>
              <w:ilvl w:val="1"/>
              <w:numId w:val="1"/>
            </w:numPr>
            <w:tabs>
              <w:tab w:pos="593" w:val="left" w:leader="none"/>
              <w:tab w:pos="9111" w:val="right" w:leader="none"/>
            </w:tabs>
            <w:spacing w:line="240" w:lineRule="auto" w:before="289" w:after="0"/>
            <w:ind w:left="593" w:right="0" w:hanging="373"/>
            <w:jc w:val="left"/>
          </w:pPr>
          <w:hyperlink w:history="true" w:anchor="_TOC_250060">
            <w:r>
              <w:rPr/>
              <w:t>Definition</w:t>
            </w:r>
            <w:r>
              <w:rPr>
                <w:spacing w:val="-9"/>
              </w:rPr>
              <w:t> </w:t>
            </w:r>
            <w:r>
              <w:rPr/>
              <w:t>of</w:t>
            </w:r>
            <w:r>
              <w:rPr>
                <w:spacing w:val="-7"/>
              </w:rPr>
              <w:t> </w:t>
            </w:r>
            <w:r>
              <w:rPr/>
              <w:t>Operational</w:t>
            </w:r>
            <w:r>
              <w:rPr>
                <w:spacing w:val="-9"/>
              </w:rPr>
              <w:t> </w:t>
            </w:r>
            <w:r>
              <w:rPr>
                <w:spacing w:val="-2"/>
              </w:rPr>
              <w:t>Terms</w:t>
            </w:r>
            <w:r>
              <w:rPr/>
              <w:tab/>
            </w:r>
            <w:r>
              <w:rPr>
                <w:spacing w:val="-5"/>
              </w:rPr>
              <w:t>11</w:t>
            </w:r>
          </w:hyperlink>
        </w:p>
        <w:p>
          <w:pPr>
            <w:pStyle w:val="TOC2"/>
          </w:pPr>
          <w:hyperlink w:history="true" w:anchor="_TOC_250059">
            <w:r>
              <w:rPr/>
              <w:t>CHAPTER</w:t>
            </w:r>
            <w:r>
              <w:rPr>
                <w:spacing w:val="-11"/>
              </w:rPr>
              <w:t> </w:t>
            </w:r>
            <w:r>
              <w:rPr/>
              <w:t>TWO:</w:t>
            </w:r>
            <w:r>
              <w:rPr>
                <w:spacing w:val="-13"/>
              </w:rPr>
              <w:t> </w:t>
            </w:r>
            <w:r>
              <w:rPr/>
              <w:t>LITERATURE</w:t>
            </w:r>
            <w:r>
              <w:rPr>
                <w:spacing w:val="-14"/>
              </w:rPr>
              <w:t> </w:t>
            </w:r>
            <w:r>
              <w:rPr>
                <w:spacing w:val="-2"/>
              </w:rPr>
              <w:t>REVIEW</w:t>
            </w:r>
          </w:hyperlink>
        </w:p>
        <w:p>
          <w:pPr>
            <w:pStyle w:val="TOC3"/>
            <w:numPr>
              <w:ilvl w:val="1"/>
              <w:numId w:val="2"/>
            </w:numPr>
            <w:tabs>
              <w:tab w:pos="593" w:val="left" w:leader="none"/>
              <w:tab w:pos="9111" w:val="right" w:leader="none"/>
            </w:tabs>
            <w:spacing w:line="240" w:lineRule="auto" w:before="289" w:after="0"/>
            <w:ind w:left="593" w:right="0" w:hanging="373"/>
            <w:jc w:val="left"/>
          </w:pPr>
          <w:hyperlink w:history="true" w:anchor="_TOC_250058">
            <w:r>
              <w:rPr>
                <w:spacing w:val="-2"/>
              </w:rPr>
              <w:t>Introduction</w:t>
            </w:r>
            <w:r>
              <w:rPr/>
              <w:tab/>
            </w:r>
            <w:r>
              <w:rPr>
                <w:spacing w:val="-5"/>
              </w:rPr>
              <w:t>13</w:t>
            </w:r>
          </w:hyperlink>
        </w:p>
        <w:p>
          <w:pPr>
            <w:pStyle w:val="TOC3"/>
            <w:numPr>
              <w:ilvl w:val="1"/>
              <w:numId w:val="2"/>
            </w:numPr>
            <w:tabs>
              <w:tab w:pos="593" w:val="left" w:leader="none"/>
              <w:tab w:pos="9111" w:val="right" w:leader="none"/>
            </w:tabs>
            <w:spacing w:line="240" w:lineRule="auto" w:before="286" w:after="20"/>
            <w:ind w:left="593" w:right="0" w:hanging="373"/>
            <w:jc w:val="left"/>
          </w:pPr>
          <w:r>
            <w:rPr/>
            <mc:AlternateContent>
              <mc:Choice Requires="wps">
                <w:drawing>
                  <wp:anchor distT="0" distB="0" distL="0" distR="0" allowOverlap="1" layoutInCell="1" locked="0" behindDoc="1" simplePos="0" relativeHeight="478007296">
                    <wp:simplePos x="0" y="0"/>
                    <wp:positionH relativeFrom="page">
                      <wp:posOffset>896416</wp:posOffset>
                    </wp:positionH>
                    <wp:positionV relativeFrom="paragraph">
                      <wp:posOffset>181900</wp:posOffset>
                    </wp:positionV>
                    <wp:extent cx="5981065" cy="36576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5981065" cy="365760"/>
                            </a:xfrm>
                            <a:custGeom>
                              <a:avLst/>
                              <a:gdLst/>
                              <a:ahLst/>
                              <a:cxnLst/>
                              <a:rect l="l" t="t" r="r" b="b"/>
                              <a:pathLst>
                                <a:path w="5981065" h="365760">
                                  <a:moveTo>
                                    <a:pt x="5981065" y="0"/>
                                  </a:moveTo>
                                  <a:lnTo>
                                    <a:pt x="0" y="0"/>
                                  </a:lnTo>
                                  <a:lnTo>
                                    <a:pt x="0" y="365760"/>
                                  </a:lnTo>
                                  <a:lnTo>
                                    <a:pt x="5981065" y="365760"/>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14.322855pt;width:470.95pt;height:28.8pt;mso-position-horizontal-relative:page;mso-position-vertical-relative:paragraph;z-index:-25309184" id="docshape12" filled="true" fillcolor="#ffffff" stroked="false">
                    <v:fill type="solid"/>
                    <w10:wrap type="none"/>
                  </v:rect>
                </w:pict>
              </mc:Fallback>
            </mc:AlternateContent>
          </w:r>
          <w:hyperlink w:history="true" w:anchor="_TOC_250057">
            <w:r>
              <w:rPr/>
              <w:t>Conceptual</w:t>
            </w:r>
            <w:r>
              <w:rPr>
                <w:spacing w:val="-13"/>
              </w:rPr>
              <w:t> </w:t>
            </w:r>
            <w:r>
              <w:rPr>
                <w:spacing w:val="-2"/>
              </w:rPr>
              <w:t>Review</w:t>
            </w:r>
            <w:r>
              <w:rPr/>
              <w:tab/>
            </w:r>
            <w:r>
              <w:rPr>
                <w:spacing w:val="-7"/>
              </w:rPr>
              <w:t>13</w:t>
            </w:r>
          </w:hyperlink>
        </w:p>
        <w:p>
          <w:pPr>
            <w:pStyle w:val="TOC3"/>
            <w:numPr>
              <w:ilvl w:val="2"/>
              <w:numId w:val="2"/>
            </w:numPr>
            <w:tabs>
              <w:tab w:pos="780" w:val="left" w:leader="none"/>
              <w:tab w:pos="9111" w:val="right" w:leader="none"/>
            </w:tabs>
            <w:spacing w:line="240" w:lineRule="auto" w:before="60" w:after="0"/>
            <w:ind w:left="780" w:right="0" w:hanging="560"/>
            <w:jc w:val="left"/>
          </w:pPr>
          <w:hyperlink w:history="true" w:anchor="_TOC_250056">
            <w:r>
              <w:rPr/>
              <w:t>Financial</w:t>
            </w:r>
            <w:r>
              <w:rPr>
                <w:spacing w:val="-11"/>
              </w:rPr>
              <w:t> </w:t>
            </w:r>
            <w:r>
              <w:rPr>
                <w:spacing w:val="-2"/>
              </w:rPr>
              <w:t>Integration</w:t>
            </w:r>
            <w:r>
              <w:rPr/>
              <w:tab/>
            </w:r>
            <w:r>
              <w:rPr>
                <w:spacing w:val="-7"/>
              </w:rPr>
              <w:t>13</w:t>
            </w:r>
          </w:hyperlink>
        </w:p>
        <w:p>
          <w:pPr>
            <w:pStyle w:val="TOC3"/>
            <w:numPr>
              <w:ilvl w:val="2"/>
              <w:numId w:val="3"/>
            </w:numPr>
            <w:tabs>
              <w:tab w:pos="780" w:val="left" w:leader="none"/>
              <w:tab w:pos="9111" w:val="right" w:leader="none"/>
            </w:tabs>
            <w:spacing w:line="240" w:lineRule="auto" w:before="288" w:after="0"/>
            <w:ind w:left="780" w:right="0" w:hanging="560"/>
            <w:jc w:val="left"/>
          </w:pPr>
          <w:hyperlink w:history="true" w:anchor="_TOC_250055">
            <w:r>
              <w:rPr/>
              <w:t>Potential</w:t>
            </w:r>
            <w:r>
              <w:rPr>
                <w:spacing w:val="-9"/>
              </w:rPr>
              <w:t> </w:t>
            </w:r>
            <w:r>
              <w:rPr/>
              <w:t>Benefits</w:t>
            </w:r>
            <w:r>
              <w:rPr>
                <w:spacing w:val="-6"/>
              </w:rPr>
              <w:t> </w:t>
            </w:r>
            <w:r>
              <w:rPr/>
              <w:t>of</w:t>
            </w:r>
            <w:r>
              <w:rPr>
                <w:spacing w:val="-7"/>
              </w:rPr>
              <w:t> </w:t>
            </w:r>
            <w:r>
              <w:rPr/>
              <w:t>Financial</w:t>
            </w:r>
            <w:r>
              <w:rPr>
                <w:spacing w:val="-8"/>
              </w:rPr>
              <w:t> </w:t>
            </w:r>
            <w:r>
              <w:rPr>
                <w:spacing w:val="-2"/>
              </w:rPr>
              <w:t>Integration</w:t>
            </w:r>
            <w:r>
              <w:rPr/>
              <w:tab/>
            </w:r>
            <w:r>
              <w:rPr>
                <w:spacing w:val="-5"/>
              </w:rPr>
              <w:t>22</w:t>
            </w:r>
          </w:hyperlink>
        </w:p>
        <w:p>
          <w:pPr>
            <w:pStyle w:val="TOC3"/>
            <w:numPr>
              <w:ilvl w:val="2"/>
              <w:numId w:val="3"/>
            </w:numPr>
            <w:tabs>
              <w:tab w:pos="780" w:val="left" w:leader="none"/>
              <w:tab w:pos="9111" w:val="right" w:leader="none"/>
            </w:tabs>
            <w:spacing w:line="240" w:lineRule="auto" w:before="286" w:after="0"/>
            <w:ind w:left="780" w:right="0" w:hanging="560"/>
            <w:jc w:val="left"/>
          </w:pPr>
          <w:hyperlink w:history="true" w:anchor="_TOC_250054">
            <w:r>
              <w:rPr/>
              <w:t>Potential</w:t>
            </w:r>
            <w:r>
              <w:rPr>
                <w:spacing w:val="-8"/>
              </w:rPr>
              <w:t> </w:t>
            </w:r>
            <w:r>
              <w:rPr/>
              <w:t>Cost</w:t>
            </w:r>
            <w:r>
              <w:rPr>
                <w:spacing w:val="-8"/>
              </w:rPr>
              <w:t> </w:t>
            </w:r>
            <w:r>
              <w:rPr/>
              <w:t>and</w:t>
            </w:r>
            <w:r>
              <w:rPr>
                <w:spacing w:val="-5"/>
              </w:rPr>
              <w:t> </w:t>
            </w:r>
            <w:r>
              <w:rPr/>
              <w:t>Concerns</w:t>
            </w:r>
            <w:r>
              <w:rPr>
                <w:spacing w:val="-7"/>
              </w:rPr>
              <w:t> </w:t>
            </w:r>
            <w:r>
              <w:rPr/>
              <w:t>of</w:t>
            </w:r>
            <w:r>
              <w:rPr>
                <w:spacing w:val="-7"/>
              </w:rPr>
              <w:t> </w:t>
            </w:r>
            <w:r>
              <w:rPr/>
              <w:t>Financial</w:t>
            </w:r>
            <w:r>
              <w:rPr>
                <w:spacing w:val="-7"/>
              </w:rPr>
              <w:t> </w:t>
            </w:r>
            <w:r>
              <w:rPr>
                <w:spacing w:val="-2"/>
              </w:rPr>
              <w:t>Integration</w:t>
            </w:r>
            <w:r>
              <w:rPr/>
              <w:tab/>
            </w:r>
            <w:r>
              <w:rPr>
                <w:spacing w:val="-5"/>
              </w:rPr>
              <w:t>31</w:t>
            </w:r>
          </w:hyperlink>
        </w:p>
        <w:p>
          <w:pPr>
            <w:pStyle w:val="TOC3"/>
            <w:numPr>
              <w:ilvl w:val="2"/>
              <w:numId w:val="3"/>
            </w:numPr>
            <w:tabs>
              <w:tab w:pos="780" w:val="left" w:leader="none"/>
              <w:tab w:pos="9111" w:val="right" w:leader="none"/>
            </w:tabs>
            <w:spacing w:line="240" w:lineRule="auto" w:before="289" w:after="0"/>
            <w:ind w:left="780" w:right="0" w:hanging="560"/>
            <w:jc w:val="left"/>
          </w:pPr>
          <w:r>
            <w:rPr/>
            <mc:AlternateContent>
              <mc:Choice Requires="wps">
                <w:drawing>
                  <wp:anchor distT="0" distB="0" distL="0" distR="0" allowOverlap="1" layoutInCell="1" locked="0" behindDoc="1" simplePos="0" relativeHeight="478007808">
                    <wp:simplePos x="0" y="0"/>
                    <wp:positionH relativeFrom="page">
                      <wp:posOffset>950112</wp:posOffset>
                    </wp:positionH>
                    <wp:positionV relativeFrom="paragraph">
                      <wp:posOffset>370822</wp:posOffset>
                    </wp:positionV>
                    <wp:extent cx="5505450" cy="566102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29.198633pt;width:433.5pt;height:445.75pt;mso-position-horizontal-relative:page;mso-position-vertical-relative:paragraph;z-index:-25308672" id="docshape13" coordorigin="1496,584" coordsize="8670,8915" path="m2562,9304l1691,8433,1496,8628,2367,9499,2562,9304xm3154,8628l3153,8588,3148,8545,3139,8502,3125,8458,3106,8414,3083,8371,3055,8328,3025,8287,2991,8247,2954,8208,2435,7689,2241,7883,2772,8415,2805,8451,2829,8486,2846,8521,2856,8555,2858,8588,2851,8618,2837,8647,2816,8673,2790,8695,2761,8709,2730,8714,2697,8712,2663,8703,2628,8686,2593,8662,2557,8630,2026,8098,1831,8292,2351,8812,2385,8844,2424,8876,2468,8909,2516,8941,2548,8960,2583,8976,2620,8989,2658,9000,2697,9008,2733,9011,2767,9012,2800,9008,2831,9001,2863,8989,2895,8973,2926,8953,2957,8930,2985,8907,3011,8884,3035,8861,3071,8821,3102,8780,3125,8738,3142,8696,3150,8664,3154,8628xm3882,7844l3876,7780,3860,7715,3834,7648,3806,7594,3771,7538,3728,7480,3678,7421,3661,7402,3621,7361,3597,7338,3597,7832,3592,7872,3577,7909,3551,7942,3518,7968,3481,7983,3441,7987,3396,7981,3347,7963,3294,7931,3235,7886,3171,7827,3112,7763,3066,7704,3035,7650,3016,7601,3010,7556,3014,7516,3029,7480,3053,7448,3086,7423,3122,7407,3163,7402,3207,7407,3255,7425,3307,7454,3363,7497,3423,7552,3488,7621,3538,7684,3572,7740,3591,7789,3597,7832,3597,7338,3551,7296,3482,7240,3413,7195,3344,7160,3276,7134,3209,7118,3130,7113,3055,7123,2983,7148,2914,7189,2850,7244,2796,7308,2756,7375,2732,7447,2723,7523,2729,7602,2746,7671,2772,7740,2808,7809,2854,7879,2910,7950,2976,8021,3036,8078,3096,8127,3156,8169,3215,8204,3273,8231,3344,8256,3411,8269,3475,8273,3535,8267,3593,8250,3649,8223,3705,8185,3758,8137,3805,8084,3841,8027,3858,7987,3866,7969,3879,7907,3882,7844xm4153,7265l3966,7078,3712,7332,3899,7519,4153,7265xm4664,7202l3793,6331,3598,6526,4469,7397,4664,7202xm4998,6868l4675,6545,4781,6438,4832,6378,4837,6368,4866,6317,4883,6253,4882,6189,4866,6123,4843,6072,4836,6057,4792,5991,4733,5925,4670,5868,4607,5825,4598,5821,4598,6214,4597,6240,4587,6266,4570,6293,4546,6321,4498,6368,4304,6174,4359,6118,4386,6095,4412,6080,4438,6072,4462,6073,4486,6079,4509,6089,4531,6104,4552,6122,4570,6144,4584,6166,4593,6190,4598,6214,4598,5821,4544,5796,4483,5780,4423,5779,4365,5793,4309,5823,4255,5869,3931,6192,4803,7063,4998,6868xm5788,6078l5132,5422,5330,5224,5115,5009,4524,5600,4739,5815,4937,5617,5593,6273,5788,6078xm6423,5443l5767,4787,5966,4588,5751,4373,5159,4965,5374,5180,5573,4981,6229,5637,6423,5443xm7157,4570l7151,4505,7135,4440,7109,4373,7081,4319,7046,4263,7003,4205,6953,4146,6935,4127,6896,4086,6872,4064,6872,4557,6867,4598,6851,4634,6825,4668,6793,4693,6756,4708,6716,4712,6671,4706,6622,4688,6569,4656,6510,4611,6446,4552,6387,4488,6341,4429,6309,4375,6291,4326,6285,4281,6289,4241,6304,4205,6328,4174,6361,4148,6397,4133,6438,4127,6482,4133,6530,4150,6582,4180,6638,4222,6698,4277,6763,4347,6813,4409,6847,4465,6866,4514,6872,4557,6872,4064,6826,4021,6756,3966,6687,3921,6619,3885,6551,3860,6483,3844,6405,3838,6329,3848,6258,3873,6189,3914,6125,3969,6071,4033,6031,4100,6007,4172,5998,4248,6004,4328,6021,4396,6047,4465,6083,4534,6129,4604,6184,4675,6250,4746,6311,4803,6371,4852,6431,4894,6490,4929,6548,4957,6619,4981,6686,4995,6750,4998,6810,4992,6868,4975,6924,4948,6979,4911,7033,4863,7080,4809,7116,4752,7133,4712,7141,4694,7154,4633,7157,4570xm8170,3574l8165,3525,8153,3475,8134,3422,8109,3368,8079,3312,8041,3255,7980,3279,7799,3354,7831,3400,7855,3443,7873,3484,7884,3521,7887,3556,7881,3589,7866,3620,7843,3649,7812,3673,7778,3687,7740,3691,7700,3685,7653,3666,7600,3632,7538,3583,7469,3518,7417,3462,7375,3410,7344,3363,7324,3320,7311,3268,7312,3222,7325,3181,7352,3145,7367,3132,7384,3121,7402,3113,7422,3109,7442,3107,7464,3107,7486,3110,7509,3116,7524,3122,7542,3130,7563,3141,7586,3156,7705,2931,7622,2885,7543,2853,7469,2834,7400,2827,7333,2835,7269,2858,7206,2896,7146,2948,7092,3011,7054,3077,7030,3147,7021,3221,7027,3299,7044,3366,7070,3434,7106,3503,7153,3573,7209,3643,7276,3715,7341,3776,7404,3828,7467,3871,7529,3907,7590,3934,7662,3958,7730,3971,7791,3973,7847,3967,7900,3950,7952,3923,8004,3886,8056,3840,8094,3797,8125,3754,8147,3711,8161,3666,8169,3621,8170,3574xm8868,2859l8861,2795,8846,2729,8820,2662,8792,2608,8757,2552,8714,2494,8664,2435,8646,2416,8607,2375,8583,2353,8583,2847,8578,2887,8562,2923,8536,2957,8504,2982,8467,2997,8427,3001,8382,2995,8333,2977,8279,2946,8221,2900,8157,2841,8098,2777,8052,2718,8020,2664,8002,2615,7996,2570,8000,2530,8014,2494,8039,2463,8071,2437,8108,2422,8149,2416,8193,2422,8241,2439,8293,2469,8349,2511,8409,2566,8474,2636,8524,2699,8558,2754,8577,2803,8583,2847,8583,2353,8537,2310,8467,2255,8398,2210,8330,2174,8262,2149,8194,2133,8116,2127,8040,2137,7968,2163,7900,2203,7835,2259,7781,2322,7742,2390,7718,2461,7709,2537,7715,2617,7731,2685,7758,2754,7794,2824,7839,2894,7895,2964,7961,3035,8022,3092,8082,3142,8142,3184,8201,3218,8259,3246,8329,3270,8397,3284,8461,3287,8521,3281,8579,3265,8635,3237,8690,3200,8744,3152,8791,3098,8827,3042,8844,3001,8852,2983,8865,2922,8868,2859xm9348,2518l9025,2194,9132,2088,9182,2028,9188,2018,9216,1966,9233,1903,9233,1838,9217,1773,9194,1722,9187,1707,9142,1641,9084,1575,9020,1518,8957,1475,8948,1471,8948,1864,8947,1889,8938,1916,8921,1943,8896,1970,8849,2018,8654,1824,8710,1768,8737,1745,8763,1729,8788,1722,8812,1722,8836,1729,8859,1739,8881,1754,8902,1772,8920,1794,8934,1816,8943,1840,8948,1864,8948,1471,8895,1445,8833,1429,8773,1428,8715,1443,8659,1473,8605,1518,8282,1842,9153,2713,9348,2518xm10166,1700l9801,1335,9748,1185,9593,734,9540,584,9325,799,9353,869,9436,1080,9492,1221,9422,1192,9211,1109,9071,1053,8854,1269,9005,1322,9456,1477,9606,1530,9971,1895,10166,1700xe" filled="true" fillcolor="#c0c0c0" stroked="false">
                    <v:path arrowok="t"/>
                    <v:fill opacity="32896f" type="solid"/>
                    <w10:wrap type="none"/>
                  </v:shape>
                </w:pict>
              </mc:Fallback>
            </mc:AlternateContent>
          </w:r>
          <w:hyperlink w:history="true" w:anchor="_TOC_250053">
            <w:r>
              <w:rPr/>
              <w:t>Common</w:t>
            </w:r>
            <w:r>
              <w:rPr>
                <w:spacing w:val="-11"/>
              </w:rPr>
              <w:t> </w:t>
            </w:r>
            <w:r>
              <w:rPr/>
              <w:t>Frameworks</w:t>
            </w:r>
            <w:r>
              <w:rPr>
                <w:spacing w:val="-9"/>
              </w:rPr>
              <w:t> </w:t>
            </w:r>
            <w:r>
              <w:rPr/>
              <w:t>for</w:t>
            </w:r>
            <w:r>
              <w:rPr>
                <w:spacing w:val="-9"/>
              </w:rPr>
              <w:t> </w:t>
            </w:r>
            <w:r>
              <w:rPr/>
              <w:t>Measuring</w:t>
            </w:r>
            <w:r>
              <w:rPr>
                <w:spacing w:val="-10"/>
              </w:rPr>
              <w:t> </w:t>
            </w:r>
            <w:r>
              <w:rPr/>
              <w:t>Financial</w:t>
            </w:r>
            <w:r>
              <w:rPr>
                <w:spacing w:val="-10"/>
              </w:rPr>
              <w:t> </w:t>
            </w:r>
            <w:r>
              <w:rPr>
                <w:spacing w:val="-2"/>
              </w:rPr>
              <w:t>Integration</w:t>
            </w:r>
            <w:r>
              <w:rPr/>
              <w:tab/>
            </w:r>
            <w:r>
              <w:rPr>
                <w:spacing w:val="-5"/>
              </w:rPr>
              <w:t>38</w:t>
            </w:r>
          </w:hyperlink>
        </w:p>
        <w:p>
          <w:pPr>
            <w:pStyle w:val="TOC3"/>
            <w:numPr>
              <w:ilvl w:val="2"/>
              <w:numId w:val="3"/>
            </w:numPr>
            <w:tabs>
              <w:tab w:pos="780" w:val="left" w:leader="none"/>
              <w:tab w:pos="9111" w:val="right" w:leader="none"/>
            </w:tabs>
            <w:spacing w:line="240" w:lineRule="auto" w:before="286" w:after="0"/>
            <w:ind w:left="780" w:right="0" w:hanging="560"/>
            <w:jc w:val="left"/>
          </w:pPr>
          <w:hyperlink w:history="true" w:anchor="_TOC_250052">
            <w:r>
              <w:rPr/>
              <w:t>Foreign</w:t>
            </w:r>
            <w:r>
              <w:rPr>
                <w:spacing w:val="-9"/>
              </w:rPr>
              <w:t> </w:t>
            </w:r>
            <w:r>
              <w:rPr/>
              <w:t>Direct</w:t>
            </w:r>
            <w:r>
              <w:rPr>
                <w:spacing w:val="-8"/>
              </w:rPr>
              <w:t> </w:t>
            </w:r>
            <w:r>
              <w:rPr/>
              <w:t>Investment</w:t>
            </w:r>
            <w:r>
              <w:rPr>
                <w:spacing w:val="-9"/>
              </w:rPr>
              <w:t> </w:t>
            </w:r>
            <w:r>
              <w:rPr>
                <w:spacing w:val="-2"/>
              </w:rPr>
              <w:t>Inflow</w:t>
            </w:r>
            <w:r>
              <w:rPr/>
              <w:tab/>
            </w:r>
            <w:r>
              <w:rPr>
                <w:spacing w:val="-5"/>
              </w:rPr>
              <w:t>44</w:t>
            </w:r>
          </w:hyperlink>
        </w:p>
        <w:p>
          <w:pPr>
            <w:pStyle w:val="TOC3"/>
            <w:numPr>
              <w:ilvl w:val="2"/>
              <w:numId w:val="3"/>
            </w:numPr>
            <w:tabs>
              <w:tab w:pos="780" w:val="left" w:leader="none"/>
              <w:tab w:pos="9111" w:val="right" w:leader="none"/>
            </w:tabs>
            <w:spacing w:line="240" w:lineRule="auto" w:before="288" w:after="0"/>
            <w:ind w:left="780" w:right="0" w:hanging="560"/>
            <w:jc w:val="left"/>
          </w:pPr>
          <w:hyperlink w:history="true" w:anchor="_TOC_250051">
            <w:r>
              <w:rPr/>
              <w:t>Foreign</w:t>
            </w:r>
            <w:r>
              <w:rPr>
                <w:spacing w:val="-9"/>
              </w:rPr>
              <w:t> </w:t>
            </w:r>
            <w:r>
              <w:rPr/>
              <w:t>Portfolio</w:t>
            </w:r>
            <w:r>
              <w:rPr>
                <w:spacing w:val="-9"/>
              </w:rPr>
              <w:t> </w:t>
            </w:r>
            <w:r>
              <w:rPr>
                <w:spacing w:val="-2"/>
              </w:rPr>
              <w:t>Investment</w:t>
            </w:r>
            <w:r>
              <w:rPr/>
              <w:tab/>
            </w:r>
            <w:r>
              <w:rPr>
                <w:spacing w:val="-5"/>
              </w:rPr>
              <w:t>51</w:t>
            </w:r>
          </w:hyperlink>
        </w:p>
        <w:p>
          <w:pPr>
            <w:pStyle w:val="TOC3"/>
            <w:numPr>
              <w:ilvl w:val="2"/>
              <w:numId w:val="3"/>
            </w:numPr>
            <w:tabs>
              <w:tab w:pos="780" w:val="left" w:leader="none"/>
              <w:tab w:pos="9111" w:val="right" w:leader="none"/>
            </w:tabs>
            <w:spacing w:line="240" w:lineRule="auto" w:before="287" w:after="0"/>
            <w:ind w:left="780" w:right="0" w:hanging="560"/>
            <w:jc w:val="left"/>
          </w:pPr>
          <w:hyperlink w:history="true" w:anchor="_TOC_250050">
            <w:r>
              <w:rPr/>
              <w:t>Trade</w:t>
            </w:r>
            <w:r>
              <w:rPr>
                <w:spacing w:val="-7"/>
              </w:rPr>
              <w:t> </w:t>
            </w:r>
            <w:r>
              <w:rPr>
                <w:spacing w:val="-2"/>
              </w:rPr>
              <w:t>Openness</w:t>
            </w:r>
            <w:r>
              <w:rPr/>
              <w:tab/>
            </w:r>
            <w:r>
              <w:rPr>
                <w:spacing w:val="-5"/>
              </w:rPr>
              <w:t>55</w:t>
            </w:r>
          </w:hyperlink>
        </w:p>
        <w:p>
          <w:pPr>
            <w:pStyle w:val="TOC3"/>
            <w:numPr>
              <w:ilvl w:val="2"/>
              <w:numId w:val="3"/>
            </w:numPr>
            <w:tabs>
              <w:tab w:pos="780" w:val="left" w:leader="none"/>
              <w:tab w:pos="9111" w:val="right" w:leader="none"/>
            </w:tabs>
            <w:spacing w:line="240" w:lineRule="auto" w:before="289" w:after="0"/>
            <w:ind w:left="780" w:right="0" w:hanging="560"/>
            <w:jc w:val="left"/>
          </w:pPr>
          <w:hyperlink w:history="true" w:anchor="_TOC_250049">
            <w:r>
              <w:rPr/>
              <w:t>Foreign</w:t>
            </w:r>
            <w:r>
              <w:rPr>
                <w:spacing w:val="-8"/>
              </w:rPr>
              <w:t> </w:t>
            </w:r>
            <w:r>
              <w:rPr>
                <w:spacing w:val="-2"/>
              </w:rPr>
              <w:t>Remittances</w:t>
            </w:r>
            <w:r>
              <w:rPr/>
              <w:tab/>
            </w:r>
            <w:r>
              <w:rPr>
                <w:spacing w:val="-5"/>
              </w:rPr>
              <w:t>57</w:t>
            </w:r>
          </w:hyperlink>
        </w:p>
        <w:p>
          <w:pPr>
            <w:pStyle w:val="TOC3"/>
            <w:numPr>
              <w:ilvl w:val="2"/>
              <w:numId w:val="3"/>
            </w:numPr>
            <w:tabs>
              <w:tab w:pos="780" w:val="left" w:leader="none"/>
              <w:tab w:pos="9111" w:val="right" w:leader="none"/>
            </w:tabs>
            <w:spacing w:line="240" w:lineRule="auto" w:before="288" w:after="0"/>
            <w:ind w:left="780" w:right="0" w:hanging="560"/>
            <w:jc w:val="left"/>
          </w:pPr>
          <w:hyperlink w:history="true" w:anchor="_TOC_250048">
            <w:r>
              <w:rPr/>
              <w:t>Official</w:t>
            </w:r>
            <w:r>
              <w:rPr>
                <w:spacing w:val="-11"/>
              </w:rPr>
              <w:t> </w:t>
            </w:r>
            <w:r>
              <w:rPr/>
              <w:t>Development</w:t>
            </w:r>
            <w:r>
              <w:rPr>
                <w:spacing w:val="-10"/>
              </w:rPr>
              <w:t> </w:t>
            </w:r>
            <w:r>
              <w:rPr/>
              <w:t>Assistance</w:t>
            </w:r>
            <w:r>
              <w:rPr>
                <w:spacing w:val="-11"/>
              </w:rPr>
              <w:t> </w:t>
            </w:r>
            <w:r>
              <w:rPr>
                <w:spacing w:val="-2"/>
              </w:rPr>
              <w:t>(ODA)</w:t>
            </w:r>
            <w:r>
              <w:rPr/>
              <w:tab/>
            </w:r>
            <w:r>
              <w:rPr>
                <w:spacing w:val="-5"/>
              </w:rPr>
              <w:t>59</w:t>
            </w:r>
          </w:hyperlink>
        </w:p>
        <w:p>
          <w:pPr>
            <w:pStyle w:val="TOC3"/>
            <w:numPr>
              <w:ilvl w:val="2"/>
              <w:numId w:val="3"/>
            </w:numPr>
            <w:tabs>
              <w:tab w:pos="905" w:val="left" w:leader="none"/>
              <w:tab w:pos="9111" w:val="right" w:leader="none"/>
            </w:tabs>
            <w:spacing w:line="240" w:lineRule="auto" w:before="286" w:after="0"/>
            <w:ind w:left="905" w:right="0" w:hanging="685"/>
            <w:jc w:val="left"/>
          </w:pPr>
          <w:hyperlink w:history="true" w:anchor="_TOC_250047">
            <w:r>
              <w:rPr/>
              <w:t>Financial</w:t>
            </w:r>
            <w:r>
              <w:rPr>
                <w:spacing w:val="-11"/>
              </w:rPr>
              <w:t> </w:t>
            </w:r>
            <w:r>
              <w:rPr>
                <w:spacing w:val="-2"/>
              </w:rPr>
              <w:t>Deepening</w:t>
            </w:r>
            <w:r>
              <w:rPr/>
              <w:tab/>
            </w:r>
            <w:r>
              <w:rPr>
                <w:spacing w:val="-7"/>
              </w:rPr>
              <w:t>65</w:t>
            </w:r>
          </w:hyperlink>
        </w:p>
        <w:p>
          <w:pPr>
            <w:pStyle w:val="TOC3"/>
            <w:numPr>
              <w:ilvl w:val="2"/>
              <w:numId w:val="3"/>
            </w:numPr>
            <w:tabs>
              <w:tab w:pos="905" w:val="left" w:leader="none"/>
              <w:tab w:pos="9111" w:val="right" w:leader="none"/>
            </w:tabs>
            <w:spacing w:line="240" w:lineRule="auto" w:before="289" w:after="0"/>
            <w:ind w:left="905" w:right="0" w:hanging="685"/>
            <w:jc w:val="left"/>
          </w:pPr>
          <w:hyperlink w:history="true" w:anchor="_TOC_250046">
            <w:r>
              <w:rPr/>
              <w:t>Economic</w:t>
            </w:r>
            <w:r>
              <w:rPr>
                <w:spacing w:val="-12"/>
              </w:rPr>
              <w:t> </w:t>
            </w:r>
            <w:r>
              <w:rPr>
                <w:spacing w:val="-2"/>
              </w:rPr>
              <w:t>Growth</w:t>
            </w:r>
            <w:r>
              <w:rPr/>
              <w:tab/>
            </w:r>
            <w:r>
              <w:rPr>
                <w:spacing w:val="-7"/>
              </w:rPr>
              <w:t>68</w:t>
            </w:r>
          </w:hyperlink>
        </w:p>
        <w:p>
          <w:pPr>
            <w:pStyle w:val="TOC3"/>
            <w:numPr>
              <w:ilvl w:val="1"/>
              <w:numId w:val="4"/>
            </w:numPr>
            <w:tabs>
              <w:tab w:pos="593" w:val="left" w:leader="none"/>
              <w:tab w:pos="9111" w:val="right" w:leader="none"/>
            </w:tabs>
            <w:spacing w:line="240" w:lineRule="auto" w:before="286" w:after="0"/>
            <w:ind w:left="593" w:right="0" w:hanging="373"/>
            <w:jc w:val="left"/>
          </w:pPr>
          <w:hyperlink w:history="true" w:anchor="_TOC_250045">
            <w:r>
              <w:rPr/>
              <w:t>Financial</w:t>
            </w:r>
            <w:r>
              <w:rPr>
                <w:spacing w:val="-9"/>
              </w:rPr>
              <w:t> </w:t>
            </w:r>
            <w:r>
              <w:rPr/>
              <w:t>Integration</w:t>
            </w:r>
            <w:r>
              <w:rPr>
                <w:spacing w:val="-9"/>
              </w:rPr>
              <w:t> </w:t>
            </w:r>
            <w:r>
              <w:rPr/>
              <w:t>and</w:t>
            </w:r>
            <w:r>
              <w:rPr>
                <w:spacing w:val="-10"/>
              </w:rPr>
              <w:t> </w:t>
            </w:r>
            <w:r>
              <w:rPr/>
              <w:t>Economic</w:t>
            </w:r>
            <w:r>
              <w:rPr>
                <w:spacing w:val="-9"/>
              </w:rPr>
              <w:t> </w:t>
            </w:r>
            <w:r>
              <w:rPr>
                <w:spacing w:val="-2"/>
              </w:rPr>
              <w:t>Growth</w:t>
            </w:r>
            <w:r>
              <w:rPr/>
              <w:tab/>
            </w:r>
            <w:r>
              <w:rPr>
                <w:spacing w:val="-5"/>
              </w:rPr>
              <w:t>71</w:t>
            </w:r>
          </w:hyperlink>
        </w:p>
        <w:p>
          <w:pPr>
            <w:pStyle w:val="TOC3"/>
            <w:numPr>
              <w:ilvl w:val="2"/>
              <w:numId w:val="4"/>
            </w:numPr>
            <w:tabs>
              <w:tab w:pos="780" w:val="left" w:leader="none"/>
              <w:tab w:pos="9111" w:val="right" w:leader="none"/>
            </w:tabs>
            <w:spacing w:line="240" w:lineRule="auto" w:before="289" w:after="0"/>
            <w:ind w:left="780" w:right="0" w:hanging="560"/>
            <w:jc w:val="left"/>
          </w:pPr>
          <w:r>
            <w:rPr/>
            <mc:AlternateContent>
              <mc:Choice Requires="wps">
                <w:drawing>
                  <wp:anchor distT="0" distB="0" distL="0" distR="0" allowOverlap="1" layoutInCell="1" locked="0" behindDoc="1" simplePos="0" relativeHeight="478008320">
                    <wp:simplePos x="0" y="0"/>
                    <wp:positionH relativeFrom="page">
                      <wp:posOffset>896416</wp:posOffset>
                    </wp:positionH>
                    <wp:positionV relativeFrom="paragraph">
                      <wp:posOffset>183954</wp:posOffset>
                    </wp:positionV>
                    <wp:extent cx="5981065" cy="219075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5981065" cy="2190750"/>
                            </a:xfrm>
                            <a:custGeom>
                              <a:avLst/>
                              <a:gdLst/>
                              <a:ahLst/>
                              <a:cxnLst/>
                              <a:rect l="l" t="t" r="r" b="b"/>
                              <a:pathLst>
                                <a:path w="5981065" h="2190750">
                                  <a:moveTo>
                                    <a:pt x="5981065" y="1825828"/>
                                  </a:moveTo>
                                  <a:lnTo>
                                    <a:pt x="0" y="1825828"/>
                                  </a:lnTo>
                                  <a:lnTo>
                                    <a:pt x="0" y="2190369"/>
                                  </a:lnTo>
                                  <a:lnTo>
                                    <a:pt x="5981065" y="2190369"/>
                                  </a:lnTo>
                                  <a:lnTo>
                                    <a:pt x="5981065" y="1825828"/>
                                  </a:lnTo>
                                  <a:close/>
                                </a:path>
                                <a:path w="5981065" h="2190750">
                                  <a:moveTo>
                                    <a:pt x="5981065" y="1460004"/>
                                  </a:moveTo>
                                  <a:lnTo>
                                    <a:pt x="0" y="1460004"/>
                                  </a:lnTo>
                                  <a:lnTo>
                                    <a:pt x="0" y="1825752"/>
                                  </a:lnTo>
                                  <a:lnTo>
                                    <a:pt x="5981065" y="1825752"/>
                                  </a:lnTo>
                                  <a:lnTo>
                                    <a:pt x="5981065" y="1460004"/>
                                  </a:lnTo>
                                  <a:close/>
                                </a:path>
                                <a:path w="5981065" h="2190750">
                                  <a:moveTo>
                                    <a:pt x="5981065" y="0"/>
                                  </a:moveTo>
                                  <a:lnTo>
                                    <a:pt x="0" y="0"/>
                                  </a:lnTo>
                                  <a:lnTo>
                                    <a:pt x="0" y="364236"/>
                                  </a:lnTo>
                                  <a:lnTo>
                                    <a:pt x="0" y="729996"/>
                                  </a:lnTo>
                                  <a:lnTo>
                                    <a:pt x="0" y="1094232"/>
                                  </a:lnTo>
                                  <a:lnTo>
                                    <a:pt x="0" y="1459992"/>
                                  </a:lnTo>
                                  <a:lnTo>
                                    <a:pt x="5981065" y="1459992"/>
                                  </a:lnTo>
                                  <a:lnTo>
                                    <a:pt x="5981065" y="1094232"/>
                                  </a:lnTo>
                                  <a:lnTo>
                                    <a:pt x="5981065" y="729996"/>
                                  </a:lnTo>
                                  <a:lnTo>
                                    <a:pt x="5981065" y="364236"/>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4.484631pt;width:470.95pt;height:172.5pt;mso-position-horizontal-relative:page;mso-position-vertical-relative:paragraph;z-index:-25308160" id="docshape14" coordorigin="1412,290" coordsize="9419,3450" path="m10831,3165l1412,3165,1412,3739,10831,3739,10831,3165xm10831,2589l1412,2589,1412,3165,10831,3165,10831,2589xm10831,290l1412,290,1412,863,1412,1439,1412,2013,1412,2589,10831,2589,10831,2013,10831,1439,10831,863,10831,290xe" filled="true" fillcolor="#ffffff" stroked="false">
                    <v:path arrowok="t"/>
                    <v:fill type="solid"/>
                    <w10:wrap type="none"/>
                  </v:shape>
                </w:pict>
              </mc:Fallback>
            </mc:AlternateContent>
          </w:r>
          <w:hyperlink w:history="true" w:anchor="_TOC_250044">
            <w:r>
              <w:rPr/>
              <w:t>Foreign</w:t>
            </w:r>
            <w:r>
              <w:rPr>
                <w:spacing w:val="-9"/>
              </w:rPr>
              <w:t> </w:t>
            </w:r>
            <w:r>
              <w:rPr/>
              <w:t>Direct</w:t>
            </w:r>
            <w:r>
              <w:rPr>
                <w:spacing w:val="-8"/>
              </w:rPr>
              <w:t> </w:t>
            </w:r>
            <w:r>
              <w:rPr/>
              <w:t>Investment</w:t>
            </w:r>
            <w:r>
              <w:rPr>
                <w:spacing w:val="-8"/>
              </w:rPr>
              <w:t> </w:t>
            </w:r>
            <w:r>
              <w:rPr/>
              <w:t>Inflow</w:t>
            </w:r>
            <w:r>
              <w:rPr>
                <w:spacing w:val="-8"/>
              </w:rPr>
              <w:t> </w:t>
            </w:r>
            <w:r>
              <w:rPr/>
              <w:t>and</w:t>
            </w:r>
            <w:r>
              <w:rPr>
                <w:spacing w:val="-8"/>
              </w:rPr>
              <w:t> </w:t>
            </w:r>
            <w:r>
              <w:rPr/>
              <w:t>Economic</w:t>
            </w:r>
            <w:r>
              <w:rPr>
                <w:spacing w:val="-8"/>
              </w:rPr>
              <w:t> </w:t>
            </w:r>
            <w:r>
              <w:rPr>
                <w:spacing w:val="-2"/>
              </w:rPr>
              <w:t>Growth</w:t>
            </w:r>
            <w:r>
              <w:rPr/>
              <w:tab/>
            </w:r>
            <w:r>
              <w:rPr>
                <w:spacing w:val="-5"/>
              </w:rPr>
              <w:t>73</w:t>
            </w:r>
          </w:hyperlink>
        </w:p>
        <w:p>
          <w:pPr>
            <w:pStyle w:val="TOC3"/>
            <w:numPr>
              <w:ilvl w:val="2"/>
              <w:numId w:val="4"/>
            </w:numPr>
            <w:tabs>
              <w:tab w:pos="780" w:val="left" w:leader="none"/>
              <w:tab w:pos="9111" w:val="right" w:leader="none"/>
            </w:tabs>
            <w:spacing w:line="240" w:lineRule="auto" w:before="286" w:after="0"/>
            <w:ind w:left="780" w:right="0" w:hanging="560"/>
            <w:jc w:val="left"/>
          </w:pPr>
          <w:hyperlink w:history="true" w:anchor="_TOC_250043">
            <w:r>
              <w:rPr/>
              <w:t>Foreign</w:t>
            </w:r>
            <w:r>
              <w:rPr>
                <w:spacing w:val="-9"/>
              </w:rPr>
              <w:t> </w:t>
            </w:r>
            <w:r>
              <w:rPr/>
              <w:t>Portfolio</w:t>
            </w:r>
            <w:r>
              <w:rPr>
                <w:spacing w:val="-9"/>
              </w:rPr>
              <w:t> </w:t>
            </w:r>
            <w:r>
              <w:rPr/>
              <w:t>Investment</w:t>
            </w:r>
            <w:r>
              <w:rPr>
                <w:spacing w:val="-9"/>
              </w:rPr>
              <w:t> </w:t>
            </w:r>
            <w:r>
              <w:rPr/>
              <w:t>Inflow</w:t>
            </w:r>
            <w:r>
              <w:rPr>
                <w:spacing w:val="-8"/>
              </w:rPr>
              <w:t> </w:t>
            </w:r>
            <w:r>
              <w:rPr/>
              <w:t>and</w:t>
            </w:r>
            <w:r>
              <w:rPr>
                <w:spacing w:val="-9"/>
              </w:rPr>
              <w:t> </w:t>
            </w:r>
            <w:r>
              <w:rPr/>
              <w:t>Economic</w:t>
            </w:r>
            <w:r>
              <w:rPr>
                <w:spacing w:val="-9"/>
              </w:rPr>
              <w:t> </w:t>
            </w:r>
            <w:r>
              <w:rPr>
                <w:spacing w:val="-2"/>
              </w:rPr>
              <w:t>Growth</w:t>
            </w:r>
            <w:r>
              <w:rPr/>
              <w:tab/>
            </w:r>
            <w:r>
              <w:rPr>
                <w:spacing w:val="-5"/>
              </w:rPr>
              <w:t>76</w:t>
            </w:r>
          </w:hyperlink>
        </w:p>
        <w:p>
          <w:pPr>
            <w:pStyle w:val="TOC3"/>
            <w:numPr>
              <w:ilvl w:val="2"/>
              <w:numId w:val="4"/>
            </w:numPr>
            <w:tabs>
              <w:tab w:pos="780" w:val="left" w:leader="none"/>
              <w:tab w:pos="9111" w:val="right" w:leader="none"/>
            </w:tabs>
            <w:spacing w:line="240" w:lineRule="auto" w:before="288" w:after="0"/>
            <w:ind w:left="780" w:right="0" w:hanging="560"/>
            <w:jc w:val="left"/>
          </w:pPr>
          <w:hyperlink w:history="true" w:anchor="_TOC_250042">
            <w:r>
              <w:rPr/>
              <w:t>Trade</w:t>
            </w:r>
            <w:r>
              <w:rPr>
                <w:spacing w:val="-8"/>
              </w:rPr>
              <w:t> </w:t>
            </w:r>
            <w:r>
              <w:rPr/>
              <w:t>Openness</w:t>
            </w:r>
            <w:r>
              <w:rPr>
                <w:spacing w:val="-7"/>
              </w:rPr>
              <w:t> </w:t>
            </w:r>
            <w:r>
              <w:rPr/>
              <w:t>and</w:t>
            </w:r>
            <w:r>
              <w:rPr>
                <w:spacing w:val="-8"/>
              </w:rPr>
              <w:t> </w:t>
            </w:r>
            <w:r>
              <w:rPr/>
              <w:t>Economic</w:t>
            </w:r>
            <w:r>
              <w:rPr>
                <w:spacing w:val="-7"/>
              </w:rPr>
              <w:t> </w:t>
            </w:r>
            <w:r>
              <w:rPr>
                <w:spacing w:val="-2"/>
              </w:rPr>
              <w:t>Growth</w:t>
            </w:r>
            <w:r>
              <w:rPr/>
              <w:tab/>
            </w:r>
            <w:r>
              <w:rPr>
                <w:spacing w:val="-5"/>
              </w:rPr>
              <w:t>81</w:t>
            </w:r>
          </w:hyperlink>
        </w:p>
        <w:p>
          <w:pPr>
            <w:pStyle w:val="TOC3"/>
            <w:numPr>
              <w:ilvl w:val="2"/>
              <w:numId w:val="4"/>
            </w:numPr>
            <w:tabs>
              <w:tab w:pos="780" w:val="left" w:leader="none"/>
              <w:tab w:pos="9111" w:val="right" w:leader="none"/>
            </w:tabs>
            <w:spacing w:line="240" w:lineRule="auto" w:before="287" w:after="0"/>
            <w:ind w:left="780" w:right="0" w:hanging="560"/>
            <w:jc w:val="left"/>
          </w:pPr>
          <w:hyperlink w:history="true" w:anchor="_TOC_250041">
            <w:r>
              <w:rPr/>
              <w:t>Foreign</w:t>
            </w:r>
            <w:r>
              <w:rPr>
                <w:spacing w:val="-9"/>
              </w:rPr>
              <w:t> </w:t>
            </w:r>
            <w:r>
              <w:rPr/>
              <w:t>Remittances</w:t>
            </w:r>
            <w:r>
              <w:rPr>
                <w:spacing w:val="-8"/>
              </w:rPr>
              <w:t> </w:t>
            </w:r>
            <w:r>
              <w:rPr/>
              <w:t>and</w:t>
            </w:r>
            <w:r>
              <w:rPr>
                <w:spacing w:val="-9"/>
              </w:rPr>
              <w:t> </w:t>
            </w:r>
            <w:r>
              <w:rPr/>
              <w:t>Economic</w:t>
            </w:r>
            <w:r>
              <w:rPr>
                <w:spacing w:val="-8"/>
              </w:rPr>
              <w:t> </w:t>
            </w:r>
            <w:r>
              <w:rPr>
                <w:spacing w:val="-2"/>
              </w:rPr>
              <w:t>Growth</w:t>
            </w:r>
            <w:r>
              <w:rPr/>
              <w:tab/>
            </w:r>
            <w:r>
              <w:rPr>
                <w:spacing w:val="-5"/>
              </w:rPr>
              <w:t>85</w:t>
            </w:r>
          </w:hyperlink>
        </w:p>
        <w:p>
          <w:pPr>
            <w:pStyle w:val="TOC3"/>
            <w:numPr>
              <w:ilvl w:val="2"/>
              <w:numId w:val="4"/>
            </w:numPr>
            <w:tabs>
              <w:tab w:pos="780" w:val="left" w:leader="none"/>
              <w:tab w:pos="9111" w:val="right" w:leader="none"/>
            </w:tabs>
            <w:spacing w:line="240" w:lineRule="auto" w:before="288" w:after="0"/>
            <w:ind w:left="780" w:right="0" w:hanging="560"/>
            <w:jc w:val="left"/>
          </w:pPr>
          <w:hyperlink w:history="true" w:anchor="_TOC_250040">
            <w:r>
              <w:rPr/>
              <w:t>Financial</w:t>
            </w:r>
            <w:r>
              <w:rPr>
                <w:spacing w:val="-9"/>
              </w:rPr>
              <w:t> </w:t>
            </w:r>
            <w:r>
              <w:rPr/>
              <w:t>Deepening</w:t>
            </w:r>
            <w:r>
              <w:rPr>
                <w:spacing w:val="-9"/>
              </w:rPr>
              <w:t> </w:t>
            </w:r>
            <w:r>
              <w:rPr/>
              <w:t>and</w:t>
            </w:r>
            <w:r>
              <w:rPr>
                <w:spacing w:val="-9"/>
              </w:rPr>
              <w:t> </w:t>
            </w:r>
            <w:r>
              <w:rPr/>
              <w:t>Economic</w:t>
            </w:r>
            <w:r>
              <w:rPr>
                <w:spacing w:val="-9"/>
              </w:rPr>
              <w:t> </w:t>
            </w:r>
            <w:r>
              <w:rPr>
                <w:spacing w:val="-2"/>
              </w:rPr>
              <w:t>Growth</w:t>
            </w:r>
            <w:r>
              <w:rPr/>
              <w:tab/>
            </w:r>
            <w:r>
              <w:rPr>
                <w:spacing w:val="-5"/>
              </w:rPr>
              <w:t>86</w:t>
            </w:r>
          </w:hyperlink>
        </w:p>
        <w:p>
          <w:pPr>
            <w:pStyle w:val="TOC3"/>
            <w:numPr>
              <w:ilvl w:val="1"/>
              <w:numId w:val="4"/>
            </w:numPr>
            <w:tabs>
              <w:tab w:pos="593" w:val="left" w:leader="none"/>
              <w:tab w:pos="9111" w:val="right" w:leader="none"/>
            </w:tabs>
            <w:spacing w:line="240" w:lineRule="auto" w:before="289" w:after="0"/>
            <w:ind w:left="593" w:right="0" w:hanging="373"/>
            <w:jc w:val="left"/>
          </w:pPr>
          <w:hyperlink w:history="true" w:anchor="_TOC_250039">
            <w:r>
              <w:rPr/>
              <w:t>Empirical</w:t>
            </w:r>
            <w:r>
              <w:rPr>
                <w:spacing w:val="-10"/>
              </w:rPr>
              <w:t> </w:t>
            </w:r>
            <w:r>
              <w:rPr>
                <w:spacing w:val="-2"/>
              </w:rPr>
              <w:t>Literature</w:t>
            </w:r>
            <w:r>
              <w:rPr/>
              <w:tab/>
            </w:r>
            <w:r>
              <w:rPr>
                <w:spacing w:val="-5"/>
              </w:rPr>
              <w:t>89</w:t>
            </w:r>
          </w:hyperlink>
        </w:p>
        <w:p>
          <w:pPr>
            <w:pStyle w:val="TOC3"/>
            <w:numPr>
              <w:ilvl w:val="2"/>
              <w:numId w:val="4"/>
            </w:numPr>
            <w:tabs>
              <w:tab w:pos="780" w:val="left" w:leader="none"/>
              <w:tab w:pos="9111" w:val="right" w:leader="none"/>
            </w:tabs>
            <w:spacing w:line="240" w:lineRule="auto" w:before="286" w:after="0"/>
            <w:ind w:left="780" w:right="0" w:hanging="560"/>
            <w:jc w:val="left"/>
          </w:pPr>
          <w:hyperlink w:history="true" w:anchor="_TOC_250038">
            <w:r>
              <w:rPr/>
              <w:t>Studies</w:t>
            </w:r>
            <w:r>
              <w:rPr>
                <w:spacing w:val="-8"/>
              </w:rPr>
              <w:t> </w:t>
            </w:r>
            <w:r>
              <w:rPr/>
              <w:t>Outside</w:t>
            </w:r>
            <w:r>
              <w:rPr>
                <w:spacing w:val="-8"/>
              </w:rPr>
              <w:t> </w:t>
            </w:r>
            <w:r>
              <w:rPr>
                <w:spacing w:val="-2"/>
              </w:rPr>
              <w:t>Africa</w:t>
            </w:r>
            <w:r>
              <w:rPr/>
              <w:tab/>
            </w:r>
            <w:r>
              <w:rPr>
                <w:spacing w:val="-5"/>
              </w:rPr>
              <w:t>89</w:t>
            </w:r>
          </w:hyperlink>
        </w:p>
        <w:p>
          <w:pPr>
            <w:pStyle w:val="TOC3"/>
            <w:numPr>
              <w:ilvl w:val="2"/>
              <w:numId w:val="4"/>
            </w:numPr>
            <w:tabs>
              <w:tab w:pos="780" w:val="left" w:leader="none"/>
              <w:tab w:pos="9236" w:val="right" w:leader="none"/>
            </w:tabs>
            <w:spacing w:line="240" w:lineRule="auto" w:before="289" w:after="0"/>
            <w:ind w:left="780" w:right="0" w:hanging="560"/>
            <w:jc w:val="left"/>
          </w:pPr>
          <w:hyperlink w:history="true" w:anchor="_TOC_250037">
            <w:r>
              <w:rPr/>
              <w:t>Studies</w:t>
            </w:r>
            <w:r>
              <w:rPr>
                <w:spacing w:val="-8"/>
              </w:rPr>
              <w:t> </w:t>
            </w:r>
            <w:r>
              <w:rPr/>
              <w:t>Within</w:t>
            </w:r>
            <w:r>
              <w:rPr>
                <w:spacing w:val="-8"/>
              </w:rPr>
              <w:t> </w:t>
            </w:r>
            <w:r>
              <w:rPr>
                <w:spacing w:val="-2"/>
              </w:rPr>
              <w:t>Africa</w:t>
            </w:r>
            <w:r>
              <w:rPr/>
              <w:tab/>
            </w:r>
            <w:r>
              <w:rPr>
                <w:spacing w:val="-5"/>
              </w:rPr>
              <w:t>101</w:t>
            </w:r>
          </w:hyperlink>
        </w:p>
        <w:p>
          <w:pPr>
            <w:pStyle w:val="TOC3"/>
            <w:numPr>
              <w:ilvl w:val="2"/>
              <w:numId w:val="4"/>
            </w:numPr>
            <w:tabs>
              <w:tab w:pos="780" w:val="left" w:leader="none"/>
              <w:tab w:pos="9236" w:val="right" w:leader="none"/>
            </w:tabs>
            <w:spacing w:line="240" w:lineRule="auto" w:before="286" w:after="0"/>
            <w:ind w:left="780" w:right="0" w:hanging="560"/>
            <w:jc w:val="left"/>
          </w:pPr>
          <w:hyperlink w:history="true" w:anchor="_TOC_250036">
            <w:r>
              <w:rPr/>
              <w:t>Studies</w:t>
            </w:r>
            <w:r>
              <w:rPr>
                <w:spacing w:val="-8"/>
              </w:rPr>
              <w:t> </w:t>
            </w:r>
            <w:r>
              <w:rPr/>
              <w:t>Within</w:t>
            </w:r>
            <w:r>
              <w:rPr>
                <w:spacing w:val="-8"/>
              </w:rPr>
              <w:t> </w:t>
            </w:r>
            <w:r>
              <w:rPr>
                <w:spacing w:val="-2"/>
              </w:rPr>
              <w:t>Nigeria</w:t>
            </w:r>
            <w:r>
              <w:rPr/>
              <w:tab/>
            </w:r>
            <w:r>
              <w:rPr>
                <w:spacing w:val="-5"/>
              </w:rPr>
              <w:t>109</w:t>
            </w:r>
          </w:hyperlink>
        </w:p>
        <w:p>
          <w:pPr>
            <w:pStyle w:val="TOC3"/>
            <w:numPr>
              <w:ilvl w:val="1"/>
              <w:numId w:val="4"/>
            </w:numPr>
            <w:tabs>
              <w:tab w:pos="593" w:val="left" w:leader="none"/>
              <w:tab w:pos="9236" w:val="right" w:leader="none"/>
            </w:tabs>
            <w:spacing w:line="240" w:lineRule="auto" w:before="289" w:after="0"/>
            <w:ind w:left="593" w:right="0" w:hanging="373"/>
            <w:jc w:val="left"/>
          </w:pPr>
          <w:hyperlink w:history="true" w:anchor="_TOC_250035">
            <w:r>
              <w:rPr/>
              <w:t>Gap</w:t>
            </w:r>
            <w:r>
              <w:rPr>
                <w:spacing w:val="-5"/>
              </w:rPr>
              <w:t> </w:t>
            </w:r>
            <w:r>
              <w:rPr/>
              <w:t>in</w:t>
            </w:r>
            <w:r>
              <w:rPr>
                <w:spacing w:val="-4"/>
              </w:rPr>
              <w:t> </w:t>
            </w:r>
            <w:r>
              <w:rPr>
                <w:spacing w:val="-2"/>
              </w:rPr>
              <w:t>Literature</w:t>
            </w:r>
            <w:r>
              <w:rPr/>
              <w:tab/>
            </w:r>
            <w:r>
              <w:rPr>
                <w:spacing w:val="-5"/>
              </w:rPr>
              <w:t>123</w:t>
            </w:r>
          </w:hyperlink>
        </w:p>
        <w:p>
          <w:pPr>
            <w:pStyle w:val="TOC3"/>
            <w:numPr>
              <w:ilvl w:val="1"/>
              <w:numId w:val="4"/>
            </w:numPr>
            <w:tabs>
              <w:tab w:pos="593" w:val="left" w:leader="none"/>
              <w:tab w:pos="9236" w:val="right" w:leader="none"/>
            </w:tabs>
            <w:spacing w:line="240" w:lineRule="auto" w:before="286" w:after="20"/>
            <w:ind w:left="593" w:right="0" w:hanging="373"/>
            <w:jc w:val="left"/>
          </w:pPr>
          <w:r>
            <w:rPr/>
            <mc:AlternateContent>
              <mc:Choice Requires="wps">
                <w:drawing>
                  <wp:anchor distT="0" distB="0" distL="0" distR="0" allowOverlap="1" layoutInCell="1" locked="0" behindDoc="1" simplePos="0" relativeHeight="478008832">
                    <wp:simplePos x="0" y="0"/>
                    <wp:positionH relativeFrom="page">
                      <wp:posOffset>896416</wp:posOffset>
                    </wp:positionH>
                    <wp:positionV relativeFrom="paragraph">
                      <wp:posOffset>181900</wp:posOffset>
                    </wp:positionV>
                    <wp:extent cx="5981065" cy="36576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5981065" cy="365760"/>
                            </a:xfrm>
                            <a:custGeom>
                              <a:avLst/>
                              <a:gdLst/>
                              <a:ahLst/>
                              <a:cxnLst/>
                              <a:rect l="l" t="t" r="r" b="b"/>
                              <a:pathLst>
                                <a:path w="5981065" h="365760">
                                  <a:moveTo>
                                    <a:pt x="5981065" y="0"/>
                                  </a:moveTo>
                                  <a:lnTo>
                                    <a:pt x="0" y="0"/>
                                  </a:lnTo>
                                  <a:lnTo>
                                    <a:pt x="0" y="365760"/>
                                  </a:lnTo>
                                  <a:lnTo>
                                    <a:pt x="5981065" y="365760"/>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14.322855pt;width:470.95pt;height:28.8pt;mso-position-horizontal-relative:page;mso-position-vertical-relative:paragraph;z-index:-25307648" id="docshape15" filled="true" fillcolor="#ffffff" stroked="false">
                    <v:fill type="solid"/>
                    <w10:wrap type="none"/>
                  </v:rect>
                </w:pict>
              </mc:Fallback>
            </mc:AlternateContent>
          </w:r>
          <w:hyperlink w:history="true" w:anchor="_TOC_250034">
            <w:r>
              <w:rPr/>
              <w:t>Theoretical</w:t>
            </w:r>
            <w:r>
              <w:rPr>
                <w:spacing w:val="-13"/>
              </w:rPr>
              <w:t> </w:t>
            </w:r>
            <w:r>
              <w:rPr>
                <w:spacing w:val="-2"/>
              </w:rPr>
              <w:t>Framework</w:t>
            </w:r>
            <w:r>
              <w:rPr/>
              <w:tab/>
            </w:r>
            <w:r>
              <w:rPr>
                <w:spacing w:val="-5"/>
              </w:rPr>
              <w:t>125</w:t>
            </w:r>
          </w:hyperlink>
        </w:p>
        <w:p>
          <w:pPr>
            <w:pStyle w:val="TOC3"/>
            <w:numPr>
              <w:ilvl w:val="2"/>
              <w:numId w:val="4"/>
            </w:numPr>
            <w:tabs>
              <w:tab w:pos="780" w:val="left" w:leader="none"/>
              <w:tab w:pos="9236" w:val="right" w:leader="none"/>
            </w:tabs>
            <w:spacing w:line="240" w:lineRule="auto" w:before="60" w:after="0"/>
            <w:ind w:left="780" w:right="0" w:hanging="560"/>
            <w:jc w:val="left"/>
          </w:pPr>
          <w:hyperlink w:history="true" w:anchor="_TOC_250033">
            <w:r>
              <w:rPr/>
              <w:t>Theory</w:t>
            </w:r>
            <w:r>
              <w:rPr>
                <w:spacing w:val="-7"/>
              </w:rPr>
              <w:t> </w:t>
            </w:r>
            <w:r>
              <w:rPr/>
              <w:t>of</w:t>
            </w:r>
            <w:r>
              <w:rPr>
                <w:spacing w:val="-6"/>
              </w:rPr>
              <w:t> </w:t>
            </w:r>
            <w:r>
              <w:rPr/>
              <w:t>Financial</w:t>
            </w:r>
            <w:r>
              <w:rPr>
                <w:spacing w:val="-6"/>
              </w:rPr>
              <w:t> </w:t>
            </w:r>
            <w:r>
              <w:rPr>
                <w:spacing w:val="-2"/>
              </w:rPr>
              <w:t>Liberalization</w:t>
            </w:r>
            <w:r>
              <w:rPr/>
              <w:tab/>
            </w:r>
            <w:r>
              <w:rPr>
                <w:spacing w:val="-5"/>
              </w:rPr>
              <w:t>125</w:t>
            </w:r>
          </w:hyperlink>
        </w:p>
        <w:p>
          <w:pPr>
            <w:pStyle w:val="TOC3"/>
            <w:numPr>
              <w:ilvl w:val="2"/>
              <w:numId w:val="4"/>
            </w:numPr>
            <w:tabs>
              <w:tab w:pos="780" w:val="left" w:leader="none"/>
              <w:tab w:pos="9236" w:val="right" w:leader="none"/>
            </w:tabs>
            <w:spacing w:line="240" w:lineRule="auto" w:before="288" w:after="0"/>
            <w:ind w:left="780" w:right="0" w:hanging="560"/>
            <w:jc w:val="left"/>
          </w:pPr>
          <w:hyperlink w:history="true" w:anchor="_TOC_250032">
            <w:r>
              <w:rPr/>
              <w:t>Endogenous</w:t>
            </w:r>
            <w:r>
              <w:rPr>
                <w:spacing w:val="-10"/>
              </w:rPr>
              <w:t> </w:t>
            </w:r>
            <w:r>
              <w:rPr/>
              <w:t>Growth</w:t>
            </w:r>
            <w:r>
              <w:rPr>
                <w:spacing w:val="-9"/>
              </w:rPr>
              <w:t> </w:t>
            </w:r>
            <w:r>
              <w:rPr>
                <w:spacing w:val="-2"/>
              </w:rPr>
              <w:t>Theory</w:t>
            </w:r>
            <w:r>
              <w:rPr/>
              <w:tab/>
            </w:r>
            <w:r>
              <w:rPr>
                <w:spacing w:val="-5"/>
              </w:rPr>
              <w:t>129</w:t>
            </w:r>
          </w:hyperlink>
        </w:p>
        <w:p>
          <w:pPr>
            <w:pStyle w:val="TOC2"/>
          </w:pPr>
          <w:hyperlink w:history="true" w:anchor="_TOC_250031">
            <w:r>
              <w:rPr/>
              <w:t>CHAPTER</w:t>
            </w:r>
            <w:r>
              <w:rPr>
                <w:spacing w:val="-11"/>
              </w:rPr>
              <w:t> </w:t>
            </w:r>
            <w:r>
              <w:rPr/>
              <w:t>THREE:</w:t>
            </w:r>
            <w:r>
              <w:rPr>
                <w:spacing w:val="-10"/>
              </w:rPr>
              <w:t> </w:t>
            </w:r>
            <w:r>
              <w:rPr>
                <w:spacing w:val="-2"/>
              </w:rPr>
              <w:t>METHODOLOGY</w:t>
            </w:r>
          </w:hyperlink>
        </w:p>
        <w:p>
          <w:pPr>
            <w:pStyle w:val="TOC3"/>
            <w:numPr>
              <w:ilvl w:val="1"/>
              <w:numId w:val="5"/>
            </w:numPr>
            <w:tabs>
              <w:tab w:pos="593" w:val="left" w:leader="none"/>
              <w:tab w:pos="9236" w:val="right" w:leader="none"/>
            </w:tabs>
            <w:spacing w:line="240" w:lineRule="auto" w:before="286" w:after="0"/>
            <w:ind w:left="593" w:right="0" w:hanging="373"/>
            <w:jc w:val="left"/>
          </w:pPr>
          <w:r>
            <w:rPr/>
            <mc:AlternateContent>
              <mc:Choice Requires="wps">
                <w:drawing>
                  <wp:anchor distT="0" distB="0" distL="0" distR="0" allowOverlap="1" layoutInCell="1" locked="0" behindDoc="1" simplePos="0" relativeHeight="478009344">
                    <wp:simplePos x="0" y="0"/>
                    <wp:positionH relativeFrom="page">
                      <wp:posOffset>950112</wp:posOffset>
                    </wp:positionH>
                    <wp:positionV relativeFrom="paragraph">
                      <wp:posOffset>187942</wp:posOffset>
                    </wp:positionV>
                    <wp:extent cx="5505450" cy="566102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4.798633pt;width:433.5pt;height:445.75pt;mso-position-horizontal-relative:page;mso-position-vertical-relative:paragraph;z-index:-25307136" id="docshape16" coordorigin="1496,296" coordsize="8670,8915" path="m2562,9016l1691,8145,1496,8340,2367,9211,2562,9016xm3154,8340l3153,8300,3148,8257,3139,8214,3125,8170,3106,8126,3083,8083,3055,8040,3025,7999,2991,7959,2954,7920,2435,7401,2241,7595,2772,8127,2805,8163,2829,8198,2846,8233,2856,8267,2858,8300,2851,8330,2837,8359,2816,8385,2790,8407,2761,8421,2730,8426,2697,8424,2663,8415,2628,8398,2593,8374,2557,8342,2026,7810,1831,8004,2351,8524,2385,8556,2424,8588,2468,8621,2516,8653,2548,8672,2583,8688,2620,8701,2658,8712,2697,8720,2733,8723,2767,8724,2800,8720,2831,8713,2863,8701,2895,8685,2926,8665,2957,8642,2985,8619,3011,8596,3035,8573,3071,8533,3102,8492,3125,8450,3142,8408,3150,8376,3154,8340xm3882,7556l3876,7492,3860,7427,3834,7360,3806,7306,3771,7250,3728,7192,3678,7133,3661,7114,3621,7073,3597,7050,3597,7544,3592,7584,3577,7621,3551,7654,3518,7680,3481,7695,3441,7699,3396,7693,3347,7675,3294,7643,3235,7598,3171,7539,3112,7475,3066,7416,3035,7362,3016,7313,3010,7268,3014,7228,3029,7192,3053,7160,3086,7135,3122,7119,3163,7114,3207,7119,3255,7137,3307,7166,3363,7209,3423,7264,3488,7333,3538,7396,3572,7452,3591,7501,3597,7544,3597,7050,3551,7008,3482,6952,3413,6907,3344,6872,3276,6846,3209,6830,3130,6825,3055,6835,2983,6860,2914,6901,2850,6956,2796,7020,2756,7087,2732,7159,2723,7235,2729,7314,2746,7383,2772,7452,2808,7521,2854,7591,2910,7662,2976,7733,3036,7790,3096,7839,3156,7881,3215,7916,3273,7943,3344,7968,3411,7981,3475,7985,3535,7979,3593,7962,3649,7935,3705,7897,3758,7849,3805,7796,3841,7739,3858,7699,3866,7681,3879,7619,3882,7556xm4153,6977l3966,6790,3712,7044,3899,7231,4153,6977xm4664,6914l3793,6043,3598,6238,4469,7109,4664,6914xm4998,6580l4675,6257,4781,6150,4832,6090,4837,6080,4866,6029,4883,5965,4882,5901,4866,5835,4843,5784,4836,5769,4792,5703,4733,5637,4670,5580,4607,5537,4598,5533,4598,5926,4597,5952,4587,5978,4570,6005,4546,6033,4498,6080,4304,5886,4359,5830,4386,5807,4412,5792,4438,5784,4462,5785,4486,5791,4509,5801,4531,5816,4552,5834,4570,5856,4584,5878,4593,5902,4598,5926,4598,5533,4544,5508,4483,5492,4423,5491,4365,5505,4309,5535,4255,5581,3931,5904,4803,6775,4998,6580xm5788,5790l5132,5134,5330,4936,5115,4721,4524,5312,4739,5527,4937,5329,5593,5985,5788,5790xm6423,5155l5767,4499,5966,4300,5751,4085,5159,4677,5374,4892,5573,4693,6229,5349,6423,5155xm7157,4282l7151,4217,7135,4152,7109,4085,7081,4031,7046,3975,7003,3917,6953,3858,6935,3839,6896,3798,6872,3776,6872,4269,6867,4310,6851,4346,6825,4380,6793,4405,6756,4420,6716,4424,6671,4418,6622,4400,6569,4368,6510,4323,6446,4264,6387,4200,6341,4141,6309,4087,6291,4038,6285,3993,6289,3953,6304,3917,6328,3886,6361,3860,6397,3845,6438,3839,6482,3845,6530,3862,6582,3892,6638,3934,6698,3989,6763,4059,6813,4121,6847,4177,6866,4226,6872,4269,6872,3776,6826,3733,6756,3678,6687,3633,6619,3597,6551,3572,6483,3556,6405,3550,6329,3560,6258,3585,6189,3626,6125,3681,6071,3745,6031,3812,6007,3884,5998,3960,6004,4040,6021,4108,6047,4177,6083,4246,6129,4316,6184,4387,6250,4458,6311,4515,6371,4564,6431,4606,6490,4641,6548,4669,6619,4693,6686,4707,6750,4710,6810,4704,6868,4687,6924,4660,6979,4623,7033,4575,7080,4521,7116,4464,7133,4424,7141,4406,7154,4345,7157,4282xm8170,3286l8165,3237,8153,3187,8134,3134,8109,3080,8079,3024,8041,2967,7980,2991,7799,3066,7831,3112,7855,3155,7873,3196,7884,3233,7887,3268,7881,3301,7866,3332,7843,3361,7812,3385,7778,3399,7740,3403,7700,3397,7653,3378,7600,3344,7538,3295,7469,3230,7417,3174,7375,3122,7344,3075,7324,3032,7311,2980,7312,2934,7325,2893,7352,2857,7367,2844,7384,2833,7402,2825,7422,2821,7442,2819,7464,2819,7486,2822,7509,2828,7524,2834,7542,2842,7563,2853,7586,2868,7705,2643,7622,2597,7543,2565,7469,2546,7400,2539,7333,2547,7269,2570,7206,2608,7146,2660,7092,2723,7054,2789,7030,2859,7021,2933,7027,3011,7044,3078,7070,3146,7106,3215,7153,3285,7209,3355,7276,3427,7341,3488,7404,3540,7467,3583,7529,3619,7590,3646,7662,3670,7730,3683,7791,3685,7847,3679,7900,3662,7952,3635,8004,3598,8056,3552,8094,3509,8125,3466,8147,3423,8161,3378,8169,3333,8170,3286xm8868,2571l8861,2507,8846,2441,8820,2374,8792,2320,8757,2264,8714,2206,8664,2147,8646,2128,8607,2087,8583,2065,8583,2559,8578,2599,8562,2635,8536,2669,8504,2694,8467,2709,8427,2713,8382,2707,8333,2689,8279,2658,8221,2612,8157,2553,8098,2489,8052,2430,8020,2376,8002,2327,7996,2282,8000,2242,8014,2206,8039,2175,8071,2149,8108,2134,8149,2128,8193,2134,8241,2151,8293,2181,8349,2223,8409,2278,8474,2348,8524,2411,8558,2466,8577,2515,8583,2559,8583,2065,8537,2022,8467,1967,8398,1922,8330,1886,8262,1861,8194,1845,8116,1839,8040,1849,7968,1875,7900,1915,7835,1971,7781,2034,7742,2102,7718,2173,7709,2249,7715,2329,7731,2397,7758,2466,7794,2536,7839,2606,7895,2676,7961,2747,8022,2804,8082,2854,8142,2896,8201,2930,8259,2958,8329,2982,8397,2996,8461,2999,8521,2993,8579,2977,8635,2949,8690,2912,8744,2864,8791,2810,8827,2754,8844,2713,8852,2695,8865,2634,8868,2571xm9348,2230l9025,1906,9132,1800,9182,1740,9188,1730,9216,1678,9233,1615,9233,1550,9217,1485,9194,1434,9187,1419,9142,1353,9084,1287,9020,1230,8957,1187,8948,1183,8948,1576,8947,1601,8938,1628,8921,1655,8896,1682,8849,1730,8654,1536,8710,1480,8737,1457,8763,1441,8788,1434,8812,1434,8836,1441,8859,1451,8881,1466,8902,1484,8920,1506,8934,1528,8943,1552,8948,1576,8948,1183,8895,1157,8833,1141,8773,1140,8715,1155,8659,1185,8605,1230,8282,1554,9153,2425,9348,2230xm10166,1412l9801,1047,9748,897,9593,446,9540,296,9325,511,9353,581,9436,792,9492,933,9422,904,9211,821,9071,765,8854,981,9005,1034,9456,1189,9606,1242,9971,1607,10166,1412xe" filled="true" fillcolor="#c0c0c0" stroked="false">
                    <v:path arrowok="t"/>
                    <v:fill opacity="32896f" type="solid"/>
                    <w10:wrap type="none"/>
                  </v:shape>
                </w:pict>
              </mc:Fallback>
            </mc:AlternateContent>
          </w:r>
          <w:hyperlink w:history="true" w:anchor="_TOC_250030">
            <w:r>
              <w:rPr/>
              <w:t>Research</w:t>
            </w:r>
            <w:r>
              <w:rPr>
                <w:spacing w:val="-13"/>
              </w:rPr>
              <w:t> </w:t>
            </w:r>
            <w:r>
              <w:rPr>
                <w:spacing w:val="-2"/>
              </w:rPr>
              <w:t>Design</w:t>
            </w:r>
            <w:r>
              <w:rPr/>
              <w:tab/>
            </w:r>
            <w:r>
              <w:rPr>
                <w:spacing w:val="-5"/>
              </w:rPr>
              <w:t>131</w:t>
            </w:r>
          </w:hyperlink>
        </w:p>
        <w:p>
          <w:pPr>
            <w:pStyle w:val="TOC3"/>
            <w:numPr>
              <w:ilvl w:val="1"/>
              <w:numId w:val="5"/>
            </w:numPr>
            <w:tabs>
              <w:tab w:pos="593" w:val="left" w:leader="none"/>
              <w:tab w:pos="9236" w:val="right" w:leader="none"/>
            </w:tabs>
            <w:spacing w:line="240" w:lineRule="auto" w:before="289" w:after="0"/>
            <w:ind w:left="593" w:right="0" w:hanging="373"/>
            <w:jc w:val="left"/>
          </w:pPr>
          <w:hyperlink w:history="true" w:anchor="_TOC_250029">
            <w:r>
              <w:rPr/>
              <w:t>Nature</w:t>
            </w:r>
            <w:r>
              <w:rPr>
                <w:spacing w:val="-7"/>
              </w:rPr>
              <w:t> </w:t>
            </w:r>
            <w:r>
              <w:rPr/>
              <w:t>and</w:t>
            </w:r>
            <w:r>
              <w:rPr>
                <w:spacing w:val="-6"/>
              </w:rPr>
              <w:t> </w:t>
            </w:r>
            <w:r>
              <w:rPr/>
              <w:t>Sources</w:t>
            </w:r>
            <w:r>
              <w:rPr>
                <w:spacing w:val="-3"/>
              </w:rPr>
              <w:t> </w:t>
            </w:r>
            <w:r>
              <w:rPr/>
              <w:t>of</w:t>
            </w:r>
            <w:r>
              <w:rPr>
                <w:spacing w:val="-5"/>
              </w:rPr>
              <w:t> </w:t>
            </w:r>
            <w:r>
              <w:rPr>
                <w:spacing w:val="-4"/>
              </w:rPr>
              <w:t>Data</w:t>
            </w:r>
            <w:r>
              <w:rPr/>
              <w:tab/>
            </w:r>
            <w:r>
              <w:rPr>
                <w:spacing w:val="-5"/>
              </w:rPr>
              <w:t>131</w:t>
            </w:r>
          </w:hyperlink>
        </w:p>
        <w:p>
          <w:pPr>
            <w:pStyle w:val="TOC3"/>
            <w:numPr>
              <w:ilvl w:val="1"/>
              <w:numId w:val="5"/>
            </w:numPr>
            <w:tabs>
              <w:tab w:pos="593" w:val="left" w:leader="none"/>
              <w:tab w:pos="9236" w:val="right" w:leader="none"/>
            </w:tabs>
            <w:spacing w:line="240" w:lineRule="auto" w:before="288" w:after="0"/>
            <w:ind w:left="593" w:right="0" w:hanging="373"/>
            <w:jc w:val="left"/>
          </w:pPr>
          <w:hyperlink w:history="true" w:anchor="_TOC_250028">
            <w:r>
              <w:rPr/>
              <w:t>Method</w:t>
            </w:r>
            <w:r>
              <w:rPr>
                <w:spacing w:val="-6"/>
              </w:rPr>
              <w:t> </w:t>
            </w:r>
            <w:r>
              <w:rPr/>
              <w:t>of</w:t>
            </w:r>
            <w:r>
              <w:rPr>
                <w:spacing w:val="-6"/>
              </w:rPr>
              <w:t> </w:t>
            </w:r>
            <w:r>
              <w:rPr/>
              <w:t>Data</w:t>
            </w:r>
            <w:r>
              <w:rPr>
                <w:spacing w:val="-5"/>
              </w:rPr>
              <w:t> </w:t>
            </w:r>
            <w:r>
              <w:rPr>
                <w:spacing w:val="-2"/>
              </w:rPr>
              <w:t>Analysis</w:t>
            </w:r>
            <w:r>
              <w:rPr/>
              <w:tab/>
            </w:r>
            <w:r>
              <w:rPr>
                <w:spacing w:val="-5"/>
              </w:rPr>
              <w:t>132</w:t>
            </w:r>
          </w:hyperlink>
        </w:p>
        <w:p>
          <w:pPr>
            <w:pStyle w:val="TOC3"/>
            <w:numPr>
              <w:ilvl w:val="2"/>
              <w:numId w:val="5"/>
            </w:numPr>
            <w:tabs>
              <w:tab w:pos="780" w:val="left" w:leader="none"/>
              <w:tab w:pos="9236" w:val="right" w:leader="none"/>
            </w:tabs>
            <w:spacing w:line="240" w:lineRule="auto" w:before="287" w:after="0"/>
            <w:ind w:left="780" w:right="0" w:hanging="560"/>
            <w:jc w:val="left"/>
          </w:pPr>
          <w:hyperlink w:history="true" w:anchor="_TOC_250027">
            <w:r>
              <w:rPr/>
              <w:t>Estimation</w:t>
            </w:r>
            <w:r>
              <w:rPr>
                <w:spacing w:val="-11"/>
              </w:rPr>
              <w:t> </w:t>
            </w:r>
            <w:r>
              <w:rPr>
                <w:spacing w:val="-2"/>
              </w:rPr>
              <w:t>Criterion</w:t>
            </w:r>
            <w:r>
              <w:rPr/>
              <w:tab/>
            </w:r>
            <w:r>
              <w:rPr>
                <w:spacing w:val="-5"/>
              </w:rPr>
              <w:t>134</w:t>
            </w:r>
          </w:hyperlink>
        </w:p>
        <w:p>
          <w:pPr>
            <w:pStyle w:val="TOC3"/>
            <w:numPr>
              <w:ilvl w:val="2"/>
              <w:numId w:val="5"/>
            </w:numPr>
            <w:tabs>
              <w:tab w:pos="780" w:val="left" w:leader="none"/>
              <w:tab w:pos="9236" w:val="right" w:leader="none"/>
            </w:tabs>
            <w:spacing w:line="240" w:lineRule="auto" w:before="289" w:after="0"/>
            <w:ind w:left="780" w:right="0" w:hanging="560"/>
            <w:jc w:val="left"/>
          </w:pPr>
          <w:hyperlink w:history="true" w:anchor="_TOC_250026">
            <w:r>
              <w:rPr/>
              <w:t>Diagnostic</w:t>
            </w:r>
            <w:r>
              <w:rPr>
                <w:spacing w:val="-12"/>
              </w:rPr>
              <w:t> </w:t>
            </w:r>
            <w:r>
              <w:rPr>
                <w:spacing w:val="-2"/>
              </w:rPr>
              <w:t>Statistics</w:t>
            </w:r>
            <w:r>
              <w:rPr/>
              <w:tab/>
            </w:r>
            <w:r>
              <w:rPr>
                <w:spacing w:val="-5"/>
              </w:rPr>
              <w:t>136</w:t>
            </w:r>
          </w:hyperlink>
        </w:p>
        <w:p>
          <w:pPr>
            <w:pStyle w:val="TOC3"/>
            <w:numPr>
              <w:ilvl w:val="2"/>
              <w:numId w:val="5"/>
            </w:numPr>
            <w:tabs>
              <w:tab w:pos="780" w:val="left" w:leader="none"/>
              <w:tab w:pos="9236" w:val="right" w:leader="none"/>
            </w:tabs>
            <w:spacing w:line="240" w:lineRule="auto" w:before="286" w:after="0"/>
            <w:ind w:left="780" w:right="0" w:hanging="560"/>
            <w:jc w:val="left"/>
          </w:pPr>
          <w:hyperlink w:history="true" w:anchor="_TOC_250025">
            <w:r>
              <w:rPr/>
              <w:t>Test</w:t>
            </w:r>
            <w:r>
              <w:rPr>
                <w:spacing w:val="-7"/>
              </w:rPr>
              <w:t> </w:t>
            </w:r>
            <w:r>
              <w:rPr/>
              <w:t>of</w:t>
            </w:r>
            <w:r>
              <w:rPr>
                <w:spacing w:val="-6"/>
              </w:rPr>
              <w:t> </w:t>
            </w:r>
            <w:r>
              <w:rPr/>
              <w:t>Research</w:t>
            </w:r>
            <w:r>
              <w:rPr>
                <w:spacing w:val="-7"/>
              </w:rPr>
              <w:t> </w:t>
            </w:r>
            <w:r>
              <w:rPr>
                <w:spacing w:val="-2"/>
              </w:rPr>
              <w:t>Hypotheses</w:t>
            </w:r>
            <w:r>
              <w:rPr/>
              <w:tab/>
            </w:r>
            <w:r>
              <w:rPr>
                <w:spacing w:val="-5"/>
              </w:rPr>
              <w:t>137</w:t>
            </w:r>
          </w:hyperlink>
        </w:p>
        <w:p>
          <w:pPr>
            <w:pStyle w:val="TOC3"/>
            <w:numPr>
              <w:ilvl w:val="1"/>
              <w:numId w:val="5"/>
            </w:numPr>
            <w:tabs>
              <w:tab w:pos="593" w:val="left" w:leader="none"/>
              <w:tab w:pos="9236" w:val="right" w:leader="none"/>
            </w:tabs>
            <w:spacing w:line="240" w:lineRule="auto" w:before="288" w:after="0"/>
            <w:ind w:left="593" w:right="0" w:hanging="373"/>
            <w:jc w:val="left"/>
          </w:pPr>
          <w:hyperlink w:history="true" w:anchor="_TOC_250024">
            <w:r>
              <w:rPr/>
              <w:t>Model</w:t>
            </w:r>
            <w:r>
              <w:rPr>
                <w:spacing w:val="-7"/>
              </w:rPr>
              <w:t> </w:t>
            </w:r>
            <w:r>
              <w:rPr>
                <w:spacing w:val="-2"/>
              </w:rPr>
              <w:t>Specification</w:t>
            </w:r>
            <w:r>
              <w:rPr/>
              <w:tab/>
            </w:r>
            <w:r>
              <w:rPr>
                <w:spacing w:val="-5"/>
              </w:rPr>
              <w:t>138</w:t>
            </w:r>
          </w:hyperlink>
        </w:p>
        <w:p>
          <w:pPr>
            <w:pStyle w:val="TOC2"/>
          </w:pPr>
          <w:r>
            <w:rPr/>
            <w:t>CHAPTER</w:t>
          </w:r>
          <w:r>
            <w:rPr>
              <w:spacing w:val="-12"/>
            </w:rPr>
            <w:t> </w:t>
          </w:r>
          <w:r>
            <w:rPr/>
            <w:t>FOUR:</w:t>
          </w:r>
          <w:r>
            <w:rPr>
              <w:spacing w:val="-10"/>
            </w:rPr>
            <w:t> </w:t>
          </w:r>
          <w:r>
            <w:rPr/>
            <w:t>DATA</w:t>
          </w:r>
          <w:r>
            <w:rPr>
              <w:spacing w:val="-11"/>
            </w:rPr>
            <w:t> </w:t>
          </w:r>
          <w:r>
            <w:rPr/>
            <w:t>PRESENTATION</w:t>
          </w:r>
          <w:r>
            <w:rPr>
              <w:spacing w:val="-11"/>
            </w:rPr>
            <w:t> </w:t>
          </w:r>
          <w:r>
            <w:rPr/>
            <w:t>AND</w:t>
          </w:r>
          <w:r>
            <w:rPr>
              <w:spacing w:val="-11"/>
            </w:rPr>
            <w:t> </w:t>
          </w:r>
          <w:r>
            <w:rPr>
              <w:spacing w:val="-2"/>
            </w:rPr>
            <w:t>ANALYSIS</w:t>
          </w:r>
        </w:p>
        <w:p>
          <w:pPr>
            <w:pStyle w:val="TOC3"/>
            <w:numPr>
              <w:ilvl w:val="1"/>
              <w:numId w:val="6"/>
            </w:numPr>
            <w:tabs>
              <w:tab w:pos="593" w:val="left" w:leader="none"/>
              <w:tab w:pos="9236" w:val="right" w:leader="none"/>
            </w:tabs>
            <w:spacing w:line="240" w:lineRule="auto" w:before="289" w:after="0"/>
            <w:ind w:left="593" w:right="0" w:hanging="373"/>
            <w:jc w:val="left"/>
          </w:pPr>
          <w:hyperlink w:history="true" w:anchor="_TOC_250023">
            <w:r>
              <w:rPr>
                <w:spacing w:val="-2"/>
              </w:rPr>
              <w:t>Introduction</w:t>
            </w:r>
            <w:r>
              <w:rPr/>
              <w:tab/>
            </w:r>
            <w:r>
              <w:rPr>
                <w:spacing w:val="-5"/>
              </w:rPr>
              <w:t>140</w:t>
            </w:r>
          </w:hyperlink>
        </w:p>
        <w:p>
          <w:pPr>
            <w:pStyle w:val="TOC3"/>
            <w:numPr>
              <w:ilvl w:val="1"/>
              <w:numId w:val="7"/>
            </w:numPr>
            <w:tabs>
              <w:tab w:pos="593" w:val="left" w:leader="none"/>
              <w:tab w:pos="9236" w:val="right" w:leader="none"/>
            </w:tabs>
            <w:spacing w:line="240" w:lineRule="auto" w:before="286" w:after="0"/>
            <w:ind w:left="593" w:right="0" w:hanging="373"/>
            <w:jc w:val="left"/>
          </w:pPr>
          <w:hyperlink w:history="true" w:anchor="_TOC_250022">
            <w:r>
              <w:rPr/>
              <w:t>Descriptive</w:t>
            </w:r>
            <w:r>
              <w:rPr>
                <w:spacing w:val="-12"/>
              </w:rPr>
              <w:t> </w:t>
            </w:r>
            <w:r>
              <w:rPr>
                <w:spacing w:val="-2"/>
              </w:rPr>
              <w:t>Statistics</w:t>
            </w:r>
            <w:r>
              <w:rPr/>
              <w:tab/>
            </w:r>
            <w:r>
              <w:rPr>
                <w:spacing w:val="-5"/>
              </w:rPr>
              <w:t>140</w:t>
            </w:r>
          </w:hyperlink>
        </w:p>
        <w:p>
          <w:pPr>
            <w:pStyle w:val="TOC3"/>
            <w:numPr>
              <w:ilvl w:val="1"/>
              <w:numId w:val="7"/>
            </w:numPr>
            <w:tabs>
              <w:tab w:pos="593" w:val="left" w:leader="none"/>
              <w:tab w:pos="9236" w:val="right" w:leader="none"/>
            </w:tabs>
            <w:spacing w:line="240" w:lineRule="auto" w:before="289" w:after="0"/>
            <w:ind w:left="593" w:right="0" w:hanging="373"/>
            <w:jc w:val="left"/>
          </w:pPr>
          <w:hyperlink w:history="true" w:anchor="_TOC_250021">
            <w:r>
              <w:rPr/>
              <w:t>Unit</w:t>
            </w:r>
            <w:r>
              <w:rPr>
                <w:spacing w:val="-6"/>
              </w:rPr>
              <w:t> </w:t>
            </w:r>
            <w:r>
              <w:rPr/>
              <w:t>Root</w:t>
            </w:r>
            <w:r>
              <w:rPr>
                <w:spacing w:val="-6"/>
              </w:rPr>
              <w:t> </w:t>
            </w:r>
            <w:r>
              <w:rPr>
                <w:spacing w:val="-4"/>
              </w:rPr>
              <w:t>Test</w:t>
            </w:r>
            <w:r>
              <w:rPr/>
              <w:tab/>
            </w:r>
            <w:r>
              <w:rPr>
                <w:spacing w:val="-5"/>
              </w:rPr>
              <w:t>142</w:t>
            </w:r>
          </w:hyperlink>
        </w:p>
        <w:p>
          <w:pPr>
            <w:pStyle w:val="TOC3"/>
            <w:numPr>
              <w:ilvl w:val="1"/>
              <w:numId w:val="7"/>
            </w:numPr>
            <w:tabs>
              <w:tab w:pos="593" w:val="left" w:leader="none"/>
              <w:tab w:pos="9236" w:val="right" w:leader="none"/>
            </w:tabs>
            <w:spacing w:line="240" w:lineRule="auto" w:before="286" w:after="0"/>
            <w:ind w:left="593" w:right="0" w:hanging="373"/>
            <w:jc w:val="left"/>
          </w:pPr>
          <w:hyperlink w:history="true" w:anchor="_TOC_250020">
            <w:r>
              <w:rPr>
                <w:spacing w:val="-2"/>
              </w:rPr>
              <w:t>Cointegration</w:t>
            </w:r>
            <w:r>
              <w:rPr>
                <w:spacing w:val="10"/>
              </w:rPr>
              <w:t> </w:t>
            </w:r>
            <w:r>
              <w:rPr>
                <w:spacing w:val="-4"/>
              </w:rPr>
              <w:t>Test</w:t>
            </w:r>
            <w:r>
              <w:rPr/>
              <w:tab/>
            </w:r>
            <w:r>
              <w:rPr>
                <w:spacing w:val="-5"/>
              </w:rPr>
              <w:t>144</w:t>
            </w:r>
          </w:hyperlink>
        </w:p>
        <w:p>
          <w:pPr>
            <w:pStyle w:val="TOC3"/>
            <w:numPr>
              <w:ilvl w:val="1"/>
              <w:numId w:val="7"/>
            </w:numPr>
            <w:tabs>
              <w:tab w:pos="593" w:val="left" w:leader="none"/>
              <w:tab w:pos="9236" w:val="right" w:leader="none"/>
            </w:tabs>
            <w:spacing w:line="240" w:lineRule="auto" w:before="289" w:after="0"/>
            <w:ind w:left="593" w:right="0" w:hanging="373"/>
            <w:jc w:val="left"/>
          </w:pPr>
          <w:hyperlink w:history="true" w:anchor="_TOC_250019">
            <w:r>
              <w:rPr/>
              <w:t>Presentation</w:t>
            </w:r>
            <w:r>
              <w:rPr>
                <w:spacing w:val="-9"/>
              </w:rPr>
              <w:t> </w:t>
            </w:r>
            <w:r>
              <w:rPr/>
              <w:t>and</w:t>
            </w:r>
            <w:r>
              <w:rPr>
                <w:spacing w:val="-8"/>
              </w:rPr>
              <w:t> </w:t>
            </w:r>
            <w:r>
              <w:rPr/>
              <w:t>Error</w:t>
            </w:r>
            <w:r>
              <w:rPr>
                <w:spacing w:val="-8"/>
              </w:rPr>
              <w:t> </w:t>
            </w:r>
            <w:r>
              <w:rPr/>
              <w:t>Correction</w:t>
            </w:r>
            <w:r>
              <w:rPr>
                <w:spacing w:val="-8"/>
              </w:rPr>
              <w:t> </w:t>
            </w:r>
            <w:r>
              <w:rPr/>
              <w:t>Model</w:t>
            </w:r>
            <w:r>
              <w:rPr>
                <w:spacing w:val="-9"/>
              </w:rPr>
              <w:t> </w:t>
            </w:r>
            <w:r>
              <w:rPr>
                <w:spacing w:val="-4"/>
              </w:rPr>
              <w:t>(ECM)</w:t>
            </w:r>
            <w:r>
              <w:rPr/>
              <w:tab/>
            </w:r>
            <w:r>
              <w:rPr>
                <w:spacing w:val="-5"/>
              </w:rPr>
              <w:t>145</w:t>
            </w:r>
          </w:hyperlink>
        </w:p>
        <w:p>
          <w:pPr>
            <w:pStyle w:val="TOC3"/>
            <w:numPr>
              <w:ilvl w:val="1"/>
              <w:numId w:val="7"/>
            </w:numPr>
            <w:tabs>
              <w:tab w:pos="593" w:val="left" w:leader="none"/>
              <w:tab w:pos="9236" w:val="right" w:leader="none"/>
            </w:tabs>
            <w:spacing w:line="240" w:lineRule="auto" w:before="288" w:after="0"/>
            <w:ind w:left="593" w:right="0" w:hanging="373"/>
            <w:jc w:val="left"/>
          </w:pPr>
          <w:hyperlink w:history="true" w:anchor="_TOC_250018">
            <w:r>
              <w:rPr/>
              <w:t>Diagnostic</w:t>
            </w:r>
            <w:r>
              <w:rPr>
                <w:spacing w:val="-12"/>
              </w:rPr>
              <w:t> </w:t>
            </w:r>
            <w:r>
              <w:rPr>
                <w:spacing w:val="-2"/>
              </w:rPr>
              <w:t>Statistics</w:t>
            </w:r>
            <w:r>
              <w:rPr/>
              <w:tab/>
            </w:r>
            <w:r>
              <w:rPr>
                <w:spacing w:val="-5"/>
              </w:rPr>
              <w:t>149</w:t>
            </w:r>
          </w:hyperlink>
        </w:p>
        <w:p>
          <w:pPr>
            <w:pStyle w:val="TOC3"/>
            <w:numPr>
              <w:ilvl w:val="2"/>
              <w:numId w:val="7"/>
            </w:numPr>
            <w:tabs>
              <w:tab w:pos="780" w:val="left" w:leader="none"/>
              <w:tab w:pos="9236" w:val="right" w:leader="none"/>
            </w:tabs>
            <w:spacing w:line="240" w:lineRule="auto" w:before="287" w:after="0"/>
            <w:ind w:left="780" w:right="0" w:hanging="560"/>
            <w:jc w:val="left"/>
          </w:pPr>
          <w:hyperlink w:history="true" w:anchor="_TOC_250017">
            <w:r>
              <w:rPr/>
              <w:t>Serial</w:t>
            </w:r>
            <w:r>
              <w:rPr>
                <w:spacing w:val="-10"/>
              </w:rPr>
              <w:t> </w:t>
            </w:r>
            <w:r>
              <w:rPr/>
              <w:t>Correlation</w:t>
            </w:r>
            <w:r>
              <w:rPr>
                <w:spacing w:val="-9"/>
              </w:rPr>
              <w:t> </w:t>
            </w:r>
            <w:r>
              <w:rPr>
                <w:spacing w:val="-4"/>
              </w:rPr>
              <w:t>Test</w:t>
            </w:r>
            <w:r>
              <w:rPr/>
              <w:tab/>
            </w:r>
            <w:r>
              <w:rPr>
                <w:spacing w:val="-5"/>
              </w:rPr>
              <w:t>149</w:t>
            </w:r>
          </w:hyperlink>
        </w:p>
        <w:p>
          <w:pPr>
            <w:pStyle w:val="TOC3"/>
            <w:numPr>
              <w:ilvl w:val="2"/>
              <w:numId w:val="7"/>
            </w:numPr>
            <w:tabs>
              <w:tab w:pos="780" w:val="left" w:leader="none"/>
              <w:tab w:pos="9236" w:val="right" w:leader="none"/>
            </w:tabs>
            <w:spacing w:line="240" w:lineRule="auto" w:before="288" w:after="0"/>
            <w:ind w:left="780" w:right="0" w:hanging="560"/>
            <w:jc w:val="left"/>
          </w:pPr>
          <w:hyperlink w:history="true" w:anchor="_TOC_250016">
            <w:r>
              <w:rPr>
                <w:spacing w:val="-2"/>
              </w:rPr>
              <w:t>Heteroskedasticity</w:t>
            </w:r>
            <w:r>
              <w:rPr>
                <w:spacing w:val="19"/>
              </w:rPr>
              <w:t> </w:t>
            </w:r>
            <w:r>
              <w:rPr>
                <w:spacing w:val="-4"/>
              </w:rPr>
              <w:t>Test</w:t>
            </w:r>
            <w:r>
              <w:rPr/>
              <w:tab/>
            </w:r>
            <w:r>
              <w:rPr>
                <w:spacing w:val="-5"/>
              </w:rPr>
              <w:t>150</w:t>
            </w:r>
          </w:hyperlink>
        </w:p>
        <w:p>
          <w:pPr>
            <w:pStyle w:val="TOC3"/>
            <w:numPr>
              <w:ilvl w:val="1"/>
              <w:numId w:val="7"/>
            </w:numPr>
            <w:tabs>
              <w:tab w:pos="593" w:val="left" w:leader="none"/>
              <w:tab w:pos="9236" w:val="right" w:leader="none"/>
            </w:tabs>
            <w:spacing w:line="240" w:lineRule="auto" w:before="286" w:after="0"/>
            <w:ind w:left="593" w:right="0" w:hanging="373"/>
            <w:jc w:val="left"/>
          </w:pPr>
          <w:hyperlink w:history="true" w:anchor="_TOC_250015">
            <w:r>
              <w:rPr/>
              <w:t>Test</w:t>
            </w:r>
            <w:r>
              <w:rPr>
                <w:spacing w:val="-5"/>
              </w:rPr>
              <w:t> </w:t>
            </w:r>
            <w:r>
              <w:rPr/>
              <w:t>of</w:t>
            </w:r>
            <w:r>
              <w:rPr>
                <w:spacing w:val="-3"/>
              </w:rPr>
              <w:t> </w:t>
            </w:r>
            <w:r>
              <w:rPr>
                <w:spacing w:val="-2"/>
              </w:rPr>
              <w:t>Hypotheses</w:t>
            </w:r>
            <w:r>
              <w:rPr/>
              <w:tab/>
            </w:r>
            <w:r>
              <w:rPr>
                <w:spacing w:val="-5"/>
              </w:rPr>
              <w:t>151</w:t>
            </w:r>
          </w:hyperlink>
        </w:p>
        <w:p>
          <w:pPr>
            <w:pStyle w:val="TOC3"/>
            <w:numPr>
              <w:ilvl w:val="2"/>
              <w:numId w:val="7"/>
            </w:numPr>
            <w:tabs>
              <w:tab w:pos="780" w:val="left" w:leader="none"/>
              <w:tab w:pos="9236" w:val="right" w:leader="none"/>
            </w:tabs>
            <w:spacing w:line="240" w:lineRule="auto" w:before="289" w:after="0"/>
            <w:ind w:left="780" w:right="0" w:hanging="560"/>
            <w:jc w:val="left"/>
          </w:pPr>
          <w:hyperlink w:history="true" w:anchor="_TOC_250014">
            <w:r>
              <w:rPr/>
              <w:t>Test</w:t>
            </w:r>
            <w:r>
              <w:rPr>
                <w:spacing w:val="-7"/>
              </w:rPr>
              <w:t> </w:t>
            </w:r>
            <w:r>
              <w:rPr/>
              <w:t>of</w:t>
            </w:r>
            <w:r>
              <w:rPr>
                <w:spacing w:val="-6"/>
              </w:rPr>
              <w:t> </w:t>
            </w:r>
            <w:r>
              <w:rPr/>
              <w:t>Hypothesis</w:t>
            </w:r>
            <w:r>
              <w:rPr>
                <w:spacing w:val="-8"/>
              </w:rPr>
              <w:t> </w:t>
            </w:r>
            <w:r>
              <w:rPr>
                <w:spacing w:val="-5"/>
              </w:rPr>
              <w:t>One</w:t>
            </w:r>
            <w:r>
              <w:rPr/>
              <w:tab/>
            </w:r>
            <w:r>
              <w:rPr>
                <w:spacing w:val="-5"/>
              </w:rPr>
              <w:t>151</w:t>
            </w:r>
          </w:hyperlink>
        </w:p>
        <w:p>
          <w:pPr>
            <w:pStyle w:val="TOC3"/>
            <w:numPr>
              <w:ilvl w:val="2"/>
              <w:numId w:val="7"/>
            </w:numPr>
            <w:tabs>
              <w:tab w:pos="780" w:val="left" w:leader="none"/>
              <w:tab w:pos="9236" w:val="right" w:leader="none"/>
            </w:tabs>
            <w:spacing w:line="240" w:lineRule="auto" w:before="286" w:after="20"/>
            <w:ind w:left="780" w:right="0" w:hanging="560"/>
            <w:jc w:val="left"/>
          </w:pPr>
          <w:hyperlink w:history="true" w:anchor="_TOC_250013">
            <w:r>
              <w:rPr/>
              <w:t>Test</w:t>
            </w:r>
            <w:r>
              <w:rPr>
                <w:spacing w:val="-7"/>
              </w:rPr>
              <w:t> </w:t>
            </w:r>
            <w:r>
              <w:rPr/>
              <w:t>of</w:t>
            </w:r>
            <w:r>
              <w:rPr>
                <w:spacing w:val="-6"/>
              </w:rPr>
              <w:t> </w:t>
            </w:r>
            <w:r>
              <w:rPr/>
              <w:t>Hypothesis</w:t>
            </w:r>
            <w:r>
              <w:rPr>
                <w:spacing w:val="-8"/>
              </w:rPr>
              <w:t> </w:t>
            </w:r>
            <w:r>
              <w:rPr>
                <w:spacing w:val="-5"/>
              </w:rPr>
              <w:t>Two</w:t>
            </w:r>
            <w:r>
              <w:rPr/>
              <w:tab/>
            </w:r>
            <w:r>
              <w:rPr>
                <w:spacing w:val="-5"/>
              </w:rPr>
              <w:t>151</w:t>
            </w:r>
          </w:hyperlink>
        </w:p>
        <w:p>
          <w:pPr>
            <w:pStyle w:val="TOC3"/>
            <w:numPr>
              <w:ilvl w:val="2"/>
              <w:numId w:val="7"/>
            </w:numPr>
            <w:tabs>
              <w:tab w:pos="780" w:val="left" w:leader="none"/>
              <w:tab w:pos="9236" w:val="right" w:leader="none"/>
            </w:tabs>
            <w:spacing w:line="240" w:lineRule="auto" w:before="60" w:after="0"/>
            <w:ind w:left="780" w:right="0" w:hanging="560"/>
            <w:jc w:val="left"/>
          </w:pPr>
          <w:hyperlink w:history="true" w:anchor="_TOC_250012">
            <w:r>
              <w:rPr/>
              <w:t>Test</w:t>
            </w:r>
            <w:r>
              <w:rPr>
                <w:spacing w:val="-7"/>
              </w:rPr>
              <w:t> </w:t>
            </w:r>
            <w:r>
              <w:rPr/>
              <w:t>of</w:t>
            </w:r>
            <w:r>
              <w:rPr>
                <w:spacing w:val="-6"/>
              </w:rPr>
              <w:t> </w:t>
            </w:r>
            <w:r>
              <w:rPr/>
              <w:t>Hypothesis</w:t>
            </w:r>
            <w:r>
              <w:rPr>
                <w:spacing w:val="-8"/>
              </w:rPr>
              <w:t> </w:t>
            </w:r>
            <w:r>
              <w:rPr>
                <w:spacing w:val="-4"/>
              </w:rPr>
              <w:t>Three</w:t>
            </w:r>
            <w:r>
              <w:rPr/>
              <w:tab/>
            </w:r>
            <w:r>
              <w:rPr>
                <w:spacing w:val="-5"/>
              </w:rPr>
              <w:t>152</w:t>
            </w:r>
          </w:hyperlink>
        </w:p>
        <w:p>
          <w:pPr>
            <w:pStyle w:val="TOC3"/>
            <w:numPr>
              <w:ilvl w:val="2"/>
              <w:numId w:val="7"/>
            </w:numPr>
            <w:tabs>
              <w:tab w:pos="780" w:val="left" w:leader="none"/>
              <w:tab w:pos="9236" w:val="right" w:leader="none"/>
            </w:tabs>
            <w:spacing w:line="240" w:lineRule="auto" w:before="288" w:after="0"/>
            <w:ind w:left="780" w:right="0" w:hanging="560"/>
            <w:jc w:val="left"/>
          </w:pPr>
          <w:hyperlink w:history="true" w:anchor="_TOC_250011">
            <w:r>
              <w:rPr/>
              <w:t>Test</w:t>
            </w:r>
            <w:r>
              <w:rPr>
                <w:spacing w:val="-7"/>
              </w:rPr>
              <w:t> </w:t>
            </w:r>
            <w:r>
              <w:rPr/>
              <w:t>of</w:t>
            </w:r>
            <w:r>
              <w:rPr>
                <w:spacing w:val="-6"/>
              </w:rPr>
              <w:t> </w:t>
            </w:r>
            <w:r>
              <w:rPr/>
              <w:t>Hypothesis</w:t>
            </w:r>
            <w:r>
              <w:rPr>
                <w:spacing w:val="-8"/>
              </w:rPr>
              <w:t> </w:t>
            </w:r>
            <w:r>
              <w:rPr>
                <w:spacing w:val="-4"/>
              </w:rPr>
              <w:t>Four</w:t>
            </w:r>
            <w:r>
              <w:rPr/>
              <w:tab/>
            </w:r>
            <w:r>
              <w:rPr>
                <w:spacing w:val="-5"/>
              </w:rPr>
              <w:t>152</w:t>
            </w:r>
          </w:hyperlink>
        </w:p>
        <w:p>
          <w:pPr>
            <w:pStyle w:val="TOC3"/>
            <w:numPr>
              <w:ilvl w:val="2"/>
              <w:numId w:val="7"/>
            </w:numPr>
            <w:tabs>
              <w:tab w:pos="780" w:val="left" w:leader="none"/>
              <w:tab w:pos="9236" w:val="right" w:leader="none"/>
            </w:tabs>
            <w:spacing w:line="240" w:lineRule="auto" w:before="286" w:after="0"/>
            <w:ind w:left="780" w:right="0" w:hanging="560"/>
            <w:jc w:val="left"/>
          </w:pPr>
          <w:hyperlink w:history="true" w:anchor="_TOC_250010">
            <w:r>
              <w:rPr/>
              <w:t>Test</w:t>
            </w:r>
            <w:r>
              <w:rPr>
                <w:spacing w:val="-7"/>
              </w:rPr>
              <w:t> </w:t>
            </w:r>
            <w:r>
              <w:rPr/>
              <w:t>of</w:t>
            </w:r>
            <w:r>
              <w:rPr>
                <w:spacing w:val="-6"/>
              </w:rPr>
              <w:t> </w:t>
            </w:r>
            <w:r>
              <w:rPr/>
              <w:t>Hypothesis</w:t>
            </w:r>
            <w:r>
              <w:rPr>
                <w:spacing w:val="-8"/>
              </w:rPr>
              <w:t> </w:t>
            </w:r>
            <w:r>
              <w:rPr>
                <w:spacing w:val="-4"/>
              </w:rPr>
              <w:t>Five</w:t>
            </w:r>
            <w:r>
              <w:rPr/>
              <w:tab/>
            </w:r>
            <w:r>
              <w:rPr>
                <w:spacing w:val="-5"/>
              </w:rPr>
              <w:t>152</w:t>
            </w:r>
          </w:hyperlink>
        </w:p>
        <w:p>
          <w:pPr>
            <w:pStyle w:val="TOC2"/>
          </w:pPr>
          <w:r>
            <w:rPr/>
            <mc:AlternateContent>
              <mc:Choice Requires="wps">
                <w:drawing>
                  <wp:anchor distT="0" distB="0" distL="0" distR="0" allowOverlap="1" layoutInCell="1" locked="0" behindDoc="1" simplePos="0" relativeHeight="478009856">
                    <wp:simplePos x="0" y="0"/>
                    <wp:positionH relativeFrom="page">
                      <wp:posOffset>950112</wp:posOffset>
                    </wp:positionH>
                    <wp:positionV relativeFrom="paragraph">
                      <wp:posOffset>370822</wp:posOffset>
                    </wp:positionV>
                    <wp:extent cx="5505450" cy="566102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29.198633pt;width:433.5pt;height:445.75pt;mso-position-horizontal-relative:page;mso-position-vertical-relative:paragraph;z-index:-25306624" id="docshape17" coordorigin="1496,584" coordsize="8670,8915" path="m2562,9304l1691,8433,1496,8628,2367,9499,2562,9304xm3154,8628l3153,8588,3148,8545,3139,8502,3125,8458,3106,8414,3083,8371,3055,8328,3025,8287,2991,8247,2954,8208,2435,7689,2241,7883,2772,8415,2805,8451,2829,8486,2846,8521,2856,8555,2858,8588,2851,8618,2837,8647,2816,8673,2790,8695,2761,8709,2730,8714,2697,8712,2663,8703,2628,8686,2593,8662,2557,8630,2026,8098,1831,8292,2351,8812,2385,8844,2424,8876,2468,8909,2516,8941,2548,8960,2583,8976,2620,8989,2658,9000,2697,9008,2733,9011,2767,9012,2800,9008,2831,9001,2863,8989,2895,8973,2926,8953,2957,8930,2985,8907,3011,8884,3035,8861,3071,8821,3102,8780,3125,8738,3142,8696,3150,8664,3154,8628xm3882,7844l3876,7780,3860,7715,3834,7648,3806,7594,3771,7538,3728,7480,3678,7421,3661,7402,3621,7361,3597,7338,3597,7832,3592,7872,3577,7909,3551,7942,3518,7968,3481,7983,3441,7987,3396,7981,3347,7963,3294,7931,3235,7886,3171,7827,3112,7763,3066,7704,3035,7650,3016,7601,3010,7556,3014,7516,3029,7480,3053,7448,3086,7423,3122,7407,3163,7402,3207,7407,3255,7425,3307,7454,3363,7497,3423,7552,3488,7621,3538,7684,3572,7740,3591,7789,3597,7832,3597,7338,3551,7296,3482,7240,3413,7195,3344,7160,3276,7134,3209,7118,3130,7113,3055,7123,2983,7148,2914,7189,2850,7244,2796,7308,2756,7375,2732,7447,2723,7523,2729,7602,2746,7671,2772,7740,2808,7809,2854,7879,2910,7950,2976,8021,3036,8078,3096,8127,3156,8169,3215,8204,3273,8231,3344,8256,3411,8269,3475,8273,3535,8267,3593,8250,3649,8223,3705,8185,3758,8137,3805,8084,3841,8027,3858,7987,3866,7969,3879,7907,3882,7844xm4153,7265l3966,7078,3712,7332,3899,7519,4153,7265xm4664,7202l3793,6331,3598,6526,4469,7397,4664,7202xm4998,6868l4675,6545,4781,6438,4832,6378,4837,6368,4866,6317,4883,6253,4882,6189,4866,6123,4843,6072,4836,6057,4792,5991,4733,5925,4670,5868,4607,5825,4598,5821,4598,6214,4597,6240,4587,6266,4570,6293,4546,6321,4498,6368,4304,6174,4359,6118,4386,6095,4412,6080,4438,6072,4462,6073,4486,6079,4509,6089,4531,6104,4552,6122,4570,6144,4584,6166,4593,6190,4598,6214,4598,5821,4544,5796,4483,5780,4423,5779,4365,5793,4309,5823,4255,5869,3931,6192,4803,7063,4998,6868xm5788,6078l5132,5422,5330,5224,5115,5009,4524,5600,4739,5815,4937,5617,5593,6273,5788,6078xm6423,5443l5767,4787,5966,4588,5751,4373,5159,4965,5374,5180,5573,4981,6229,5637,6423,5443xm7157,4570l7151,4505,7135,4440,7109,4373,7081,4319,7046,4263,7003,4205,6953,4146,6935,4127,6896,4086,6872,4064,6872,4557,6867,4598,6851,4634,6825,4668,6793,4693,6756,4708,6716,4712,6671,4706,6622,4688,6569,4656,6510,4611,6446,4552,6387,4488,6341,4429,6309,4375,6291,4326,6285,4281,6289,4241,6304,4205,6328,4174,6361,4148,6397,4133,6438,4127,6482,4133,6530,4150,6582,4180,6638,4222,6698,4277,6763,4347,6813,4409,6847,4465,6866,4514,6872,4557,6872,4064,6826,4021,6756,3966,6687,3921,6619,3885,6551,3860,6483,3844,6405,3838,6329,3848,6258,3873,6189,3914,6125,3969,6071,4033,6031,4100,6007,4172,5998,4248,6004,4328,6021,4396,6047,4465,6083,4534,6129,4604,6184,4675,6250,4746,6311,4803,6371,4852,6431,4894,6490,4929,6548,4957,6619,4981,6686,4995,6750,4998,6810,4992,6868,4975,6924,4948,6979,4911,7033,4863,7080,4809,7116,4752,7133,4712,7141,4694,7154,4633,7157,4570xm8170,3574l8165,3525,8153,3475,8134,3422,8109,3368,8079,3312,8041,3255,7980,3279,7799,3354,7831,3400,7855,3443,7873,3484,7884,3521,7887,3556,7881,3589,7866,3620,7843,3649,7812,3673,7778,3687,7740,3691,7700,3685,7653,3666,7600,3632,7538,3583,7469,3518,7417,3462,7375,3410,7344,3363,7324,3320,7311,3268,7312,3222,7325,3181,7352,3145,7367,3132,7384,3121,7402,3113,7422,3109,7442,3107,7464,3107,7486,3110,7509,3116,7524,3122,7542,3130,7563,3141,7586,3156,7705,2931,7622,2885,7543,2853,7469,2834,7400,2827,7333,2835,7269,2858,7206,2896,7146,2948,7092,3011,7054,3077,7030,3147,7021,3221,7027,3299,7044,3366,7070,3434,7106,3503,7153,3573,7209,3643,7276,3715,7341,3776,7404,3828,7467,3871,7529,3907,7590,3934,7662,3958,7730,3971,7791,3973,7847,3967,7900,3950,7952,3923,8004,3886,8056,3840,8094,3797,8125,3754,8147,3711,8161,3666,8169,3621,8170,3574xm8868,2859l8861,2795,8846,2729,8820,2662,8792,2608,8757,2552,8714,2494,8664,2435,8646,2416,8607,2375,8583,2353,8583,2847,8578,2887,8562,2923,8536,2957,8504,2982,8467,2997,8427,3001,8382,2995,8333,2977,8279,2946,8221,2900,8157,2841,8098,2777,8052,2718,8020,2664,8002,2615,7996,2570,8000,2530,8014,2494,8039,2463,8071,2437,8108,2422,8149,2416,8193,2422,8241,2439,8293,2469,8349,2511,8409,2566,8474,2636,8524,2699,8558,2754,8577,2803,8583,2847,8583,2353,8537,2310,8467,2255,8398,2210,8330,2174,8262,2149,8194,2133,8116,2127,8040,2137,7968,2163,7900,2203,7835,2259,7781,2322,7742,2390,7718,2461,7709,2537,7715,2617,7731,2685,7758,2754,7794,2824,7839,2894,7895,2964,7961,3035,8022,3092,8082,3142,8142,3184,8201,3218,8259,3246,8329,3270,8397,3284,8461,3287,8521,3281,8579,3265,8635,3237,8690,3200,8744,3152,8791,3098,8827,3042,8844,3001,8852,2983,8865,2922,8868,2859xm9348,2518l9025,2194,9132,2088,9182,2028,9188,2018,9216,1966,9233,1903,9233,1838,9217,1773,9194,1722,9187,1707,9142,1641,9084,1575,9020,1518,8957,1475,8948,1471,8948,1864,8947,1889,8938,1916,8921,1943,8896,1970,8849,2018,8654,1824,8710,1768,8737,1745,8763,1729,8788,1722,8812,1722,8836,1729,8859,1739,8881,1754,8902,1772,8920,1794,8934,1816,8943,1840,8948,1864,8948,1471,8895,1445,8833,1429,8773,1428,8715,1443,8659,1473,8605,1518,8282,1842,9153,2713,9348,2518xm10166,1700l9801,1335,9748,1185,9593,734,9540,584,9325,799,9353,869,9436,1080,9492,1221,9422,1192,9211,1109,9071,1053,8854,1269,9005,1322,9456,1477,9606,1530,9971,1895,10166,1700xe" filled="true" fillcolor="#c0c0c0" stroked="false">
                    <v:path arrowok="t"/>
                    <v:fill opacity="32896f" type="solid"/>
                    <w10:wrap type="none"/>
                  </v:shape>
                </w:pict>
              </mc:Fallback>
            </mc:AlternateContent>
          </w:r>
          <w:hyperlink w:history="true" w:anchor="_TOC_250009">
            <w:r>
              <w:rPr/>
              <w:t>CHAPTER</w:t>
            </w:r>
            <w:r>
              <w:rPr>
                <w:spacing w:val="-11"/>
              </w:rPr>
              <w:t> </w:t>
            </w:r>
            <w:r>
              <w:rPr/>
              <w:t>FIVE:</w:t>
            </w:r>
            <w:r>
              <w:rPr>
                <w:spacing w:val="-9"/>
              </w:rPr>
              <w:t> </w:t>
            </w:r>
            <w:r>
              <w:rPr/>
              <w:t>DISCUSSION</w:t>
            </w:r>
            <w:r>
              <w:rPr>
                <w:spacing w:val="-10"/>
              </w:rPr>
              <w:t> </w:t>
            </w:r>
            <w:r>
              <w:rPr/>
              <w:t>OF</w:t>
            </w:r>
            <w:r>
              <w:rPr>
                <w:spacing w:val="-9"/>
              </w:rPr>
              <w:t> </w:t>
            </w:r>
            <w:r>
              <w:rPr>
                <w:spacing w:val="-2"/>
              </w:rPr>
              <w:t>FINDINGS</w:t>
            </w:r>
          </w:hyperlink>
        </w:p>
        <w:p>
          <w:pPr>
            <w:pStyle w:val="TOC3"/>
            <w:numPr>
              <w:ilvl w:val="1"/>
              <w:numId w:val="8"/>
            </w:numPr>
            <w:tabs>
              <w:tab w:pos="593" w:val="left" w:leader="none"/>
              <w:tab w:pos="9236" w:val="right" w:leader="none"/>
            </w:tabs>
            <w:spacing w:line="240" w:lineRule="auto" w:before="289" w:after="0"/>
            <w:ind w:left="593" w:right="0" w:hanging="373"/>
            <w:jc w:val="left"/>
          </w:pPr>
          <w:r>
            <w:rPr/>
            <mc:AlternateContent>
              <mc:Choice Requires="wps">
                <w:drawing>
                  <wp:anchor distT="0" distB="0" distL="0" distR="0" allowOverlap="1" layoutInCell="1" locked="0" behindDoc="1" simplePos="0" relativeHeight="478010368">
                    <wp:simplePos x="0" y="0"/>
                    <wp:positionH relativeFrom="page">
                      <wp:posOffset>896416</wp:posOffset>
                    </wp:positionH>
                    <wp:positionV relativeFrom="paragraph">
                      <wp:posOffset>183957</wp:posOffset>
                    </wp:positionV>
                    <wp:extent cx="5981065" cy="182626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5981065" cy="1826260"/>
                            </a:xfrm>
                            <a:custGeom>
                              <a:avLst/>
                              <a:gdLst/>
                              <a:ahLst/>
                              <a:cxnLst/>
                              <a:rect l="l" t="t" r="r" b="b"/>
                              <a:pathLst>
                                <a:path w="5981065" h="1826260">
                                  <a:moveTo>
                                    <a:pt x="5981065" y="365836"/>
                                  </a:moveTo>
                                  <a:lnTo>
                                    <a:pt x="0" y="365836"/>
                                  </a:lnTo>
                                  <a:lnTo>
                                    <a:pt x="0" y="730377"/>
                                  </a:lnTo>
                                  <a:lnTo>
                                    <a:pt x="0" y="1096137"/>
                                  </a:lnTo>
                                  <a:lnTo>
                                    <a:pt x="0" y="1460373"/>
                                  </a:lnTo>
                                  <a:lnTo>
                                    <a:pt x="0" y="1826133"/>
                                  </a:lnTo>
                                  <a:lnTo>
                                    <a:pt x="5981065" y="1826133"/>
                                  </a:lnTo>
                                  <a:lnTo>
                                    <a:pt x="5981065" y="1460373"/>
                                  </a:lnTo>
                                  <a:lnTo>
                                    <a:pt x="5981065" y="1096137"/>
                                  </a:lnTo>
                                  <a:lnTo>
                                    <a:pt x="5981065" y="730377"/>
                                  </a:lnTo>
                                  <a:lnTo>
                                    <a:pt x="5981065" y="365836"/>
                                  </a:lnTo>
                                  <a:close/>
                                </a:path>
                                <a:path w="5981065" h="1826260">
                                  <a:moveTo>
                                    <a:pt x="5981065" y="0"/>
                                  </a:moveTo>
                                  <a:lnTo>
                                    <a:pt x="0" y="0"/>
                                  </a:lnTo>
                                  <a:lnTo>
                                    <a:pt x="0" y="365760"/>
                                  </a:lnTo>
                                  <a:lnTo>
                                    <a:pt x="5981065" y="365760"/>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4.484855pt;width:470.95pt;height:143.8pt;mso-position-horizontal-relative:page;mso-position-vertical-relative:paragraph;z-index:-25306112" id="docshape18" coordorigin="1412,290" coordsize="9419,2876" path="m10831,866l1412,866,1412,1440,1412,2016,1412,2589,1412,3165,10831,3165,10831,2589,10831,2016,10831,1440,10831,866xm10831,290l1412,290,1412,866,10831,866,10831,290xe" filled="true" fillcolor="#ffffff" stroked="false">
                    <v:path arrowok="t"/>
                    <v:fill type="solid"/>
                    <w10:wrap type="none"/>
                  </v:shape>
                </w:pict>
              </mc:Fallback>
            </mc:AlternateContent>
          </w:r>
          <w:hyperlink w:history="true" w:anchor="_TOC_250008">
            <w:r>
              <w:rPr/>
              <w:t>Foreign</w:t>
            </w:r>
            <w:r>
              <w:rPr>
                <w:spacing w:val="-8"/>
              </w:rPr>
              <w:t> </w:t>
            </w:r>
            <w:r>
              <w:rPr/>
              <w:t>Direct</w:t>
            </w:r>
            <w:r>
              <w:rPr>
                <w:spacing w:val="-8"/>
              </w:rPr>
              <w:t> </w:t>
            </w:r>
            <w:r>
              <w:rPr/>
              <w:t>Investment</w:t>
            </w:r>
            <w:r>
              <w:rPr>
                <w:spacing w:val="-7"/>
              </w:rPr>
              <w:t> </w:t>
            </w:r>
            <w:r>
              <w:rPr/>
              <w:t>Inflow</w:t>
            </w:r>
            <w:r>
              <w:rPr>
                <w:spacing w:val="-8"/>
              </w:rPr>
              <w:t> </w:t>
            </w:r>
            <w:r>
              <w:rPr/>
              <w:t>and</w:t>
            </w:r>
            <w:r>
              <w:rPr>
                <w:spacing w:val="-7"/>
              </w:rPr>
              <w:t> </w:t>
            </w:r>
            <w:r>
              <w:rPr/>
              <w:t>Economic</w:t>
            </w:r>
            <w:r>
              <w:rPr>
                <w:spacing w:val="-8"/>
              </w:rPr>
              <w:t> </w:t>
            </w:r>
            <w:r>
              <w:rPr/>
              <w:t>Growth</w:t>
            </w:r>
            <w:r>
              <w:rPr>
                <w:spacing w:val="-7"/>
              </w:rPr>
              <w:t> </w:t>
            </w:r>
            <w:r>
              <w:rPr/>
              <w:t>in</w:t>
            </w:r>
            <w:r>
              <w:rPr>
                <w:spacing w:val="-8"/>
              </w:rPr>
              <w:t> </w:t>
            </w:r>
            <w:r>
              <w:rPr>
                <w:spacing w:val="-2"/>
              </w:rPr>
              <w:t>Nigeria</w:t>
            </w:r>
            <w:r>
              <w:rPr/>
              <w:tab/>
            </w:r>
            <w:r>
              <w:rPr>
                <w:spacing w:val="-5"/>
              </w:rPr>
              <w:t>154</w:t>
            </w:r>
          </w:hyperlink>
        </w:p>
        <w:p>
          <w:pPr>
            <w:pStyle w:val="TOC3"/>
            <w:numPr>
              <w:ilvl w:val="1"/>
              <w:numId w:val="8"/>
            </w:numPr>
            <w:tabs>
              <w:tab w:pos="593" w:val="left" w:leader="none"/>
              <w:tab w:pos="9236" w:val="right" w:leader="none"/>
            </w:tabs>
            <w:spacing w:line="240" w:lineRule="auto" w:before="288" w:after="0"/>
            <w:ind w:left="593" w:right="0" w:hanging="373"/>
            <w:jc w:val="left"/>
          </w:pPr>
          <w:hyperlink w:history="true" w:anchor="_TOC_250007">
            <w:r>
              <w:rPr/>
              <w:t>Foreign</w:t>
            </w:r>
            <w:r>
              <w:rPr>
                <w:spacing w:val="-8"/>
              </w:rPr>
              <w:t> </w:t>
            </w:r>
            <w:r>
              <w:rPr/>
              <w:t>Portfolio</w:t>
            </w:r>
            <w:r>
              <w:rPr>
                <w:spacing w:val="-8"/>
              </w:rPr>
              <w:t> </w:t>
            </w:r>
            <w:r>
              <w:rPr/>
              <w:t>Investment</w:t>
            </w:r>
            <w:r>
              <w:rPr>
                <w:spacing w:val="-8"/>
              </w:rPr>
              <w:t> </w:t>
            </w:r>
            <w:r>
              <w:rPr/>
              <w:t>Inflow</w:t>
            </w:r>
            <w:r>
              <w:rPr>
                <w:spacing w:val="-8"/>
              </w:rPr>
              <w:t> </w:t>
            </w:r>
            <w:r>
              <w:rPr/>
              <w:t>and</w:t>
            </w:r>
            <w:r>
              <w:rPr>
                <w:spacing w:val="-8"/>
              </w:rPr>
              <w:t> </w:t>
            </w:r>
            <w:r>
              <w:rPr/>
              <w:t>Economic</w:t>
            </w:r>
            <w:r>
              <w:rPr>
                <w:spacing w:val="-8"/>
              </w:rPr>
              <w:t> </w:t>
            </w:r>
            <w:r>
              <w:rPr/>
              <w:t>Growth</w:t>
            </w:r>
            <w:r>
              <w:rPr>
                <w:spacing w:val="-8"/>
              </w:rPr>
              <w:t> </w:t>
            </w:r>
            <w:r>
              <w:rPr/>
              <w:t>in</w:t>
            </w:r>
            <w:r>
              <w:rPr>
                <w:spacing w:val="-8"/>
              </w:rPr>
              <w:t> </w:t>
            </w:r>
            <w:r>
              <w:rPr>
                <w:spacing w:val="-2"/>
              </w:rPr>
              <w:t>Nigeria</w:t>
            </w:r>
            <w:r>
              <w:rPr/>
              <w:tab/>
            </w:r>
            <w:r>
              <w:rPr>
                <w:spacing w:val="-5"/>
              </w:rPr>
              <w:t>155</w:t>
            </w:r>
          </w:hyperlink>
        </w:p>
        <w:p>
          <w:pPr>
            <w:pStyle w:val="TOC3"/>
            <w:numPr>
              <w:ilvl w:val="1"/>
              <w:numId w:val="8"/>
            </w:numPr>
            <w:tabs>
              <w:tab w:pos="593" w:val="left" w:leader="none"/>
              <w:tab w:pos="9236" w:val="right" w:leader="none"/>
            </w:tabs>
            <w:spacing w:line="240" w:lineRule="auto" w:before="287" w:after="0"/>
            <w:ind w:left="593" w:right="0" w:hanging="373"/>
            <w:jc w:val="left"/>
          </w:pPr>
          <w:hyperlink w:history="true" w:anchor="_TOC_250006">
            <w:r>
              <w:rPr/>
              <w:t>Trade</w:t>
            </w:r>
            <w:r>
              <w:rPr>
                <w:spacing w:val="-8"/>
              </w:rPr>
              <w:t> </w:t>
            </w:r>
            <w:r>
              <w:rPr/>
              <w:t>Openness</w:t>
            </w:r>
            <w:r>
              <w:rPr>
                <w:spacing w:val="-5"/>
              </w:rPr>
              <w:t> </w:t>
            </w:r>
            <w:r>
              <w:rPr/>
              <w:t>and</w:t>
            </w:r>
            <w:r>
              <w:rPr>
                <w:spacing w:val="-5"/>
              </w:rPr>
              <w:t> </w:t>
            </w:r>
            <w:r>
              <w:rPr/>
              <w:t>Economic</w:t>
            </w:r>
            <w:r>
              <w:rPr>
                <w:spacing w:val="-8"/>
              </w:rPr>
              <w:t> </w:t>
            </w:r>
            <w:r>
              <w:rPr/>
              <w:t>Growth</w:t>
            </w:r>
            <w:r>
              <w:rPr>
                <w:spacing w:val="-7"/>
              </w:rPr>
              <w:t> </w:t>
            </w:r>
            <w:r>
              <w:rPr/>
              <w:t>in</w:t>
            </w:r>
            <w:r>
              <w:rPr>
                <w:spacing w:val="-7"/>
              </w:rPr>
              <w:t> </w:t>
            </w:r>
            <w:r>
              <w:rPr>
                <w:spacing w:val="-2"/>
              </w:rPr>
              <w:t>Nigeria</w:t>
            </w:r>
            <w:r>
              <w:rPr/>
              <w:tab/>
            </w:r>
            <w:r>
              <w:rPr>
                <w:spacing w:val="-5"/>
              </w:rPr>
              <w:t>156</w:t>
            </w:r>
          </w:hyperlink>
        </w:p>
        <w:p>
          <w:pPr>
            <w:pStyle w:val="TOC3"/>
            <w:numPr>
              <w:ilvl w:val="1"/>
              <w:numId w:val="8"/>
            </w:numPr>
            <w:tabs>
              <w:tab w:pos="593" w:val="left" w:leader="none"/>
              <w:tab w:pos="9236" w:val="right" w:leader="none"/>
            </w:tabs>
            <w:spacing w:line="240" w:lineRule="auto" w:before="289" w:after="0"/>
            <w:ind w:left="593" w:right="0" w:hanging="373"/>
            <w:jc w:val="left"/>
          </w:pPr>
          <w:r>
            <w:rPr/>
            <w:t>Foreign</w:t>
          </w:r>
          <w:r>
            <w:rPr>
              <w:spacing w:val="-8"/>
            </w:rPr>
            <w:t> </w:t>
          </w:r>
          <w:r>
            <w:rPr/>
            <w:t>Remittances</w:t>
          </w:r>
          <w:r>
            <w:rPr>
              <w:spacing w:val="-8"/>
            </w:rPr>
            <w:t> </w:t>
          </w:r>
          <w:r>
            <w:rPr/>
            <w:t>and</w:t>
          </w:r>
          <w:r>
            <w:rPr>
              <w:spacing w:val="-8"/>
            </w:rPr>
            <w:t> </w:t>
          </w:r>
          <w:r>
            <w:rPr/>
            <w:t>Economic</w:t>
          </w:r>
          <w:r>
            <w:rPr>
              <w:spacing w:val="-8"/>
            </w:rPr>
            <w:t> </w:t>
          </w:r>
          <w:r>
            <w:rPr/>
            <w:t>Growth</w:t>
          </w:r>
          <w:r>
            <w:rPr>
              <w:spacing w:val="-5"/>
            </w:rPr>
            <w:t> </w:t>
          </w:r>
          <w:r>
            <w:rPr/>
            <w:t>in</w:t>
          </w:r>
          <w:r>
            <w:rPr>
              <w:spacing w:val="-8"/>
            </w:rPr>
            <w:t> </w:t>
          </w:r>
          <w:r>
            <w:rPr>
              <w:spacing w:val="-2"/>
            </w:rPr>
            <w:t>Nigeria</w:t>
          </w:r>
          <w:r>
            <w:rPr/>
            <w:tab/>
          </w:r>
          <w:r>
            <w:rPr>
              <w:spacing w:val="-5"/>
            </w:rPr>
            <w:t>157</w:t>
          </w:r>
        </w:p>
        <w:p>
          <w:pPr>
            <w:pStyle w:val="TOC3"/>
            <w:numPr>
              <w:ilvl w:val="1"/>
              <w:numId w:val="8"/>
            </w:numPr>
            <w:tabs>
              <w:tab w:pos="593" w:val="left" w:leader="none"/>
              <w:tab w:pos="9236" w:val="right" w:leader="none"/>
            </w:tabs>
            <w:spacing w:line="240" w:lineRule="auto" w:before="286" w:after="0"/>
            <w:ind w:left="593" w:right="0" w:hanging="373"/>
            <w:jc w:val="left"/>
          </w:pPr>
          <w:r>
            <w:rPr/>
            <w:t>Official</w:t>
          </w:r>
          <w:r>
            <w:rPr>
              <w:spacing w:val="-9"/>
            </w:rPr>
            <w:t> </w:t>
          </w:r>
          <w:r>
            <w:rPr/>
            <w:t>Development</w:t>
          </w:r>
          <w:r>
            <w:rPr>
              <w:spacing w:val="-8"/>
            </w:rPr>
            <w:t> </w:t>
          </w:r>
          <w:r>
            <w:rPr/>
            <w:t>Assistance</w:t>
          </w:r>
          <w:r>
            <w:rPr>
              <w:spacing w:val="-9"/>
            </w:rPr>
            <w:t> </w:t>
          </w:r>
          <w:r>
            <w:rPr/>
            <w:t>and</w:t>
          </w:r>
          <w:r>
            <w:rPr>
              <w:spacing w:val="-9"/>
            </w:rPr>
            <w:t> </w:t>
          </w:r>
          <w:r>
            <w:rPr/>
            <w:t>Economic</w:t>
          </w:r>
          <w:r>
            <w:rPr>
              <w:spacing w:val="-8"/>
            </w:rPr>
            <w:t> </w:t>
          </w:r>
          <w:r>
            <w:rPr/>
            <w:t>Growth</w:t>
          </w:r>
          <w:r>
            <w:rPr>
              <w:spacing w:val="-8"/>
            </w:rPr>
            <w:t> </w:t>
          </w:r>
          <w:r>
            <w:rPr/>
            <w:t>in</w:t>
          </w:r>
          <w:r>
            <w:rPr>
              <w:spacing w:val="-9"/>
            </w:rPr>
            <w:t> </w:t>
          </w:r>
          <w:r>
            <w:rPr>
              <w:spacing w:val="-2"/>
            </w:rPr>
            <w:t>Nigeria</w:t>
          </w:r>
          <w:r>
            <w:rPr/>
            <w:tab/>
          </w:r>
          <w:r>
            <w:rPr>
              <w:spacing w:val="-5"/>
            </w:rPr>
            <w:t>158</w:t>
          </w:r>
        </w:p>
        <w:p>
          <w:pPr>
            <w:pStyle w:val="TOC1"/>
            <w:spacing w:line="480" w:lineRule="auto"/>
          </w:pPr>
          <w:r>
            <w:rPr/>
            <w:t>CHAPTER</w:t>
          </w:r>
          <w:r>
            <w:rPr>
              <w:spacing w:val="-7"/>
            </w:rPr>
            <w:t> </w:t>
          </w:r>
          <w:r>
            <w:rPr/>
            <w:t>SIX:</w:t>
          </w:r>
          <w:r>
            <w:rPr>
              <w:spacing w:val="-6"/>
            </w:rPr>
            <w:t> </w:t>
          </w:r>
          <w:r>
            <w:rPr/>
            <w:t>SUMMARY</w:t>
          </w:r>
          <w:r>
            <w:rPr>
              <w:spacing w:val="-7"/>
            </w:rPr>
            <w:t> </w:t>
          </w:r>
          <w:r>
            <w:rPr/>
            <w:t>OF</w:t>
          </w:r>
          <w:r>
            <w:rPr>
              <w:spacing w:val="-6"/>
            </w:rPr>
            <w:t> </w:t>
          </w:r>
          <w:r>
            <w:rPr/>
            <w:t>FINDINGS,</w:t>
          </w:r>
          <w:r>
            <w:rPr>
              <w:spacing w:val="-7"/>
            </w:rPr>
            <w:t> </w:t>
          </w:r>
          <w:r>
            <w:rPr/>
            <w:t>CONCLUSION</w:t>
          </w:r>
          <w:r>
            <w:rPr>
              <w:spacing w:val="-7"/>
            </w:rPr>
            <w:t> </w:t>
          </w:r>
          <w:r>
            <w:rPr/>
            <w:t>AND </w:t>
          </w:r>
          <w:r>
            <w:rPr>
              <w:spacing w:val="-2"/>
            </w:rPr>
            <w:t>RECOMMENDATIONS</w:t>
          </w:r>
        </w:p>
        <w:p>
          <w:pPr>
            <w:pStyle w:val="TOC3"/>
            <w:numPr>
              <w:ilvl w:val="1"/>
              <w:numId w:val="9"/>
            </w:numPr>
            <w:tabs>
              <w:tab w:pos="593" w:val="left" w:leader="none"/>
              <w:tab w:pos="9236" w:val="right" w:leader="none"/>
            </w:tabs>
            <w:spacing w:line="240" w:lineRule="auto" w:before="0" w:after="0"/>
            <w:ind w:left="593" w:right="0" w:hanging="373"/>
            <w:jc w:val="left"/>
          </w:pPr>
          <w:r>
            <w:rPr/>
            <mc:AlternateContent>
              <mc:Choice Requires="wps">
                <w:drawing>
                  <wp:anchor distT="0" distB="0" distL="0" distR="0" allowOverlap="1" layoutInCell="1" locked="0" behindDoc="1" simplePos="0" relativeHeight="478010880">
                    <wp:simplePos x="0" y="0"/>
                    <wp:positionH relativeFrom="page">
                      <wp:posOffset>896416</wp:posOffset>
                    </wp:positionH>
                    <wp:positionV relativeFrom="paragraph">
                      <wp:posOffset>773</wp:posOffset>
                    </wp:positionV>
                    <wp:extent cx="5981065" cy="36449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5981065" cy="364490"/>
                            </a:xfrm>
                            <a:custGeom>
                              <a:avLst/>
                              <a:gdLst/>
                              <a:ahLst/>
                              <a:cxnLst/>
                              <a:rect l="l" t="t" r="r" b="b"/>
                              <a:pathLst>
                                <a:path w="5981065" h="364490">
                                  <a:moveTo>
                                    <a:pt x="5981065" y="0"/>
                                  </a:moveTo>
                                  <a:lnTo>
                                    <a:pt x="0" y="0"/>
                                  </a:lnTo>
                                  <a:lnTo>
                                    <a:pt x="0" y="364236"/>
                                  </a:lnTo>
                                  <a:lnTo>
                                    <a:pt x="5981065" y="364236"/>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060869pt;width:470.95pt;height:28.68pt;mso-position-horizontal-relative:page;mso-position-vertical-relative:paragraph;z-index:-25305600" id="docshape19" filled="true" fillcolor="#ffffff" stroked="false">
                    <v:fill type="solid"/>
                    <w10:wrap type="none"/>
                  </v:rect>
                </w:pict>
              </mc:Fallback>
            </mc:AlternateContent>
          </w:r>
          <w:hyperlink w:history="true" w:anchor="_TOC_250005">
            <w:r>
              <w:rPr/>
              <w:t>Summary</w:t>
            </w:r>
            <w:r>
              <w:rPr>
                <w:spacing w:val="-7"/>
              </w:rPr>
              <w:t> </w:t>
            </w:r>
            <w:r>
              <w:rPr/>
              <w:t>of</w:t>
            </w:r>
            <w:r>
              <w:rPr>
                <w:spacing w:val="-6"/>
              </w:rPr>
              <w:t> </w:t>
            </w:r>
            <w:r>
              <w:rPr>
                <w:spacing w:val="-2"/>
              </w:rPr>
              <w:t>Findings</w:t>
            </w:r>
            <w:r>
              <w:rPr/>
              <w:tab/>
            </w:r>
            <w:r>
              <w:rPr>
                <w:spacing w:val="-5"/>
              </w:rPr>
              <w:t>159</w:t>
            </w:r>
          </w:hyperlink>
        </w:p>
        <w:p>
          <w:pPr>
            <w:pStyle w:val="TOC3"/>
            <w:numPr>
              <w:ilvl w:val="1"/>
              <w:numId w:val="9"/>
            </w:numPr>
            <w:tabs>
              <w:tab w:pos="593" w:val="left" w:leader="none"/>
              <w:tab w:pos="9236" w:val="right" w:leader="none"/>
            </w:tabs>
            <w:spacing w:line="240" w:lineRule="auto" w:before="286" w:after="0"/>
            <w:ind w:left="593" w:right="0" w:hanging="373"/>
            <w:jc w:val="left"/>
          </w:pPr>
          <w:hyperlink w:history="true" w:anchor="_TOC_250004">
            <w:r>
              <w:rPr>
                <w:spacing w:val="-2"/>
              </w:rPr>
              <w:t>Conclusion</w:t>
            </w:r>
            <w:r>
              <w:rPr/>
              <w:tab/>
            </w:r>
            <w:r>
              <w:rPr>
                <w:spacing w:val="-5"/>
              </w:rPr>
              <w:t>160</w:t>
            </w:r>
          </w:hyperlink>
        </w:p>
        <w:p>
          <w:pPr>
            <w:pStyle w:val="TOC3"/>
            <w:numPr>
              <w:ilvl w:val="1"/>
              <w:numId w:val="9"/>
            </w:numPr>
            <w:tabs>
              <w:tab w:pos="593" w:val="left" w:leader="none"/>
              <w:tab w:pos="9236" w:val="right" w:leader="none"/>
            </w:tabs>
            <w:spacing w:line="240" w:lineRule="auto" w:before="289" w:after="0"/>
            <w:ind w:left="593" w:right="0" w:hanging="373"/>
            <w:jc w:val="left"/>
          </w:pPr>
          <w:hyperlink w:history="true" w:anchor="_TOC_250003">
            <w:r>
              <w:rPr>
                <w:spacing w:val="-2"/>
              </w:rPr>
              <w:t>Recommendations</w:t>
            </w:r>
            <w:r>
              <w:rPr/>
              <w:tab/>
            </w:r>
            <w:r>
              <w:rPr>
                <w:spacing w:val="-5"/>
              </w:rPr>
              <w:t>161</w:t>
            </w:r>
          </w:hyperlink>
        </w:p>
        <w:p>
          <w:pPr>
            <w:pStyle w:val="TOC3"/>
            <w:numPr>
              <w:ilvl w:val="1"/>
              <w:numId w:val="9"/>
            </w:numPr>
            <w:tabs>
              <w:tab w:pos="593" w:val="left" w:leader="none"/>
              <w:tab w:pos="9236" w:val="right" w:leader="none"/>
            </w:tabs>
            <w:spacing w:line="240" w:lineRule="auto" w:before="286" w:after="0"/>
            <w:ind w:left="593" w:right="0" w:hanging="373"/>
            <w:jc w:val="left"/>
          </w:pPr>
          <w:hyperlink w:history="true" w:anchor="_TOC_250002">
            <w:r>
              <w:rPr/>
              <w:t>Contribution</w:t>
            </w:r>
            <w:r>
              <w:rPr>
                <w:spacing w:val="-9"/>
              </w:rPr>
              <w:t> </w:t>
            </w:r>
            <w:r>
              <w:rPr/>
              <w:t>to</w:t>
            </w:r>
            <w:r>
              <w:rPr>
                <w:spacing w:val="-9"/>
              </w:rPr>
              <w:t> </w:t>
            </w:r>
            <w:r>
              <w:rPr>
                <w:spacing w:val="-2"/>
              </w:rPr>
              <w:t>Knowledge</w:t>
            </w:r>
            <w:r>
              <w:rPr/>
              <w:tab/>
            </w:r>
            <w:r>
              <w:rPr>
                <w:spacing w:val="-5"/>
              </w:rPr>
              <w:t>162</w:t>
            </w:r>
          </w:hyperlink>
        </w:p>
        <w:p>
          <w:pPr>
            <w:pStyle w:val="TOC3"/>
            <w:numPr>
              <w:ilvl w:val="1"/>
              <w:numId w:val="9"/>
            </w:numPr>
            <w:tabs>
              <w:tab w:pos="593" w:val="left" w:leader="none"/>
              <w:tab w:pos="9236" w:val="right" w:leader="none"/>
            </w:tabs>
            <w:spacing w:line="240" w:lineRule="auto" w:before="289" w:after="0"/>
            <w:ind w:left="593" w:right="0" w:hanging="373"/>
            <w:jc w:val="left"/>
          </w:pPr>
          <w:hyperlink w:history="true" w:anchor="_TOC_250001">
            <w:r>
              <w:rPr/>
              <w:t>Suggestion</w:t>
            </w:r>
            <w:r>
              <w:rPr>
                <w:spacing w:val="-8"/>
              </w:rPr>
              <w:t> </w:t>
            </w:r>
            <w:r>
              <w:rPr/>
              <w:t>for</w:t>
            </w:r>
            <w:r>
              <w:rPr>
                <w:spacing w:val="-6"/>
              </w:rPr>
              <w:t> </w:t>
            </w:r>
            <w:r>
              <w:rPr/>
              <w:t>Further</w:t>
            </w:r>
            <w:r>
              <w:rPr>
                <w:spacing w:val="-7"/>
              </w:rPr>
              <w:t> </w:t>
            </w:r>
            <w:r>
              <w:rPr>
                <w:spacing w:val="-2"/>
              </w:rPr>
              <w:t>Studies</w:t>
            </w:r>
            <w:r>
              <w:rPr/>
              <w:tab/>
            </w:r>
            <w:r>
              <w:rPr>
                <w:spacing w:val="-5"/>
              </w:rPr>
              <w:t>163</w:t>
            </w:r>
          </w:hyperlink>
        </w:p>
        <w:p>
          <w:pPr>
            <w:pStyle w:val="TOC3"/>
            <w:tabs>
              <w:tab w:pos="9236" w:val="right" w:leader="none"/>
            </w:tabs>
            <w:spacing w:before="288"/>
            <w:ind w:left="220" w:firstLine="0"/>
          </w:pPr>
          <w:hyperlink w:history="true" w:anchor="_TOC_250000">
            <w:r>
              <w:rPr>
                <w:spacing w:val="-2"/>
              </w:rPr>
              <w:t>References</w:t>
            </w:r>
            <w:r>
              <w:rPr/>
              <w:tab/>
            </w:r>
            <w:r>
              <w:rPr>
                <w:spacing w:val="-5"/>
              </w:rPr>
              <w:t>164</w:t>
            </w:r>
          </w:hyperlink>
        </w:p>
        <w:p>
          <w:pPr>
            <w:pStyle w:val="TOC3"/>
            <w:tabs>
              <w:tab w:pos="9236" w:val="right" w:leader="none"/>
            </w:tabs>
            <w:spacing w:before="287"/>
            <w:ind w:left="220" w:firstLine="0"/>
          </w:pPr>
          <w:r>
            <w:rPr/>
            <w:t>Appendix</w:t>
          </w:r>
          <w:r>
            <w:rPr>
              <w:spacing w:val="-5"/>
            </w:rPr>
            <w:t> </w:t>
          </w:r>
          <w:r>
            <w:rPr/>
            <w:t>I:</w:t>
          </w:r>
          <w:r>
            <w:rPr>
              <w:spacing w:val="-5"/>
            </w:rPr>
            <w:t> </w:t>
          </w:r>
          <w:r>
            <w:rPr/>
            <w:t>Log</w:t>
          </w:r>
          <w:r>
            <w:rPr>
              <w:spacing w:val="-5"/>
            </w:rPr>
            <w:t> </w:t>
          </w:r>
          <w:r>
            <w:rPr/>
            <w:t>Data</w:t>
          </w:r>
          <w:r>
            <w:rPr>
              <w:spacing w:val="-4"/>
            </w:rPr>
            <w:t> </w:t>
          </w:r>
          <w:r>
            <w:rPr/>
            <w:t>for</w:t>
          </w:r>
          <w:r>
            <w:rPr>
              <w:spacing w:val="-4"/>
            </w:rPr>
            <w:t> </w:t>
          </w:r>
          <w:r>
            <w:rPr/>
            <w:t>the</w:t>
          </w:r>
          <w:r>
            <w:rPr>
              <w:spacing w:val="-5"/>
            </w:rPr>
            <w:t> </w:t>
          </w:r>
          <w:r>
            <w:rPr>
              <w:spacing w:val="-2"/>
            </w:rPr>
            <w:t>Analysis</w:t>
          </w:r>
          <w:r>
            <w:rPr/>
            <w:tab/>
          </w:r>
          <w:r>
            <w:rPr>
              <w:spacing w:val="-5"/>
            </w:rPr>
            <w:t>179</w:t>
          </w:r>
        </w:p>
        <w:p>
          <w:pPr>
            <w:pStyle w:val="TOC3"/>
            <w:tabs>
              <w:tab w:pos="9236" w:val="right" w:leader="none"/>
            </w:tabs>
            <w:spacing w:before="288"/>
            <w:ind w:left="220" w:firstLine="0"/>
          </w:pPr>
          <w:r>
            <w:rPr/>
            <w:t>Appendix</w:t>
          </w:r>
          <w:r>
            <w:rPr>
              <w:spacing w:val="-7"/>
            </w:rPr>
            <w:t> </w:t>
          </w:r>
          <w:r>
            <w:rPr/>
            <w:t>II:</w:t>
          </w:r>
          <w:r>
            <w:rPr>
              <w:spacing w:val="-6"/>
            </w:rPr>
            <w:t> </w:t>
          </w:r>
          <w:r>
            <w:rPr/>
            <w:t>E-View</w:t>
          </w:r>
          <w:r>
            <w:rPr>
              <w:spacing w:val="-7"/>
            </w:rPr>
            <w:t> </w:t>
          </w:r>
          <w:r>
            <w:rPr/>
            <w:t>Output</w:t>
          </w:r>
          <w:r>
            <w:rPr>
              <w:spacing w:val="-6"/>
            </w:rPr>
            <w:t> </w:t>
          </w:r>
          <w:r>
            <w:rPr/>
            <w:t>of</w:t>
          </w:r>
          <w:r>
            <w:rPr>
              <w:spacing w:val="-6"/>
            </w:rPr>
            <w:t> </w:t>
          </w:r>
          <w:r>
            <w:rPr/>
            <w:t>the</w:t>
          </w:r>
          <w:r>
            <w:rPr>
              <w:spacing w:val="-6"/>
            </w:rPr>
            <w:t> </w:t>
          </w:r>
          <w:r>
            <w:rPr/>
            <w:t>Statistical</w:t>
          </w:r>
          <w:r>
            <w:rPr>
              <w:spacing w:val="-6"/>
            </w:rPr>
            <w:t> </w:t>
          </w:r>
          <w:r>
            <w:rPr>
              <w:spacing w:val="-2"/>
            </w:rPr>
            <w:t>Analysis</w:t>
          </w:r>
          <w:r>
            <w:rPr/>
            <w:tab/>
          </w:r>
          <w:r>
            <w:rPr>
              <w:spacing w:val="-5"/>
            </w:rPr>
            <w:t>180</w:t>
          </w:r>
        </w:p>
      </w:sdtContent>
    </w:sdt>
    <w:p>
      <w:pPr>
        <w:spacing w:after="0"/>
        <w:sectPr>
          <w:type w:val="continuous"/>
          <w:pgSz w:w="12240" w:h="15840"/>
          <w:pgMar w:header="0" w:footer="1012" w:top="1379" w:bottom="1443" w:left="1220" w:right="700"/>
        </w:sectPr>
      </w:pPr>
    </w:p>
    <w:p>
      <w:pPr>
        <w:pStyle w:val="Heading1"/>
        <w:ind w:right="692"/>
      </w:pPr>
      <w:bookmarkStart w:name="_TOC_250070" w:id="5"/>
      <w:r>
        <w:rPr/>
        <w:t>LIST</w:t>
      </w:r>
      <w:r>
        <w:rPr>
          <w:spacing w:val="-6"/>
        </w:rPr>
        <w:t> </w:t>
      </w:r>
      <w:r>
        <w:rPr/>
        <w:t>OF</w:t>
      </w:r>
      <w:r>
        <w:rPr>
          <w:spacing w:val="-5"/>
        </w:rPr>
        <w:t> </w:t>
      </w:r>
      <w:bookmarkEnd w:id="5"/>
      <w:r>
        <w:rPr>
          <w:spacing w:val="-2"/>
        </w:rPr>
        <w:t>TABLES</w:t>
      </w:r>
    </w:p>
    <w:p>
      <w:pPr>
        <w:pStyle w:val="BodyText"/>
        <w:ind w:left="0"/>
        <w:rPr>
          <w:b/>
        </w:rPr>
      </w:pPr>
    </w:p>
    <w:p>
      <w:pPr>
        <w:pStyle w:val="BodyText"/>
        <w:tabs>
          <w:tab w:pos="8861" w:val="left" w:leader="none"/>
        </w:tabs>
        <w:spacing w:before="1"/>
      </w:pPr>
      <w:r>
        <w:rPr/>
        <w:t>Table</w:t>
      </w:r>
      <w:r>
        <w:rPr>
          <w:spacing w:val="-8"/>
        </w:rPr>
        <w:t> </w:t>
      </w:r>
      <w:r>
        <w:rPr/>
        <w:t>1</w:t>
      </w:r>
      <w:r>
        <w:rPr>
          <w:spacing w:val="-7"/>
        </w:rPr>
        <w:t> </w:t>
      </w:r>
      <w:r>
        <w:rPr/>
        <w:t>Descriptive</w:t>
      </w:r>
      <w:r>
        <w:rPr>
          <w:spacing w:val="-8"/>
        </w:rPr>
        <w:t> </w:t>
      </w:r>
      <w:r>
        <w:rPr>
          <w:spacing w:val="-2"/>
        </w:rPr>
        <w:t>Statistics</w:t>
      </w:r>
      <w:r>
        <w:rPr/>
        <w:tab/>
      </w:r>
      <w:r>
        <w:rPr>
          <w:spacing w:val="-5"/>
        </w:rPr>
        <w:t>140</w:t>
      </w:r>
    </w:p>
    <w:p>
      <w:pPr>
        <w:pStyle w:val="BodyText"/>
        <w:tabs>
          <w:tab w:pos="8861" w:val="left" w:leader="none"/>
        </w:tabs>
        <w:spacing w:before="286"/>
      </w:pPr>
      <w:r>
        <w:rPr/>
        <w:t>Table</w:t>
      </w:r>
      <w:r>
        <w:rPr>
          <w:spacing w:val="-6"/>
        </w:rPr>
        <w:t> </w:t>
      </w:r>
      <w:r>
        <w:rPr/>
        <w:t>2:</w:t>
      </w:r>
      <w:r>
        <w:rPr>
          <w:spacing w:val="-5"/>
        </w:rPr>
        <w:t> </w:t>
      </w:r>
      <w:r>
        <w:rPr/>
        <w:t>Result</w:t>
      </w:r>
      <w:r>
        <w:rPr>
          <w:spacing w:val="-5"/>
        </w:rPr>
        <w:t> </w:t>
      </w:r>
      <w:r>
        <w:rPr/>
        <w:t>of</w:t>
      </w:r>
      <w:r>
        <w:rPr>
          <w:spacing w:val="-4"/>
        </w:rPr>
        <w:t> </w:t>
      </w:r>
      <w:r>
        <w:rPr/>
        <w:t>the</w:t>
      </w:r>
      <w:r>
        <w:rPr>
          <w:spacing w:val="-6"/>
        </w:rPr>
        <w:t> </w:t>
      </w:r>
      <w:r>
        <w:rPr/>
        <w:t>Unit</w:t>
      </w:r>
      <w:r>
        <w:rPr>
          <w:spacing w:val="-5"/>
        </w:rPr>
        <w:t> </w:t>
      </w:r>
      <w:r>
        <w:rPr/>
        <w:t>Root</w:t>
      </w:r>
      <w:r>
        <w:rPr>
          <w:spacing w:val="-5"/>
        </w:rPr>
        <w:t> </w:t>
      </w:r>
      <w:r>
        <w:rPr>
          <w:spacing w:val="-4"/>
        </w:rPr>
        <w:t>Test</w:t>
      </w:r>
      <w:r>
        <w:rPr/>
        <w:tab/>
      </w:r>
      <w:r>
        <w:rPr>
          <w:spacing w:val="-5"/>
        </w:rPr>
        <w:t>143</w:t>
      </w:r>
    </w:p>
    <w:p>
      <w:pPr>
        <w:pStyle w:val="BodyText"/>
        <w:spacing w:before="1"/>
        <w:ind w:left="0"/>
      </w:pPr>
    </w:p>
    <w:p>
      <w:pPr>
        <w:pStyle w:val="BodyText"/>
        <w:tabs>
          <w:tab w:pos="8861" w:val="left" w:leader="none"/>
        </w:tabs>
      </w:pPr>
      <w:r>
        <w:rPr/>
        <mc:AlternateContent>
          <mc:Choice Requires="wps">
            <w:drawing>
              <wp:anchor distT="0" distB="0" distL="0" distR="0" allowOverlap="1" layoutInCell="1" locked="0" behindDoc="1" simplePos="0" relativeHeight="478011392">
                <wp:simplePos x="0" y="0"/>
                <wp:positionH relativeFrom="page">
                  <wp:posOffset>950112</wp:posOffset>
                </wp:positionH>
                <wp:positionV relativeFrom="paragraph">
                  <wp:posOffset>187338</wp:posOffset>
                </wp:positionV>
                <wp:extent cx="5505450" cy="5661025"/>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4.751074pt;width:433.5pt;height:445.75pt;mso-position-horizontal-relative:page;mso-position-vertical-relative:paragraph;z-index:-25305088" id="docshape21" coordorigin="1496,295" coordsize="8670,8915" path="m2562,9015l1691,8144,1496,8339,2367,9210,2562,9015xm3154,8339l3153,8299,3148,8256,3139,8213,3125,8169,3106,8125,3083,8082,3055,8040,3025,7998,2991,7958,2954,7919,2435,7400,2241,7594,2772,8126,2805,8162,2829,8197,2846,8232,2856,8266,2858,8299,2851,8329,2837,8358,2816,8384,2790,8406,2761,8420,2730,8426,2697,8423,2663,8414,2628,8397,2593,8373,2557,8341,2026,7809,1831,8003,2351,8523,2385,8555,2424,8587,2468,8620,2516,8652,2548,8671,2583,8687,2620,8700,2658,8711,2697,8719,2733,8722,2767,8723,2800,8719,2831,8712,2863,8701,2895,8684,2926,8664,2957,8641,2985,8618,3011,8595,3035,8572,3071,8532,3102,8491,3125,8449,3142,8407,3150,8375,3154,8339xm3882,7555l3876,7491,3860,7426,3834,7359,3806,7305,3771,7249,3728,7191,3678,7132,3661,7113,3621,7072,3597,7049,3597,7543,3592,7584,3577,7620,3551,7653,3518,7679,3481,7694,3441,7698,3396,7692,3347,7674,3294,7642,3235,7597,3171,7538,3112,7474,3066,7415,3035,7361,3016,7312,3010,7267,3014,7227,3029,7191,3053,7159,3086,7134,3122,7118,3163,7113,3207,7118,3255,7136,3307,7166,3363,7208,3423,7263,3488,7333,3538,7395,3572,7451,3591,7500,3597,7543,3597,7049,3551,7007,3482,6952,3413,6906,3344,6871,3276,6845,3209,6829,3130,6824,3055,6834,2983,6859,2914,6900,2850,6955,2796,7019,2756,7086,2732,7158,2723,7234,2729,7313,2746,7382,2772,7451,2808,7520,2854,7590,2910,7661,2976,7732,3036,7789,3096,7838,3156,7880,3215,7915,3273,7942,3344,7967,3411,7980,3475,7984,3535,7978,3593,7961,3649,7934,3705,7896,3758,7848,3805,7795,3841,7738,3858,7698,3866,7680,3879,7618,3882,7555xm4153,6976l3966,6789,3712,7043,3899,7230,4153,6976xm4664,6913l3793,6042,3598,6237,4469,7108,4664,6913xm4998,6579l4675,6256,4781,6149,4832,6089,4837,6079,4866,6028,4883,5964,4882,5900,4866,5834,4843,5783,4836,5768,4792,5702,4733,5636,4670,5579,4607,5536,4598,5532,4598,5925,4597,5951,4587,5977,4570,6004,4546,6032,4498,6079,4304,5885,4359,5829,4386,5806,4412,5791,4438,5783,4462,5784,4486,5790,4509,5801,4531,5815,4552,5833,4570,5855,4584,5877,4593,5901,4598,5925,4598,5532,4544,5507,4483,5491,4423,5490,4365,5504,4309,5535,4255,5580,3931,5903,4803,6774,4998,6579xm5788,5789l5132,5133,5330,4935,5115,4720,4524,5311,4739,5526,4937,5328,5593,5984,5788,5789xm6423,5154l5767,4498,5966,4299,5751,4084,5159,4676,5374,4891,5573,4692,6229,5348,6423,5154xm7157,4281l7151,4216,7135,4151,7109,4084,7081,4030,7046,3974,7003,3916,6953,3857,6935,3838,6896,3797,6872,3775,6872,4268,6867,4309,6851,4345,6825,4379,6793,4404,6756,4419,6716,4423,6671,4417,6622,4399,6569,4367,6510,4322,6446,4263,6387,4199,6341,4140,6309,4086,6291,4037,6285,3992,6289,3952,6304,3916,6328,3885,6361,3859,6397,3844,6438,3838,6482,3844,6530,3861,6582,3891,6638,3933,6698,3988,6763,4058,6813,4120,6847,4176,6866,4225,6872,4268,6872,3775,6826,3732,6756,3677,6687,3632,6619,3596,6551,3571,6483,3555,6405,3549,6329,3559,6258,3584,6189,3625,6125,3680,6071,3744,6031,3812,6007,3883,5998,3959,6004,4039,6021,4107,6047,4176,6083,4245,6129,4315,6184,4386,6250,4457,6311,4514,6371,4563,6431,4606,6490,4640,6548,4668,6619,4692,6686,4706,6750,4709,6810,4703,6868,4687,6924,4659,6979,4622,7033,4574,7080,4520,7116,4464,7133,4423,7141,4405,7154,4344,7157,4281xm8170,3285l8165,3236,8153,3186,8134,3133,8109,3079,8079,3023,8041,2966,7980,2990,7799,3065,7831,3111,7855,3154,7873,3195,7884,3232,7887,3267,7881,3300,7866,3331,7843,3360,7812,3384,7778,3398,7740,3402,7700,3396,7653,3377,7600,3343,7538,3294,7469,3229,7417,3173,7375,3121,7344,3074,7324,3031,7311,2979,7312,2933,7325,2892,7352,2856,7367,2843,7384,2832,7402,2824,7422,2820,7442,2818,7464,2818,7486,2821,7509,2827,7524,2833,7542,2841,7563,2852,7586,2867,7705,2642,7622,2596,7543,2564,7469,2545,7400,2538,7333,2546,7269,2569,7206,2607,7146,2659,7092,2722,7054,2788,7030,2858,7021,2932,7027,3010,7044,3077,7070,3145,7106,3214,7153,3284,7209,3354,7276,3426,7341,3487,7404,3539,7467,3582,7529,3618,7590,3645,7662,3669,7730,3682,7791,3685,7847,3678,7900,3661,7952,3634,8004,3597,8056,3551,8094,3508,8125,3465,8147,3422,8161,3377,8169,3332,8170,3285xm8868,2570l8861,2506,8846,2440,8820,2373,8792,2319,8757,2263,8714,2205,8664,2146,8646,2128,8607,2086,8583,2064,8583,2558,8578,2598,8562,2635,8536,2668,8504,2693,8467,2708,8427,2713,8382,2706,8333,2688,8279,2657,8221,2611,8157,2552,8098,2488,8052,2429,8020,2375,8002,2326,7996,2282,8000,2241,8014,2205,8039,2174,8071,2148,8108,2133,8149,2128,8193,2133,8241,2150,8293,2180,8349,2222,8409,2277,8474,2347,8524,2410,8558,2465,8577,2514,8583,2558,8583,2064,8537,2021,8467,1966,8398,1921,8330,1885,8262,1860,8194,1844,8116,1838,8040,1848,7968,1874,7900,1914,7835,1970,7781,2033,7742,2101,7718,2172,7709,2248,7715,2328,7731,2396,7758,2465,7794,2535,7839,2605,7895,2675,7961,2746,8022,2803,8082,2853,8142,2895,8201,2929,8259,2957,8329,2981,8397,2995,8461,2998,8521,2992,8579,2976,8635,2949,8690,2911,8744,2863,8791,2809,8827,2753,8844,2713,8852,2694,8865,2633,8868,2570xm9348,2229l9025,1905,9132,1799,9182,1739,9188,1729,9216,1677,9233,1614,9233,1549,9217,1484,9194,1433,9187,1418,9142,1352,9084,1286,9020,1229,8957,1186,8948,1182,8948,1575,8947,1600,8938,1627,8921,1654,8896,1681,8849,1729,8654,1535,8710,1479,8737,1456,8763,1440,8788,1433,8812,1433,8836,1440,8859,1450,8881,1465,8902,1483,8920,1505,8934,1527,8943,1551,8948,1575,8948,1182,8895,1156,8833,1140,8773,1139,8715,1154,8659,1184,8605,1229,8282,1553,9153,2424,9348,2229xm10166,1411l9801,1046,9748,896,9593,445,9540,295,9325,510,9353,580,9436,791,9492,932,9422,903,9211,820,9071,764,8854,980,9005,1033,9456,1189,9606,1241,9971,1606,10166,1411xe" filled="true" fillcolor="#c0c0c0" stroked="false">
                <v:path arrowok="t"/>
                <v:fill opacity="32896f" type="solid"/>
                <w10:wrap type="none"/>
              </v:shape>
            </w:pict>
          </mc:Fallback>
        </mc:AlternateContent>
      </w:r>
      <w:r>
        <w:rPr/>
        <w:t>Table</w:t>
      </w:r>
      <w:r>
        <w:rPr>
          <w:spacing w:val="-8"/>
        </w:rPr>
        <w:t> </w:t>
      </w:r>
      <w:r>
        <w:rPr/>
        <w:t>3:</w:t>
      </w:r>
      <w:r>
        <w:rPr>
          <w:spacing w:val="-7"/>
        </w:rPr>
        <w:t> </w:t>
      </w:r>
      <w:r>
        <w:rPr/>
        <w:t>Result</w:t>
      </w:r>
      <w:r>
        <w:rPr>
          <w:spacing w:val="-7"/>
        </w:rPr>
        <w:t> </w:t>
      </w:r>
      <w:r>
        <w:rPr/>
        <w:t>of</w:t>
      </w:r>
      <w:r>
        <w:rPr>
          <w:spacing w:val="-6"/>
        </w:rPr>
        <w:t> </w:t>
      </w:r>
      <w:r>
        <w:rPr/>
        <w:t>Cointegration</w:t>
      </w:r>
      <w:r>
        <w:rPr>
          <w:spacing w:val="-4"/>
        </w:rPr>
        <w:t> Test</w:t>
      </w:r>
      <w:r>
        <w:rPr/>
        <w:tab/>
      </w:r>
      <w:r>
        <w:rPr>
          <w:spacing w:val="-5"/>
        </w:rPr>
        <w:t>144</w:t>
      </w:r>
    </w:p>
    <w:p>
      <w:pPr>
        <w:pStyle w:val="BodyText"/>
        <w:tabs>
          <w:tab w:pos="8861" w:val="left" w:leader="none"/>
        </w:tabs>
        <w:spacing w:before="286"/>
      </w:pPr>
      <w:r>
        <w:rPr/>
        <w:t>Table</w:t>
      </w:r>
      <w:r>
        <w:rPr>
          <w:spacing w:val="-8"/>
        </w:rPr>
        <w:t> </w:t>
      </w:r>
      <w:r>
        <w:rPr/>
        <w:t>4:</w:t>
      </w:r>
      <w:r>
        <w:rPr>
          <w:spacing w:val="-7"/>
        </w:rPr>
        <w:t> </w:t>
      </w:r>
      <w:r>
        <w:rPr/>
        <w:t>The</w:t>
      </w:r>
      <w:r>
        <w:rPr>
          <w:spacing w:val="-7"/>
        </w:rPr>
        <w:t> </w:t>
      </w:r>
      <w:r>
        <w:rPr/>
        <w:t>Error</w:t>
      </w:r>
      <w:r>
        <w:rPr>
          <w:spacing w:val="-6"/>
        </w:rPr>
        <w:t> </w:t>
      </w:r>
      <w:r>
        <w:rPr/>
        <w:t>Correction</w:t>
      </w:r>
      <w:r>
        <w:rPr>
          <w:spacing w:val="-7"/>
        </w:rPr>
        <w:t> </w:t>
      </w:r>
      <w:r>
        <w:rPr>
          <w:spacing w:val="-2"/>
        </w:rPr>
        <w:t>Model</w:t>
      </w:r>
      <w:r>
        <w:rPr/>
        <w:tab/>
      </w:r>
      <w:r>
        <w:rPr>
          <w:spacing w:val="-5"/>
        </w:rPr>
        <w:t>145</w:t>
      </w:r>
    </w:p>
    <w:p>
      <w:pPr>
        <w:pStyle w:val="BodyText"/>
        <w:spacing w:before="1"/>
        <w:ind w:left="0"/>
      </w:pPr>
    </w:p>
    <w:p>
      <w:pPr>
        <w:pStyle w:val="BodyText"/>
        <w:tabs>
          <w:tab w:pos="8861" w:val="left" w:leader="none"/>
        </w:tabs>
      </w:pPr>
      <w:r>
        <w:rPr/>
        <w:t>Table</w:t>
      </w:r>
      <w:r>
        <w:rPr>
          <w:spacing w:val="-6"/>
        </w:rPr>
        <w:t> </w:t>
      </w:r>
      <w:r>
        <w:rPr/>
        <w:t>5:</w:t>
      </w:r>
      <w:r>
        <w:rPr>
          <w:spacing w:val="-6"/>
        </w:rPr>
        <w:t> </w:t>
      </w:r>
      <w:r>
        <w:rPr/>
        <w:t>Serial</w:t>
      </w:r>
      <w:r>
        <w:rPr>
          <w:spacing w:val="-6"/>
        </w:rPr>
        <w:t> </w:t>
      </w:r>
      <w:r>
        <w:rPr/>
        <w:t>Correlation</w:t>
      </w:r>
      <w:r>
        <w:rPr>
          <w:spacing w:val="-6"/>
        </w:rPr>
        <w:t> </w:t>
      </w:r>
      <w:r>
        <w:rPr/>
        <w:t>Test</w:t>
      </w:r>
      <w:r>
        <w:rPr>
          <w:spacing w:val="-3"/>
        </w:rPr>
        <w:t> </w:t>
      </w:r>
      <w:r>
        <w:rPr/>
        <w:t>for</w:t>
      </w:r>
      <w:r>
        <w:rPr>
          <w:spacing w:val="-5"/>
        </w:rPr>
        <w:t> </w:t>
      </w:r>
      <w:r>
        <w:rPr/>
        <w:t>the</w:t>
      </w:r>
      <w:r>
        <w:rPr>
          <w:spacing w:val="-6"/>
        </w:rPr>
        <w:t> </w:t>
      </w:r>
      <w:r>
        <w:rPr>
          <w:spacing w:val="-2"/>
        </w:rPr>
        <w:t>Model</w:t>
      </w:r>
      <w:r>
        <w:rPr/>
        <w:tab/>
      </w:r>
      <w:r>
        <w:rPr>
          <w:spacing w:val="-5"/>
        </w:rPr>
        <w:t>149</w:t>
      </w:r>
    </w:p>
    <w:p>
      <w:pPr>
        <w:pStyle w:val="BodyText"/>
        <w:tabs>
          <w:tab w:pos="8861" w:val="left" w:leader="none"/>
        </w:tabs>
        <w:spacing w:before="287"/>
      </w:pPr>
      <w:r>
        <w:rPr/>
        <w:t>Table</w:t>
      </w:r>
      <w:r>
        <w:rPr>
          <w:spacing w:val="-8"/>
        </w:rPr>
        <w:t> </w:t>
      </w:r>
      <w:r>
        <w:rPr/>
        <w:t>6:</w:t>
      </w:r>
      <w:r>
        <w:rPr>
          <w:spacing w:val="-7"/>
        </w:rPr>
        <w:t> </w:t>
      </w:r>
      <w:r>
        <w:rPr/>
        <w:t>Heteroskedasticity</w:t>
      </w:r>
      <w:r>
        <w:rPr>
          <w:spacing w:val="-5"/>
        </w:rPr>
        <w:t> </w:t>
      </w:r>
      <w:r>
        <w:rPr/>
        <w:t>Test</w:t>
      </w:r>
      <w:r>
        <w:rPr>
          <w:spacing w:val="-6"/>
        </w:rPr>
        <w:t> </w:t>
      </w:r>
      <w:r>
        <w:rPr/>
        <w:t>for</w:t>
      </w:r>
      <w:r>
        <w:rPr>
          <w:spacing w:val="-6"/>
        </w:rPr>
        <w:t> </w:t>
      </w:r>
      <w:r>
        <w:rPr/>
        <w:t>the</w:t>
      </w:r>
      <w:r>
        <w:rPr>
          <w:spacing w:val="-7"/>
        </w:rPr>
        <w:t> </w:t>
      </w:r>
      <w:r>
        <w:rPr>
          <w:spacing w:val="-2"/>
        </w:rPr>
        <w:t>Model</w:t>
      </w:r>
      <w:r>
        <w:rPr/>
        <w:tab/>
      </w:r>
      <w:r>
        <w:rPr>
          <w:spacing w:val="-5"/>
        </w:rPr>
        <w:t>150</w:t>
      </w:r>
    </w:p>
    <w:p>
      <w:pPr>
        <w:spacing w:after="0"/>
        <w:sectPr>
          <w:footerReference w:type="default" r:id="rId6"/>
          <w:pgSz w:w="12240" w:h="15840"/>
          <w:pgMar w:header="0" w:footer="1012" w:top="1380" w:bottom="1200" w:left="1220" w:right="700"/>
        </w:sectPr>
      </w:pPr>
    </w:p>
    <w:p>
      <w:pPr>
        <w:pStyle w:val="Heading1"/>
        <w:ind w:right="689"/>
      </w:pPr>
      <w:bookmarkStart w:name="_TOC_250069" w:id="6"/>
      <w:bookmarkEnd w:id="6"/>
      <w:r>
        <w:rPr>
          <w:spacing w:val="-2"/>
        </w:rPr>
        <w:t>ABSTRACT</w:t>
      </w:r>
    </w:p>
    <w:p>
      <w:pPr>
        <w:pStyle w:val="BodyText"/>
        <w:spacing w:before="161"/>
        <w:ind w:left="0"/>
        <w:rPr>
          <w:b/>
        </w:rPr>
      </w:pPr>
    </w:p>
    <w:p>
      <w:pPr>
        <w:pStyle w:val="BodyText"/>
        <w:spacing w:line="276" w:lineRule="auto"/>
        <w:ind w:right="736"/>
        <w:jc w:val="both"/>
      </w:pPr>
      <w:r>
        <w:rPr/>
        <mc:AlternateContent>
          <mc:Choice Requires="wps">
            <w:drawing>
              <wp:anchor distT="0" distB="0" distL="0" distR="0" allowOverlap="1" layoutInCell="1" locked="0" behindDoc="1" simplePos="0" relativeHeight="478011904">
                <wp:simplePos x="0" y="0"/>
                <wp:positionH relativeFrom="page">
                  <wp:posOffset>950112</wp:posOffset>
                </wp:positionH>
                <wp:positionV relativeFrom="paragraph">
                  <wp:posOffset>815624</wp:posOffset>
                </wp:positionV>
                <wp:extent cx="5505450" cy="566102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64.222412pt;width:433.5pt;height:445.75pt;mso-position-horizontal-relative:page;mso-position-vertical-relative:paragraph;z-index:-25304576" id="docshape22" coordorigin="1496,1284" coordsize="8670,8915" path="m2562,10004l1691,9133,1496,9328,2367,10199,2562,10004xm3154,9328l3153,9289,3148,9246,3139,9202,3125,9158,3106,9114,3083,9071,3055,9029,3025,8988,2991,8948,2954,8909,2435,8389,2241,8583,2772,9115,2805,9151,2829,9187,2846,9221,2856,9255,2858,9288,2851,9319,2837,9347,2816,9373,2790,9395,2761,9409,2730,9415,2697,9413,2663,9403,2628,9387,2593,9362,2557,9330,2026,8799,1831,8993,2351,9512,2385,9544,2424,9577,2468,9609,2516,9642,2548,9660,2583,9676,2620,9689,2658,9700,2697,9708,2733,9712,2767,9712,2800,9709,2831,9702,2863,9690,2895,9674,2926,9653,2957,9630,2985,9607,3011,9584,3035,9561,3071,9521,3102,9480,3125,9439,3142,9397,3150,9364,3154,9328xm3882,8545l3876,8481,3860,8415,3834,8348,3806,8294,3771,8238,3728,8180,3678,8121,3661,8103,3621,8061,3597,8039,3597,8533,3592,8573,3577,8610,3551,8643,3518,8668,3481,8683,3441,8688,3396,8681,3347,8663,3294,8632,3235,8587,3171,8527,3112,8464,3066,8404,3035,8350,3016,8301,3010,8257,3014,8216,3029,8180,3053,8149,3086,8123,3122,8108,3163,8103,3207,8108,3255,8125,3307,8155,3363,8197,3423,8252,3488,8322,3538,8385,3572,8441,3591,8489,3597,8533,3597,8039,3551,7996,3482,7941,3413,7896,3344,7860,3276,7835,3209,7819,3130,7813,3055,7823,2983,7849,2914,7889,2850,7945,2796,8008,2756,8076,2732,8148,2723,8223,2729,8303,2746,8371,2772,8440,2808,8510,2854,8580,2910,8650,2976,8721,3036,8778,3096,8828,3156,8870,3215,8904,3273,8932,3344,8956,3411,8970,3475,8973,3535,8967,3593,8951,3649,8924,3705,8886,3758,8838,3805,8784,3841,8728,3858,8688,3866,8669,3879,8608,3882,8545xm4153,7965l3966,7778,3712,8032,3899,8219,4153,7965xm4664,7903l3793,7031,3598,7226,4469,8098,4664,7903xm4998,7568l4675,7245,4781,7138,4832,7079,4837,7069,4866,7017,4883,6954,4882,6889,4866,6823,4843,6773,4836,6758,4792,6692,4733,6626,4670,6569,4607,6525,4598,6521,4598,6914,4597,6940,4587,6966,4570,6993,4546,7021,4498,7069,4304,6874,4359,6819,4386,6795,4412,6780,4438,6773,4462,6773,4486,6780,4509,6790,4531,6804,4552,6823,4570,6844,4584,6867,4593,6890,4598,6914,4598,6521,4544,6496,4483,6480,4423,6479,4365,6494,4309,6524,4255,6569,3931,6893,4803,7764,4998,7568xm5788,6779l5132,6123,5330,5924,5115,5709,4524,6301,4739,6516,4937,6317,5593,6973,5788,6779xm6423,6143l5767,5487,5966,5289,5751,5074,5159,5665,5374,5880,5573,5682,6229,6338,6423,6143xm7157,5270l7151,5206,7135,5140,7109,5073,7081,5019,7046,4963,7003,4906,6953,4847,6935,4828,6896,4786,6872,4764,6872,5258,6867,5298,6851,5335,6825,5368,6793,5393,6756,5408,6716,5413,6671,5406,6622,5388,6569,5357,6510,5312,6446,5253,6387,5189,6341,5129,6309,5075,6291,5026,6285,4982,6289,4942,6304,4906,6328,4874,6361,4849,6397,4833,6438,4828,6482,4833,6530,4850,6582,4880,6638,4922,6698,4977,6763,5047,6813,5110,6847,5166,6866,5214,6872,5258,6872,4764,6826,4721,6756,4666,6687,4621,6619,4586,6551,4560,6483,4544,6405,4538,6329,4548,6258,4574,6189,4614,6125,4670,6071,4733,6031,4801,6007,4873,5998,4948,6004,5028,6021,5096,6047,5165,6083,5235,6129,5305,6184,5375,6250,5446,6311,5503,6371,5553,6431,5595,6490,5630,6548,5657,6619,5681,6686,5695,6750,5698,6810,5692,6868,5676,6924,5649,6979,5611,7033,5563,7080,5509,7116,5453,7133,5413,7141,5394,7154,5333,7157,5270xm8170,4275l8165,4226,8153,4175,8134,4122,8109,4068,8079,4012,8041,3955,7980,3980,7799,4054,7831,4101,7855,4144,7873,4184,7884,4221,7887,4257,7881,4290,7866,4321,7843,4350,7812,4373,7778,4388,7740,4392,7700,4385,7653,4367,7600,4333,7538,4283,7469,4219,7417,4162,7375,4110,7344,4063,7324,4020,7311,3969,7312,3922,7325,3881,7352,3845,7367,3832,7384,3822,7402,3814,7422,3809,7442,3807,7464,3807,7486,3811,7509,3817,7524,3822,7542,3831,7563,3842,7586,3856,7705,3631,7622,3585,7543,3553,7469,3534,7400,3528,7333,3535,7269,3558,7206,3596,7146,3648,7092,3711,7054,3778,7030,3848,7021,3922,7027,3999,7044,4066,7070,4134,7106,4203,7153,4273,7209,4344,7276,4415,7341,4476,7404,4528,7467,4572,7529,4607,7590,4635,7662,4658,7730,4671,7791,4674,7847,4667,7900,4650,7952,4624,8004,4587,8056,4540,8094,4498,8125,4455,8147,4411,8161,4367,8169,4322,8170,4275xm8868,3559l8861,3495,8846,3429,8820,3363,8792,3308,8757,3252,8714,3195,8664,3136,8646,3117,8607,3075,8583,3053,8583,3547,8578,3587,8562,3624,8536,3657,8504,3682,8467,3698,8427,3702,8382,3696,8333,3678,8279,3646,8221,3601,8157,3542,8098,3478,8052,3419,8020,3365,8002,3315,7996,3271,8000,3231,8014,3195,8039,3163,8071,3138,8108,3122,8149,3117,8193,3122,8241,3139,8293,3169,8349,3211,8409,3266,8474,3336,8524,3399,8558,3455,8577,3504,8583,3547,8583,3053,8537,3010,8467,2955,8398,2910,8330,2875,8262,2849,8194,2833,8116,2828,8040,2838,7968,2863,7900,2904,7835,2959,7781,3023,7742,3090,7718,3162,7709,3238,7715,3317,7731,3386,7758,3455,7794,3524,7839,3594,7895,3664,7961,3735,8022,3792,8082,3842,8142,3884,8201,3919,8259,3946,8329,3970,8397,3984,8461,3988,8521,3981,8579,3965,8635,3938,8690,3900,8744,3852,8791,3798,8827,3742,8844,3702,8852,3683,8865,3622,8868,3559xm9348,3218l9025,2895,9132,2788,9182,2728,9188,2718,9216,2667,9233,2603,9233,2539,9217,2473,9194,2422,9187,2407,9142,2341,9084,2275,9020,2218,8957,2175,8948,2171,8948,2564,8947,2590,8938,2616,8921,2643,8896,2671,8849,2718,8654,2524,8710,2469,8737,2445,8763,2430,8788,2422,8812,2423,8836,2429,8859,2440,8881,2454,8902,2473,8920,2494,8934,2517,8943,2540,8948,2564,8948,2171,8895,2146,8833,2130,8773,2129,8715,2144,8659,2174,8605,2219,8282,2542,9153,3414,9348,3218xm10166,2400l9801,2036,9748,1886,9593,1434,9540,1284,9325,1500,9353,1570,9436,1781,9492,1921,9422,1893,9211,1810,9071,1754,8854,1970,9005,2023,9456,2178,9606,2231,9971,2595,10166,2400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012416">
                <wp:simplePos x="0" y="0"/>
                <wp:positionH relativeFrom="page">
                  <wp:posOffset>896416</wp:posOffset>
                </wp:positionH>
                <wp:positionV relativeFrom="paragraph">
                  <wp:posOffset>628693</wp:posOffset>
                </wp:positionV>
                <wp:extent cx="5981065" cy="3754754"/>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5981065" cy="3754754"/>
                        </a:xfrm>
                        <a:custGeom>
                          <a:avLst/>
                          <a:gdLst/>
                          <a:ahLst/>
                          <a:cxnLst/>
                          <a:rect l="l" t="t" r="r" b="b"/>
                          <a:pathLst>
                            <a:path w="5981065" h="3754754">
                              <a:moveTo>
                                <a:pt x="5981065" y="1050112"/>
                              </a:moveTo>
                              <a:lnTo>
                                <a:pt x="0" y="1050112"/>
                              </a:lnTo>
                              <a:lnTo>
                                <a:pt x="0" y="1260716"/>
                              </a:lnTo>
                              <a:lnTo>
                                <a:pt x="0" y="1471028"/>
                              </a:lnTo>
                              <a:lnTo>
                                <a:pt x="0" y="3754234"/>
                              </a:lnTo>
                              <a:lnTo>
                                <a:pt x="5981065" y="3754234"/>
                              </a:lnTo>
                              <a:lnTo>
                                <a:pt x="5981065" y="1260716"/>
                              </a:lnTo>
                              <a:lnTo>
                                <a:pt x="5981065" y="1050112"/>
                              </a:lnTo>
                              <a:close/>
                            </a:path>
                            <a:path w="5981065" h="3754754">
                              <a:moveTo>
                                <a:pt x="5981065" y="839724"/>
                              </a:moveTo>
                              <a:lnTo>
                                <a:pt x="0" y="839724"/>
                              </a:lnTo>
                              <a:lnTo>
                                <a:pt x="0" y="1050023"/>
                              </a:lnTo>
                              <a:lnTo>
                                <a:pt x="5981065" y="1050023"/>
                              </a:lnTo>
                              <a:lnTo>
                                <a:pt x="5981065" y="839724"/>
                              </a:lnTo>
                              <a:close/>
                            </a:path>
                            <a:path w="5981065" h="3754754">
                              <a:moveTo>
                                <a:pt x="5981065" y="420624"/>
                              </a:moveTo>
                              <a:lnTo>
                                <a:pt x="0" y="420624"/>
                              </a:lnTo>
                              <a:lnTo>
                                <a:pt x="0" y="630923"/>
                              </a:lnTo>
                              <a:lnTo>
                                <a:pt x="0" y="839711"/>
                              </a:lnTo>
                              <a:lnTo>
                                <a:pt x="5981065" y="839711"/>
                              </a:lnTo>
                              <a:lnTo>
                                <a:pt x="5981065" y="630923"/>
                              </a:lnTo>
                              <a:lnTo>
                                <a:pt x="5981065" y="420624"/>
                              </a:lnTo>
                              <a:close/>
                            </a:path>
                            <a:path w="5981065" h="3754754">
                              <a:moveTo>
                                <a:pt x="5981065" y="0"/>
                              </a:moveTo>
                              <a:lnTo>
                                <a:pt x="0" y="0"/>
                              </a:lnTo>
                              <a:lnTo>
                                <a:pt x="0" y="210299"/>
                              </a:lnTo>
                              <a:lnTo>
                                <a:pt x="0" y="420611"/>
                              </a:lnTo>
                              <a:lnTo>
                                <a:pt x="5981065" y="420611"/>
                              </a:lnTo>
                              <a:lnTo>
                                <a:pt x="5981065" y="210299"/>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49.50341pt;width:470.95pt;height:295.650pt;mso-position-horizontal-relative:page;mso-position-vertical-relative:paragraph;z-index:-25304064" id="docshape23" coordorigin="1412,990" coordsize="9419,5913" path="m10831,2644l1412,2644,1412,2975,1412,3307,1412,3623,1412,3940,1412,4257,1412,4588,1412,4919,1412,5251,1412,5579,1412,5911,1412,5911,1412,6242,1412,6573,1412,6902,10831,6902,10831,6573,10831,6242,10831,5911,10831,5911,10831,5579,10831,5251,10831,4919,10831,4588,10831,4257,10831,3940,10831,3623,10831,3307,10831,2975,10831,2644xm10831,2312l1412,2312,1412,2644,10831,2644,10831,2312xm10831,1652l1412,1652,1412,1984,1412,2312,10831,2312,10831,1984,10831,1652xm10831,990l1412,990,1412,1321,1412,1652,10831,1652,10831,1321,10831,990xe" filled="true" fillcolor="#ffffff" stroked="false">
                <v:path arrowok="t"/>
                <v:fill type="solid"/>
                <w10:wrap type="none"/>
              </v:shape>
            </w:pict>
          </mc:Fallback>
        </mc:AlternateContent>
      </w:r>
      <w:r>
        <w:rPr/>
        <w:t>This study investigated the effect of financial integration on economic growth in Nigeria from 1986 to 2020. In this study, financial integration variables such as foreign direct investment inflow, foreign portfolio investment inflow, trade openness, financial deepening, foreign remittances and official development assistance were employed as the independent variables, while</w:t>
      </w:r>
      <w:r>
        <w:rPr>
          <w:spacing w:val="-1"/>
        </w:rPr>
        <w:t> </w:t>
      </w:r>
      <w:r>
        <w:rPr/>
        <w:t>real gross domestic product</w:t>
      </w:r>
      <w:r>
        <w:rPr>
          <w:spacing w:val="-1"/>
        </w:rPr>
        <w:t> </w:t>
      </w:r>
      <w:r>
        <w:rPr/>
        <w:t>was used</w:t>
      </w:r>
      <w:r>
        <w:rPr>
          <w:spacing w:val="-1"/>
        </w:rPr>
        <w:t> </w:t>
      </w:r>
      <w:r>
        <w:rPr/>
        <w:t>as the</w:t>
      </w:r>
      <w:r>
        <w:rPr>
          <w:spacing w:val="-1"/>
        </w:rPr>
        <w:t> </w:t>
      </w:r>
      <w:r>
        <w:rPr/>
        <w:t>dependent variable. Six research questions and six hypotheses were formulated. Relevant conceptual, theoretical and</w:t>
      </w:r>
      <w:r>
        <w:rPr>
          <w:spacing w:val="40"/>
        </w:rPr>
        <w:t> </w:t>
      </w:r>
      <w:r>
        <w:rPr/>
        <w:t>empirical literatures were reviewed. The study was anchored on theory of financial liberalization and endogenous growth theory. These theories were adopted because they are germane in explaining the relationship between financial intermediation and economic growth. The study adopted </w:t>
      </w:r>
      <w:r>
        <w:rPr>
          <w:sz w:val="24"/>
        </w:rPr>
        <w:t>longitudinal research </w:t>
      </w:r>
      <w:r>
        <w:rPr/>
        <w:t>design. </w:t>
      </w:r>
      <w:r>
        <w:rPr>
          <w:sz w:val="24"/>
        </w:rPr>
        <w:t>Data were sourced on these variables from the Central Bank of Nigeria Statistical Bulletin, 2020 and World Development Indicators. Descriptive statistics, Augmented Dickey Fuller unit root test, Johansen Cointegration Test and Error Correction Mechanism (ECM) were employed in analyzing the data. The analysis was</w:t>
      </w:r>
      <w:r>
        <w:rPr>
          <w:spacing w:val="40"/>
          <w:sz w:val="24"/>
        </w:rPr>
        <w:t> </w:t>
      </w:r>
      <w:r>
        <w:rPr>
          <w:sz w:val="24"/>
        </w:rPr>
        <w:t>done with the aid of e-view </w:t>
      </w:r>
      <w:r>
        <w:rPr/>
        <w:t>version 9.0. The study found that foreign direct investment, foreign portfolio investment inflow, trade openness, financial deepening and official development assistance have significant effect on economic growth while foreign</w:t>
      </w:r>
      <w:r>
        <w:rPr>
          <w:spacing w:val="40"/>
        </w:rPr>
        <w:t> </w:t>
      </w:r>
      <w:r>
        <w:rPr/>
        <w:t>remittances have no significant effect on economic growth in Nigeria.</w:t>
      </w:r>
      <w:r>
        <w:rPr>
          <w:spacing w:val="40"/>
        </w:rPr>
        <w:t> </w:t>
      </w:r>
      <w:r>
        <w:rPr/>
        <w:t>The study concludes that financial integration has significant positive impact on economic growth in Nigeria. The study recommended amongst others that government needs to put in place appropriate macroeconomic</w:t>
      </w:r>
      <w:r>
        <w:rPr>
          <w:spacing w:val="-2"/>
        </w:rPr>
        <w:t> </w:t>
      </w:r>
      <w:r>
        <w:rPr/>
        <w:t>policies</w:t>
      </w:r>
      <w:r>
        <w:rPr>
          <w:spacing w:val="-1"/>
        </w:rPr>
        <w:t> </w:t>
      </w:r>
      <w:r>
        <w:rPr/>
        <w:t>and</w:t>
      </w:r>
      <w:r>
        <w:rPr>
          <w:spacing w:val="-2"/>
        </w:rPr>
        <w:t> </w:t>
      </w:r>
      <w:r>
        <w:rPr/>
        <w:t>institutions that</w:t>
      </w:r>
      <w:r>
        <w:rPr>
          <w:spacing w:val="-1"/>
        </w:rPr>
        <w:t> </w:t>
      </w:r>
      <w:r>
        <w:rPr/>
        <w:t>will</w:t>
      </w:r>
      <w:r>
        <w:rPr>
          <w:spacing w:val="-1"/>
        </w:rPr>
        <w:t> </w:t>
      </w:r>
      <w:r>
        <w:rPr/>
        <w:t>drive</w:t>
      </w:r>
      <w:r>
        <w:rPr>
          <w:spacing w:val="-2"/>
        </w:rPr>
        <w:t> </w:t>
      </w:r>
      <w:r>
        <w:rPr/>
        <w:t>the</w:t>
      </w:r>
      <w:r>
        <w:rPr>
          <w:spacing w:val="-2"/>
        </w:rPr>
        <w:t> </w:t>
      </w:r>
      <w:r>
        <w:rPr/>
        <w:t>benefits of</w:t>
      </w:r>
      <w:r>
        <w:rPr>
          <w:spacing w:val="-1"/>
        </w:rPr>
        <w:t> </w:t>
      </w:r>
      <w:r>
        <w:rPr/>
        <w:t>financial</w:t>
      </w:r>
      <w:r>
        <w:rPr>
          <w:spacing w:val="-1"/>
        </w:rPr>
        <w:t> </w:t>
      </w:r>
      <w:r>
        <w:rPr/>
        <w:t>integration</w:t>
      </w:r>
      <w:r>
        <w:rPr>
          <w:spacing w:val="-1"/>
        </w:rPr>
        <w:t> </w:t>
      </w:r>
      <w:r>
        <w:rPr/>
        <w:t>in order to sustain economic growth and development.</w:t>
      </w:r>
    </w:p>
    <w:p>
      <w:pPr>
        <w:spacing w:after="0" w:line="276" w:lineRule="auto"/>
        <w:jc w:val="both"/>
        <w:sectPr>
          <w:pgSz w:w="12240" w:h="15840"/>
          <w:pgMar w:header="0" w:footer="1012" w:top="1380" w:bottom="1200" w:left="1220" w:right="700"/>
        </w:sectPr>
      </w:pPr>
    </w:p>
    <w:p>
      <w:pPr>
        <w:pStyle w:val="Heading1"/>
        <w:spacing w:line="614" w:lineRule="auto"/>
        <w:ind w:left="3900" w:right="4419" w:hanging="2"/>
      </w:pPr>
      <w:bookmarkStart w:name="_TOC_250068" w:id="7"/>
      <w:r>
        <w:rPr/>
        <w:t>CHAPTER ONE </w:t>
      </w:r>
      <w:bookmarkEnd w:id="7"/>
      <w:r>
        <w:rPr>
          <w:spacing w:val="-2"/>
        </w:rPr>
        <w:t>INTRODUCTION</w:t>
      </w:r>
    </w:p>
    <w:p>
      <w:pPr>
        <w:pStyle w:val="Heading2"/>
        <w:numPr>
          <w:ilvl w:val="1"/>
          <w:numId w:val="10"/>
        </w:numPr>
        <w:tabs>
          <w:tab w:pos="593" w:val="left" w:leader="none"/>
        </w:tabs>
        <w:spacing w:line="287" w:lineRule="exact" w:before="0" w:after="0"/>
        <w:ind w:left="593" w:right="0" w:hanging="373"/>
        <w:jc w:val="left"/>
      </w:pPr>
      <w:r>
        <w:rPr/>
        <mc:AlternateContent>
          <mc:Choice Requires="wps">
            <w:drawing>
              <wp:anchor distT="0" distB="0" distL="0" distR="0" allowOverlap="1" layoutInCell="1" locked="0" behindDoc="1" simplePos="0" relativeHeight="478013440">
                <wp:simplePos x="0" y="0"/>
                <wp:positionH relativeFrom="page">
                  <wp:posOffset>896416</wp:posOffset>
                </wp:positionH>
                <wp:positionV relativeFrom="paragraph">
                  <wp:posOffset>-174</wp:posOffset>
                </wp:positionV>
                <wp:extent cx="5981065" cy="36449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5981065" cy="364490"/>
                        </a:xfrm>
                        <a:custGeom>
                          <a:avLst/>
                          <a:gdLst/>
                          <a:ahLst/>
                          <a:cxnLst/>
                          <a:rect l="l" t="t" r="r" b="b"/>
                          <a:pathLst>
                            <a:path w="5981065" h="364490">
                              <a:moveTo>
                                <a:pt x="5981065" y="0"/>
                              </a:moveTo>
                              <a:lnTo>
                                <a:pt x="0" y="0"/>
                              </a:lnTo>
                              <a:lnTo>
                                <a:pt x="0" y="364235"/>
                              </a:lnTo>
                              <a:lnTo>
                                <a:pt x="5981065" y="364235"/>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01375pt;width:470.95pt;height:28.68pt;mso-position-horizontal-relative:page;mso-position-vertical-relative:paragraph;z-index:-25303040" id="docshape24" filled="true" fillcolor="#ffffff" stroked="false">
                <v:fill type="solid"/>
                <w10:wrap type="none"/>
              </v:rect>
            </w:pict>
          </mc:Fallback>
        </mc:AlternateContent>
      </w:r>
      <w:bookmarkStart w:name="_TOC_250067" w:id="8"/>
      <w:r>
        <w:rPr/>
        <w:t>Background</w:t>
      </w:r>
      <w:r>
        <w:rPr>
          <w:spacing w:val="-7"/>
        </w:rPr>
        <w:t> </w:t>
      </w:r>
      <w:r>
        <w:rPr/>
        <w:t>to</w:t>
      </w:r>
      <w:r>
        <w:rPr>
          <w:spacing w:val="-7"/>
        </w:rPr>
        <w:t> </w:t>
      </w:r>
      <w:r>
        <w:rPr/>
        <w:t>the</w:t>
      </w:r>
      <w:r>
        <w:rPr>
          <w:spacing w:val="-5"/>
        </w:rPr>
        <w:t> </w:t>
      </w:r>
      <w:bookmarkEnd w:id="8"/>
      <w:r>
        <w:rPr>
          <w:spacing w:val="-2"/>
        </w:rPr>
        <w:t>Study</w:t>
      </w:r>
    </w:p>
    <w:p>
      <w:pPr>
        <w:pStyle w:val="BodyText"/>
        <w:spacing w:before="159"/>
        <w:ind w:left="0"/>
        <w:rPr>
          <w:b/>
        </w:rPr>
      </w:pPr>
    </w:p>
    <w:p>
      <w:pPr>
        <w:pStyle w:val="BodyText"/>
        <w:spacing w:line="480" w:lineRule="auto"/>
        <w:ind w:right="734"/>
        <w:jc w:val="both"/>
      </w:pPr>
      <w:r>
        <w:rPr/>
        <mc:AlternateContent>
          <mc:Choice Requires="wps">
            <w:drawing>
              <wp:anchor distT="0" distB="0" distL="0" distR="0" allowOverlap="1" layoutInCell="1" locked="0" behindDoc="1" simplePos="0" relativeHeight="478012928">
                <wp:simplePos x="0" y="0"/>
                <wp:positionH relativeFrom="page">
                  <wp:posOffset>950112</wp:posOffset>
                </wp:positionH>
                <wp:positionV relativeFrom="paragraph">
                  <wp:posOffset>-117190</wp:posOffset>
                </wp:positionV>
                <wp:extent cx="5505450" cy="566102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9.227637pt;width:433.5pt;height:445.75pt;mso-position-horizontal-relative:page;mso-position-vertical-relative:paragraph;z-index:-25303552" id="docshape25" coordorigin="1496,-185" coordsize="8670,8915" path="m2562,8535l1691,7664,1496,7859,2367,8730,2562,8535xm3154,7859l3153,7820,3148,7777,3139,7733,3125,7689,3106,7645,3083,7602,3055,7560,3025,7519,2991,7479,2954,7440,2435,6920,2241,7114,2772,7646,2805,7682,2829,7718,2846,7752,2856,7786,2858,7819,2851,7850,2837,7878,2816,7904,2790,7926,2761,7940,2730,7946,2697,7944,2663,7934,2628,7918,2593,7893,2557,7861,2026,7330,1831,7524,2351,8043,2385,8075,2424,8108,2468,8140,2516,8173,2548,8191,2583,8207,2620,8220,2658,8231,2697,8239,2733,8243,2767,8243,2800,8240,2831,8233,2863,8221,2895,8205,2926,8184,2957,8161,2985,8138,3011,8115,3035,8092,3071,8052,3102,8011,3125,7970,3142,7928,3150,7895,3154,7859xm3882,7076l3876,7012,3860,6946,3834,6879,3806,6825,3771,6769,3728,6711,3678,6652,3661,6634,3621,6592,3597,6570,3597,7064,3592,7104,3577,7141,3551,7174,3518,7199,3481,7214,3441,7219,3396,7212,3347,7194,3294,7163,3235,7118,3171,7058,3112,6995,3066,6935,3035,6881,3016,6832,3010,6788,3014,6747,3029,6711,3053,6680,3086,6654,3122,6639,3163,6634,3207,6639,3255,6656,3307,6686,3363,6728,3423,6783,3488,6853,3538,6916,3572,6972,3591,7020,3597,7064,3597,6570,3551,6527,3482,6472,3413,6427,3344,6391,3276,6366,3209,6350,3130,6344,3055,6354,2983,6380,2914,6420,2850,6476,2796,6539,2756,6607,2732,6679,2723,6754,2729,6834,2746,6902,2772,6971,2808,7041,2854,7111,2910,7181,2976,7252,3036,7309,3096,7359,3156,7401,3215,7435,3273,7463,3344,7487,3411,7501,3475,7504,3535,7498,3593,7482,3649,7455,3705,7417,3758,7369,3805,7315,3841,7259,3858,7219,3866,7200,3879,7139,3882,7076xm4153,6496l3966,6309,3712,6563,3899,6750,4153,6496xm4664,6434l3793,5562,3598,5757,4469,6629,4664,6434xm4998,6099l4675,5776,4781,5669,4832,5610,4837,5600,4866,5548,4883,5485,4882,5420,4866,5354,4843,5304,4836,5289,4792,5223,4733,5157,4670,5100,4607,5056,4598,5052,4598,5445,4597,5471,4587,5497,4570,5524,4546,5552,4498,5600,4304,5405,4359,5350,4386,5326,4412,5311,4438,5304,4462,5304,4486,5311,4509,5321,4531,5335,4552,5354,4570,5375,4584,5398,4593,5421,4598,5445,4598,5052,4544,5027,4483,5011,4423,5010,4365,5025,4309,5055,4255,5100,3931,5424,4803,6295,4998,6099xm5788,5310l5132,4654,5330,4455,5115,4240,4524,4832,4739,5047,4937,4848,5593,5504,5788,5310xm6423,4674l5767,4018,5966,3820,5751,3605,5159,4196,5374,4411,5573,4213,6229,4869,6423,4674xm7157,3801l7151,3737,7135,3671,7109,3604,7081,3550,7046,3494,7003,3437,6953,3378,6935,3359,6896,3317,6872,3295,6872,3789,6867,3829,6851,3866,6825,3899,6793,3924,6756,3939,6716,3944,6671,3937,6622,3919,6569,3888,6510,3843,6446,3784,6387,3720,6341,3660,6309,3606,6291,3557,6285,3513,6289,3473,6304,3437,6328,3405,6361,3380,6397,3364,6438,3359,6482,3364,6530,3381,6582,3411,6638,3453,6698,3508,6763,3578,6813,3641,6847,3697,6866,3745,6872,3789,6872,3295,6826,3252,6756,3197,6687,3152,6619,3117,6551,3091,6483,3075,6405,3069,6329,3079,6258,3105,6189,3145,6125,3201,6071,3264,6031,3332,6007,3404,5998,3479,6004,3559,6021,3627,6047,3696,6083,3766,6129,3836,6184,3906,6250,3977,6311,4034,6371,4084,6431,4126,6490,4161,6548,4188,6619,4212,6686,4226,6750,4229,6810,4223,6868,4207,6924,4180,6979,4142,7033,4094,7080,4040,7116,3984,7133,3944,7141,3925,7154,3864,7157,3801xm8170,2806l8165,2757,8153,2706,8134,2653,8109,2599,8079,2543,8041,2486,7980,2511,7799,2585,7831,2632,7855,2675,7873,2715,7884,2752,7887,2788,7881,2821,7866,2852,7843,2881,7812,2904,7778,2919,7740,2923,7700,2916,7653,2898,7600,2864,7538,2814,7469,2750,7417,2693,7375,2641,7344,2594,7324,2551,7311,2500,7312,2453,7325,2412,7352,2376,7367,2363,7384,2353,7402,2345,7422,2340,7442,2338,7464,2338,7486,2342,7509,2348,7524,2353,7542,2362,7563,2373,7586,2387,7705,2162,7622,2116,7543,2084,7469,2065,7400,2059,7333,2066,7269,2089,7206,2127,7146,2179,7092,2242,7054,2309,7030,2379,7021,2453,7027,2530,7044,2597,7070,2665,7106,2734,7153,2804,7209,2875,7276,2946,7341,3007,7404,3059,7467,3103,7529,3138,7590,3166,7662,3189,7730,3202,7791,3205,7847,3198,7900,3181,7952,3155,8004,3118,8056,3071,8094,3029,8125,2986,8147,2942,8161,2898,8169,2853,8170,2806xm8868,2090l8861,2026,8846,1960,8820,1894,8792,1839,8757,1783,8714,1726,8664,1667,8646,1648,8607,1606,8583,1584,8583,2078,8578,2118,8562,2155,8536,2188,8504,2213,8467,2229,8427,2233,8382,2227,8333,2209,8279,2177,8221,2132,8157,2073,8098,2009,8052,1950,8020,1896,8002,1846,7996,1802,8000,1762,8014,1726,8039,1694,8071,1669,8108,1653,8149,1648,8193,1653,8241,1670,8293,1700,8349,1742,8409,1797,8474,1867,8524,1930,8558,1986,8577,2035,8583,2078,8583,1584,8537,1541,8467,1486,8398,1441,8330,1406,8262,1380,8194,1364,8116,1359,8040,1369,7968,1394,7900,1435,7835,1490,7781,1554,7742,1621,7718,1693,7709,1769,7715,1848,7731,1917,7758,1986,7794,2055,7839,2125,7895,2195,7961,2266,8022,2323,8082,2373,8142,2415,8201,2450,8259,2477,8329,2501,8397,2515,8461,2519,8521,2512,8579,2496,8635,2469,8690,2431,8744,2383,8791,2329,8827,2273,8844,2233,8852,2214,8865,2153,8868,2090xm9348,1749l9025,1426,9132,1319,9182,1259,9188,1249,9216,1198,9233,1134,9233,1070,9217,1004,9194,953,9187,938,9142,872,9084,806,9020,749,8957,706,8948,702,8948,1095,8947,1121,8938,1147,8921,1174,8896,1202,8849,1249,8654,1055,8710,1000,8737,976,8763,961,8788,953,8812,954,8836,960,8859,971,8881,985,8902,1004,8920,1025,8934,1048,8943,1071,8948,1095,8948,702,8895,677,8833,661,8773,660,8715,675,8659,705,8605,750,8282,1073,9153,1945,9348,1749xm10166,931l9801,567,9748,417,9593,-35,9540,-185,9325,31,9353,101,9436,312,9492,452,9422,424,9211,341,9071,285,8854,501,9005,554,9456,709,9606,762,9971,1126,10166,931xe" filled="true" fillcolor="#c0c0c0" stroked="false">
                <v:path arrowok="t"/>
                <v:fill opacity="32896f" type="solid"/>
                <w10:wrap type="none"/>
              </v:shape>
            </w:pict>
          </mc:Fallback>
        </mc:AlternateContent>
      </w:r>
      <w:r>
        <w:rPr/>
        <w:t>Globalization, advancement in information and communication technology coupled with growing financial deregulation and liberalization in international capital markets has made financial markets throughout the world steadily become more open to foreign investors. This development has also made a number of countries, including Nigeria, initiate reforms to foster financial market development and attract foreign portfolio flows. Financial integration is the process through which the financial markets of two or more countries or regions become more connected to each other. Conceptually, Kizito and Hooi (2019) noted that financial integration entails the eradication of restrictions on cross-border financial</w:t>
      </w:r>
      <w:r>
        <w:rPr>
          <w:spacing w:val="40"/>
        </w:rPr>
        <w:t> </w:t>
      </w:r>
      <w:r>
        <w:rPr/>
        <w:t>operations so that financial institutions can freely operate, firms can directly borrow or raise funds, and equity and bond investors can directly invest across countries without restrictions. It includes the sharing of information, best practices and technologies among financial institutions, cross-border capital flows, direct access of firms to funds and investors to investment in international capital markets, and trading of domestically innovated financial products in the international capital markets, as well as the involvement of foreign investors in the domestic financial markets.</w:t>
      </w:r>
    </w:p>
    <w:p>
      <w:pPr>
        <w:pStyle w:val="BodyText"/>
        <w:spacing w:line="480" w:lineRule="auto" w:before="161"/>
        <w:ind w:right="737"/>
        <w:jc w:val="both"/>
      </w:pPr>
      <w:r>
        <w:rPr/>
        <w:t>Financial integration can take different forms, which may include cross-border capital flows, participation of foreign interests in the domestic markets, information sharing and practices among</w:t>
      </w:r>
      <w:r>
        <w:rPr>
          <w:spacing w:val="29"/>
        </w:rPr>
        <w:t> </w:t>
      </w:r>
      <w:r>
        <w:rPr/>
        <w:t>financial</w:t>
      </w:r>
      <w:r>
        <w:rPr>
          <w:spacing w:val="31"/>
        </w:rPr>
        <w:t> </w:t>
      </w:r>
      <w:r>
        <w:rPr/>
        <w:t>institutions,</w:t>
      </w:r>
      <w:r>
        <w:rPr>
          <w:spacing w:val="29"/>
        </w:rPr>
        <w:t> </w:t>
      </w:r>
      <w:r>
        <w:rPr/>
        <w:t>or</w:t>
      </w:r>
      <w:r>
        <w:rPr>
          <w:spacing w:val="30"/>
        </w:rPr>
        <w:t> </w:t>
      </w:r>
      <w:r>
        <w:rPr/>
        <w:t>unification</w:t>
      </w:r>
      <w:r>
        <w:rPr>
          <w:spacing w:val="29"/>
        </w:rPr>
        <w:t> </w:t>
      </w:r>
      <w:r>
        <w:rPr/>
        <w:t>of</w:t>
      </w:r>
      <w:r>
        <w:rPr>
          <w:spacing w:val="34"/>
        </w:rPr>
        <w:t> </w:t>
      </w:r>
      <w:r>
        <w:rPr/>
        <w:t>market</w:t>
      </w:r>
      <w:r>
        <w:rPr>
          <w:spacing w:val="30"/>
        </w:rPr>
        <w:t> </w:t>
      </w:r>
      <w:r>
        <w:rPr/>
        <w:t>infrastructures.</w:t>
      </w:r>
      <w:r>
        <w:rPr>
          <w:spacing w:val="29"/>
        </w:rPr>
        <w:t> </w:t>
      </w:r>
      <w:r>
        <w:rPr/>
        <w:t>Financial</w:t>
      </w:r>
      <w:r>
        <w:rPr>
          <w:spacing w:val="29"/>
        </w:rPr>
        <w:t> </w:t>
      </w:r>
      <w:r>
        <w:rPr>
          <w:spacing w:val="-2"/>
        </w:rPr>
        <w:t>integration</w:t>
      </w:r>
    </w:p>
    <w:p>
      <w:pPr>
        <w:spacing w:after="0" w:line="480" w:lineRule="auto"/>
        <w:jc w:val="both"/>
        <w:sectPr>
          <w:pgSz w:w="12240" w:h="15840"/>
          <w:pgMar w:header="0" w:footer="1012" w:top="1380" w:bottom="1200" w:left="1220" w:right="700"/>
        </w:sectPr>
      </w:pPr>
    </w:p>
    <w:p>
      <w:pPr>
        <w:pStyle w:val="BodyText"/>
        <w:spacing w:line="480" w:lineRule="auto" w:before="60"/>
        <w:ind w:right="737"/>
        <w:jc w:val="both"/>
      </w:pPr>
      <w:r>
        <w:rPr/>
        <mc:AlternateContent>
          <mc:Choice Requires="wps">
            <w:drawing>
              <wp:anchor distT="0" distB="0" distL="0" distR="0" allowOverlap="1" layoutInCell="1" locked="0" behindDoc="1" simplePos="0" relativeHeight="478013952">
                <wp:simplePos x="0" y="0"/>
                <wp:positionH relativeFrom="page">
                  <wp:posOffset>950112</wp:posOffset>
                </wp:positionH>
                <wp:positionV relativeFrom="paragraph">
                  <wp:posOffset>1321053</wp:posOffset>
                </wp:positionV>
                <wp:extent cx="5505450" cy="566102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302528" id="docshape26"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can have a regional or global dimension, depending on whether a country’s financial market is more closely connected to neighbouring economies or to global financial centres (IMF, 2016). Financial integration has major channels through which participating countries can benefit from it.</w:t>
      </w:r>
      <w:r>
        <w:rPr>
          <w:spacing w:val="-1"/>
        </w:rPr>
        <w:t> </w:t>
      </w:r>
      <w:r>
        <w:rPr/>
        <w:t>The first</w:t>
      </w:r>
      <w:r>
        <w:rPr>
          <w:spacing w:val="-1"/>
        </w:rPr>
        <w:t> </w:t>
      </w:r>
      <w:r>
        <w:rPr/>
        <w:t>channel is the consumption channel which eases capital scarcity and enhances risk sharing. Improvement in terms of trade and portfolio diversification cost of capital may potentially lower the cost of capital thus boosting the rate of economic activities hence</w:t>
      </w:r>
      <w:r>
        <w:rPr>
          <w:spacing w:val="-2"/>
        </w:rPr>
        <w:t> </w:t>
      </w:r>
      <w:r>
        <w:rPr/>
        <w:t>increasing</w:t>
      </w:r>
      <w:r>
        <w:rPr>
          <w:spacing w:val="-2"/>
        </w:rPr>
        <w:t> </w:t>
      </w:r>
      <w:r>
        <w:rPr/>
        <w:t>the</w:t>
      </w:r>
      <w:r>
        <w:rPr>
          <w:spacing w:val="-2"/>
        </w:rPr>
        <w:t> </w:t>
      </w:r>
      <w:r>
        <w:rPr/>
        <w:t>rate</w:t>
      </w:r>
      <w:r>
        <w:rPr>
          <w:spacing w:val="-2"/>
        </w:rPr>
        <w:t> </w:t>
      </w:r>
      <w:r>
        <w:rPr/>
        <w:t>of</w:t>
      </w:r>
      <w:r>
        <w:rPr>
          <w:spacing w:val="-2"/>
        </w:rPr>
        <w:t> </w:t>
      </w:r>
      <w:r>
        <w:rPr/>
        <w:t>economic</w:t>
      </w:r>
      <w:r>
        <w:rPr>
          <w:spacing w:val="-2"/>
        </w:rPr>
        <w:t> </w:t>
      </w:r>
      <w:r>
        <w:rPr/>
        <w:t>growth.</w:t>
      </w:r>
      <w:r>
        <w:rPr>
          <w:spacing w:val="-2"/>
        </w:rPr>
        <w:t> </w:t>
      </w:r>
      <w:r>
        <w:rPr/>
        <w:t>Financial</w:t>
      </w:r>
      <w:r>
        <w:rPr>
          <w:spacing w:val="-2"/>
        </w:rPr>
        <w:t> </w:t>
      </w:r>
      <w:r>
        <w:rPr/>
        <w:t>integration</w:t>
      </w:r>
      <w:r>
        <w:rPr>
          <w:spacing w:val="-2"/>
        </w:rPr>
        <w:t> </w:t>
      </w:r>
      <w:r>
        <w:rPr/>
        <w:t>may</w:t>
      </w:r>
      <w:r>
        <w:rPr>
          <w:spacing w:val="-2"/>
        </w:rPr>
        <w:t> </w:t>
      </w:r>
      <w:r>
        <w:rPr/>
        <w:t>also</w:t>
      </w:r>
      <w:r>
        <w:rPr>
          <w:spacing w:val="-2"/>
        </w:rPr>
        <w:t> </w:t>
      </w:r>
      <w:r>
        <w:rPr/>
        <w:t>help</w:t>
      </w:r>
      <w:r>
        <w:rPr>
          <w:spacing w:val="-2"/>
        </w:rPr>
        <w:t> </w:t>
      </w:r>
      <w:r>
        <w:rPr/>
        <w:t>to</w:t>
      </w:r>
      <w:r>
        <w:rPr>
          <w:spacing w:val="-4"/>
        </w:rPr>
        <w:t> </w:t>
      </w:r>
      <w:r>
        <w:rPr/>
        <w:t>advance the economies of countries through the production channel. This entails economic growth stimulation through production efficiency - as countries have greater access to world capital market amplifies specialization in production and productivity growth through enhanced stock market liquidity (Mahajan &amp; Verma, 2015).</w:t>
      </w:r>
    </w:p>
    <w:p>
      <w:pPr>
        <w:pStyle w:val="BodyText"/>
        <w:spacing w:line="480" w:lineRule="auto" w:before="160"/>
        <w:ind w:right="740"/>
        <w:jc w:val="both"/>
      </w:pPr>
      <w:r>
        <w:rPr/>
        <w:t>Abdulaziz (2020) noted that the degree of integration of financial markets around the world increased significantly during the late 1980s and 1990s. A key factor underlying this process has been the increased globalization of investments seeking higher rates of return and the opportunity to diversify risk internationally. At the same time, many countries have encouraged inflows of capital by dismantling restrictions, deregulating domestic financial markets, and improving their economic environment and prospects through the introduction of market-oriented reforms. In particular, many developing and transition economies have removed restrictions on international financial transactions, at the same time that they were relaxing regulations on the operation of domestic financial markets and moving away from regimes of financial repression. Policies aimed at increasing the openness of domestic financial</w:t>
      </w:r>
      <w:r>
        <w:rPr>
          <w:spacing w:val="54"/>
        </w:rPr>
        <w:t> </w:t>
      </w:r>
      <w:r>
        <w:rPr/>
        <w:t>markets</w:t>
      </w:r>
      <w:r>
        <w:rPr>
          <w:spacing w:val="56"/>
        </w:rPr>
        <w:t> </w:t>
      </w:r>
      <w:r>
        <w:rPr/>
        <w:t>to</w:t>
      </w:r>
      <w:r>
        <w:rPr>
          <w:spacing w:val="55"/>
        </w:rPr>
        <w:t> </w:t>
      </w:r>
      <w:r>
        <w:rPr/>
        <w:t>foreign</w:t>
      </w:r>
      <w:r>
        <w:rPr>
          <w:spacing w:val="54"/>
        </w:rPr>
        <w:t> </w:t>
      </w:r>
      <w:r>
        <w:rPr/>
        <w:t>investors</w:t>
      </w:r>
      <w:r>
        <w:rPr>
          <w:spacing w:val="56"/>
        </w:rPr>
        <w:t> </w:t>
      </w:r>
      <w:r>
        <w:rPr/>
        <w:t>have</w:t>
      </w:r>
      <w:r>
        <w:rPr>
          <w:spacing w:val="53"/>
        </w:rPr>
        <w:t> </w:t>
      </w:r>
      <w:r>
        <w:rPr/>
        <w:t>included</w:t>
      </w:r>
      <w:r>
        <w:rPr>
          <w:spacing w:val="54"/>
        </w:rPr>
        <w:t> </w:t>
      </w:r>
      <w:r>
        <w:rPr/>
        <w:t>the</w:t>
      </w:r>
      <w:r>
        <w:rPr>
          <w:spacing w:val="54"/>
        </w:rPr>
        <w:t> </w:t>
      </w:r>
      <w:r>
        <w:rPr/>
        <w:t>removal</w:t>
      </w:r>
      <w:r>
        <w:rPr>
          <w:spacing w:val="55"/>
        </w:rPr>
        <w:t> </w:t>
      </w:r>
      <w:r>
        <w:rPr/>
        <w:t>of</w:t>
      </w:r>
      <w:r>
        <w:rPr>
          <w:spacing w:val="56"/>
        </w:rPr>
        <w:t> </w:t>
      </w:r>
      <w:r>
        <w:rPr/>
        <w:t>controls</w:t>
      </w:r>
      <w:r>
        <w:rPr>
          <w:spacing w:val="56"/>
        </w:rPr>
        <w:t> </w:t>
      </w:r>
      <w:r>
        <w:rPr/>
        <w:t>on</w:t>
      </w:r>
      <w:r>
        <w:rPr>
          <w:spacing w:val="54"/>
        </w:rPr>
        <w:t> </w:t>
      </w:r>
      <w:r>
        <w:rPr>
          <w:spacing w:val="-2"/>
        </w:rPr>
        <w:t>capital</w:t>
      </w:r>
    </w:p>
    <w:p>
      <w:pPr>
        <w:spacing w:after="0" w:line="480" w:lineRule="auto"/>
        <w:jc w:val="both"/>
        <w:sectPr>
          <w:pgSz w:w="12240" w:h="15840"/>
          <w:pgMar w:header="0" w:footer="1012" w:top="1380" w:bottom="1200" w:left="1220" w:right="700"/>
        </w:sectPr>
      </w:pPr>
    </w:p>
    <w:p>
      <w:pPr>
        <w:pStyle w:val="BodyText"/>
        <w:spacing w:line="480" w:lineRule="auto" w:before="60"/>
        <w:ind w:right="747"/>
        <w:jc w:val="both"/>
      </w:pPr>
      <w:r>
        <w:rPr/>
        <w:t>outflows and the liberalization of restrictions on foreign direct investment (Kouki &amp; Rezgui, </w:t>
      </w:r>
      <w:r>
        <w:rPr>
          <w:spacing w:val="-2"/>
        </w:rPr>
        <w:t>2017).</w:t>
      </w:r>
    </w:p>
    <w:p>
      <w:pPr>
        <w:pStyle w:val="BodyText"/>
        <w:spacing w:line="480" w:lineRule="auto" w:before="160"/>
        <w:ind w:right="734"/>
        <w:jc w:val="both"/>
      </w:pPr>
      <w:r>
        <w:rPr/>
        <mc:AlternateContent>
          <mc:Choice Requires="wps">
            <w:drawing>
              <wp:anchor distT="0" distB="0" distL="0" distR="0" allowOverlap="1" layoutInCell="1" locked="0" behindDoc="1" simplePos="0" relativeHeight="478014464">
                <wp:simplePos x="0" y="0"/>
                <wp:positionH relativeFrom="page">
                  <wp:posOffset>950112</wp:posOffset>
                </wp:positionH>
                <wp:positionV relativeFrom="paragraph">
                  <wp:posOffset>552765</wp:posOffset>
                </wp:positionV>
                <wp:extent cx="5505450" cy="566102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302016" id="docshape27"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In the literature, the effectof financial integration on economic growth has been propelled through many channels, ofwhich financial systems, qualityof institutions, productivity, and capital accumulation are most relevant. As noted by Rajan and Zingales in Biplab and Inder (2021), financial integration facilitates developed financial systems, which helps in promoting an efficient and better qualityof governance at the corporate level aswell as at the government level. As aresult, factor productivity receives anupward thrust. Bekaert, Harvey, and Lundblad (2011) find thatfinancial openness improves stockmarket efficiency, institutional quality, andpolicy efficiency, although thefindings are not robustacross specifications. They further note that thepositive impactof financial opennesson productivity outweighs the negative effectsof possible contagion or banking crisis. Inother words, increasing capital inflows improves creditaccess and reduces the costof capital, and at the sametime promotes technology transfersto LDCs, which, in turn, accelerates investmentand increases productivityand therefore growth.</w:t>
      </w:r>
    </w:p>
    <w:p>
      <w:pPr>
        <w:pStyle w:val="BodyText"/>
        <w:spacing w:line="480" w:lineRule="auto" w:before="161"/>
        <w:ind w:right="733"/>
        <w:jc w:val="both"/>
      </w:pPr>
      <w:r>
        <w:rPr/>
        <w:t>Moreover, theoretical literature supports therole of financial integration in theprocess of economic growthand development. Hence, several developingand emerging economies have embarked on arapid process of financial integrationin the past few decades. This is because financial integration has thecapacity to promote capitalallocation, production specialization, international consumption risk-sharing andeconomic growth (Gehringer, 2015; Saafi, Mohamed &amp;Doudou, 2016). Besides, financial integration improves factor productivityvia greater</w:t>
      </w:r>
      <w:r>
        <w:rPr>
          <w:spacing w:val="19"/>
        </w:rPr>
        <w:t> </w:t>
      </w:r>
      <w:r>
        <w:rPr/>
        <w:t>efficiency</w:t>
      </w:r>
      <w:r>
        <w:rPr>
          <w:spacing w:val="19"/>
        </w:rPr>
        <w:t> </w:t>
      </w:r>
      <w:r>
        <w:rPr/>
        <w:t>inresources</w:t>
      </w:r>
      <w:r>
        <w:rPr>
          <w:spacing w:val="20"/>
        </w:rPr>
        <w:t> </w:t>
      </w:r>
      <w:r>
        <w:rPr/>
        <w:t>allocation</w:t>
      </w:r>
      <w:r>
        <w:rPr>
          <w:spacing w:val="21"/>
        </w:rPr>
        <w:t> </w:t>
      </w:r>
      <w:r>
        <w:rPr/>
        <w:t>andeasy</w:t>
      </w:r>
      <w:r>
        <w:rPr>
          <w:spacing w:val="19"/>
        </w:rPr>
        <w:t> </w:t>
      </w:r>
      <w:r>
        <w:rPr/>
        <w:t>access</w:t>
      </w:r>
      <w:r>
        <w:rPr>
          <w:spacing w:val="19"/>
        </w:rPr>
        <w:t> </w:t>
      </w:r>
      <w:r>
        <w:rPr/>
        <w:t>toinvestment</w:t>
      </w:r>
      <w:r>
        <w:rPr>
          <w:spacing w:val="22"/>
        </w:rPr>
        <w:t> </w:t>
      </w:r>
      <w:r>
        <w:rPr/>
        <w:t>opportunities</w:t>
      </w:r>
      <w:r>
        <w:rPr>
          <w:spacing w:val="20"/>
        </w:rPr>
        <w:t> </w:t>
      </w:r>
      <w:r>
        <w:rPr>
          <w:spacing w:val="-2"/>
        </w:rPr>
        <w:t>thereby</w:t>
      </w:r>
    </w:p>
    <w:p>
      <w:pPr>
        <w:spacing w:after="0" w:line="480" w:lineRule="auto"/>
        <w:jc w:val="both"/>
        <w:sectPr>
          <w:pgSz w:w="12240" w:h="15840"/>
          <w:pgMar w:header="0" w:footer="1012" w:top="1380" w:bottom="1200" w:left="1220" w:right="700"/>
        </w:sectPr>
      </w:pPr>
    </w:p>
    <w:p>
      <w:pPr>
        <w:pStyle w:val="BodyText"/>
        <w:spacing w:line="480" w:lineRule="auto" w:before="60"/>
        <w:ind w:right="736"/>
        <w:jc w:val="both"/>
      </w:pPr>
      <w:r>
        <w:rPr/>
        <mc:AlternateContent>
          <mc:Choice Requires="wps">
            <w:drawing>
              <wp:anchor distT="0" distB="0" distL="0" distR="0" allowOverlap="1" layoutInCell="1" locked="0" behindDoc="1" simplePos="0" relativeHeight="478014976">
                <wp:simplePos x="0" y="0"/>
                <wp:positionH relativeFrom="page">
                  <wp:posOffset>950112</wp:posOffset>
                </wp:positionH>
                <wp:positionV relativeFrom="paragraph">
                  <wp:posOffset>1321053</wp:posOffset>
                </wp:positionV>
                <wp:extent cx="5505450" cy="5661025"/>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301504" id="docshape28"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stimulating</w:t>
      </w:r>
      <w:r>
        <w:rPr>
          <w:spacing w:val="-6"/>
        </w:rPr>
        <w:t> </w:t>
      </w:r>
      <w:r>
        <w:rPr/>
        <w:t>economicgrowth</w:t>
      </w:r>
      <w:r>
        <w:rPr>
          <w:spacing w:val="-6"/>
        </w:rPr>
        <w:t> </w:t>
      </w:r>
      <w:r>
        <w:rPr/>
        <w:t>(Gehringer,</w:t>
      </w:r>
      <w:r>
        <w:rPr>
          <w:spacing w:val="-6"/>
        </w:rPr>
        <w:t> </w:t>
      </w:r>
      <w:r>
        <w:rPr/>
        <w:t>2013).</w:t>
      </w:r>
      <w:r>
        <w:rPr>
          <w:spacing w:val="-3"/>
        </w:rPr>
        <w:t> </w:t>
      </w:r>
      <w:r>
        <w:rPr/>
        <w:t>Furthermore,</w:t>
      </w:r>
      <w:r>
        <w:rPr>
          <w:spacing w:val="-6"/>
        </w:rPr>
        <w:t> </w:t>
      </w:r>
      <w:r>
        <w:rPr/>
        <w:t>byintensifying</w:t>
      </w:r>
      <w:r>
        <w:rPr>
          <w:spacing w:val="-6"/>
        </w:rPr>
        <w:t> </w:t>
      </w:r>
      <w:r>
        <w:rPr/>
        <w:t>competition</w:t>
      </w:r>
      <w:r>
        <w:rPr>
          <w:spacing w:val="-6"/>
        </w:rPr>
        <w:t> </w:t>
      </w:r>
      <w:r>
        <w:rPr/>
        <w:t>and the import offinancial services, financial integration could accelerate thedevelopment and operations of thedomestic financial sector andspur more investment andgrowth (Klein &amp; Olivei, 2008).</w:t>
      </w:r>
    </w:p>
    <w:p>
      <w:pPr>
        <w:pStyle w:val="BodyText"/>
        <w:spacing w:line="480" w:lineRule="auto" w:before="160"/>
        <w:ind w:right="733"/>
        <w:jc w:val="both"/>
      </w:pPr>
      <w:r>
        <w:rPr/>
        <w:t>International financial integration has lots ofadvantages for adeveloping economy like Nigeria. Financial integration leads to efficient capital allocation, better governance, higher investment and growthand risk-sharing. There are direct and indirect channels throughwhich the impactof financial integration works and is transmittedto the real economy. Directly, it is argued thatfinancial openness affects economicgrowth through enabling access toforeign financial</w:t>
      </w:r>
      <w:r>
        <w:rPr>
          <w:spacing w:val="-1"/>
        </w:rPr>
        <w:t> </w:t>
      </w:r>
      <w:r>
        <w:rPr/>
        <w:t>markets,</w:t>
      </w:r>
      <w:r>
        <w:rPr>
          <w:spacing w:val="-1"/>
        </w:rPr>
        <w:t> </w:t>
      </w:r>
      <w:r>
        <w:rPr/>
        <w:t>increasing</w:t>
      </w:r>
      <w:r>
        <w:rPr>
          <w:spacing w:val="-1"/>
        </w:rPr>
        <w:t> </w:t>
      </w:r>
      <w:r>
        <w:rPr/>
        <w:t>financialservice</w:t>
      </w:r>
      <w:r>
        <w:rPr>
          <w:spacing w:val="-2"/>
        </w:rPr>
        <w:t> </w:t>
      </w:r>
      <w:r>
        <w:rPr/>
        <w:t>efficiency</w:t>
      </w:r>
      <w:r>
        <w:rPr>
          <w:spacing w:val="-1"/>
        </w:rPr>
        <w:t> </w:t>
      </w:r>
      <w:r>
        <w:rPr/>
        <w:t>and helping indiversification</w:t>
      </w:r>
      <w:r>
        <w:rPr>
          <w:spacing w:val="-2"/>
        </w:rPr>
        <w:t> </w:t>
      </w:r>
      <w:r>
        <w:rPr/>
        <w:t>of</w:t>
      </w:r>
      <w:r>
        <w:rPr>
          <w:spacing w:val="-1"/>
        </w:rPr>
        <w:t> </w:t>
      </w:r>
      <w:r>
        <w:rPr/>
        <w:t>risks andconsumption smoothing. Thus while inducingadditional capital investment, it also fosters macroeconomicdiscipline. Indirectly, the processof international financial integration facilitates thetransfer of technological know-how promotes tradeand enhances specialization (Ahmed, 2011).</w:t>
      </w:r>
    </w:p>
    <w:p>
      <w:pPr>
        <w:pStyle w:val="BodyText"/>
        <w:spacing w:line="480" w:lineRule="auto" w:before="162"/>
        <w:ind w:right="736"/>
        <w:jc w:val="both"/>
      </w:pPr>
      <w:r>
        <w:rPr/>
        <w:t>Nigeria is one of thedeveloping economies that receives largechunk of international capital inflow as aresult of financial integration resulting fromfinancial liberalization of theSAP era, yet the country’sgrowth has been low. Foreign capital inflow resulting fromfinancial integration has been identified as animportant vehicle for augmenting thesupply of funds for domesticinvestment (Fosu &amp; Magnus, 2006). African countriesand other emerging economies needsubstantial inflow ofinternational capitalto fill their savings andforeign exchangegaps, enhance capital accumulationand growth, needed toovercome widespread poverty</w:t>
      </w:r>
      <w:r>
        <w:rPr>
          <w:spacing w:val="52"/>
          <w:w w:val="150"/>
        </w:rPr>
        <w:t> </w:t>
      </w:r>
      <w:r>
        <w:rPr/>
        <w:t>in</w:t>
      </w:r>
      <w:r>
        <w:rPr>
          <w:spacing w:val="51"/>
          <w:w w:val="150"/>
        </w:rPr>
        <w:t> </w:t>
      </w:r>
      <w:r>
        <w:rPr/>
        <w:t>thesecountries.</w:t>
      </w:r>
      <w:r>
        <w:rPr>
          <w:spacing w:val="51"/>
          <w:w w:val="150"/>
        </w:rPr>
        <w:t> </w:t>
      </w:r>
      <w:r>
        <w:rPr/>
        <w:t>Thus,</w:t>
      </w:r>
      <w:r>
        <w:rPr>
          <w:spacing w:val="51"/>
          <w:w w:val="150"/>
        </w:rPr>
        <w:t> </w:t>
      </w:r>
      <w:r>
        <w:rPr/>
        <w:t>the</w:t>
      </w:r>
      <w:r>
        <w:rPr>
          <w:spacing w:val="49"/>
          <w:w w:val="150"/>
        </w:rPr>
        <w:t> </w:t>
      </w:r>
      <w:r>
        <w:rPr/>
        <w:t>relativeadvantage(s)</w:t>
      </w:r>
      <w:r>
        <w:rPr>
          <w:spacing w:val="52"/>
          <w:w w:val="150"/>
        </w:rPr>
        <w:t> </w:t>
      </w:r>
      <w:r>
        <w:rPr/>
        <w:t>of</w:t>
      </w:r>
      <w:r>
        <w:rPr>
          <w:spacing w:val="52"/>
          <w:w w:val="150"/>
        </w:rPr>
        <w:t> </w:t>
      </w:r>
      <w:r>
        <w:rPr/>
        <w:t>financial</w:t>
      </w:r>
      <w:r>
        <w:rPr>
          <w:spacing w:val="51"/>
          <w:w w:val="150"/>
        </w:rPr>
        <w:t> </w:t>
      </w:r>
      <w:r>
        <w:rPr/>
        <w:t>integration</w:t>
      </w:r>
      <w:r>
        <w:rPr>
          <w:spacing w:val="52"/>
          <w:w w:val="150"/>
        </w:rPr>
        <w:t> </w:t>
      </w:r>
      <w:r>
        <w:rPr/>
        <w:t>as</w:t>
      </w:r>
      <w:r>
        <w:rPr>
          <w:spacing w:val="52"/>
          <w:w w:val="150"/>
        </w:rPr>
        <w:t> </w:t>
      </w:r>
      <w:r>
        <w:rPr>
          <w:spacing w:val="-10"/>
        </w:rPr>
        <w:t>a</w:t>
      </w:r>
    </w:p>
    <w:p>
      <w:pPr>
        <w:spacing w:after="0" w:line="480" w:lineRule="auto"/>
        <w:jc w:val="both"/>
        <w:sectPr>
          <w:pgSz w:w="12240" w:h="15840"/>
          <w:pgMar w:header="0" w:footer="1012" w:top="1380" w:bottom="1200" w:left="1220" w:right="700"/>
        </w:sectPr>
      </w:pPr>
    </w:p>
    <w:p>
      <w:pPr>
        <w:pStyle w:val="BodyText"/>
        <w:spacing w:line="480" w:lineRule="auto" w:before="60"/>
        <w:ind w:right="738"/>
        <w:jc w:val="both"/>
      </w:pPr>
      <w:r>
        <w:rPr/>
        <w:t>productivity-enhancing package is nowwidely acknowledged especiallysince the recent global financialcrises (Ajayi, Adedeji,</w:t>
      </w:r>
      <w:r>
        <w:rPr>
          <w:spacing w:val="80"/>
        </w:rPr>
        <w:t> </w:t>
      </w:r>
      <w:r>
        <w:rPr/>
        <w:t>Giwa &amp; Araoye, 2017).</w:t>
      </w:r>
    </w:p>
    <w:p>
      <w:pPr>
        <w:pStyle w:val="BodyText"/>
        <w:spacing w:line="480" w:lineRule="auto" w:before="160"/>
        <w:ind w:right="733"/>
        <w:jc w:val="both"/>
      </w:pPr>
      <w:r>
        <w:rPr/>
        <mc:AlternateContent>
          <mc:Choice Requires="wps">
            <w:drawing>
              <wp:anchor distT="0" distB="0" distL="0" distR="0" allowOverlap="1" layoutInCell="1" locked="0" behindDoc="1" simplePos="0" relativeHeight="478015488">
                <wp:simplePos x="0" y="0"/>
                <wp:positionH relativeFrom="page">
                  <wp:posOffset>950112</wp:posOffset>
                </wp:positionH>
                <wp:positionV relativeFrom="paragraph">
                  <wp:posOffset>552765</wp:posOffset>
                </wp:positionV>
                <wp:extent cx="5505450" cy="566102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300992" id="docshape29"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Financial integration strengthens domestic financial sector making way for moreefficient capital allocationand higher investment andgrowth opportunities (Levine, 2001). In the presence offinancial integration, efficiency gains are generated amongdomestics firms because theyhave to compete directly with foreignrivals (Kose et al., 2006). Since it is believed thathaving access to a broaderbase of capital is akey requirement foreconomic growth, thenfinancial integration is necessary because it expedites flowsof capital from developed economies with richcapital to developing economieslike Nigeria with limited capital.</w:t>
      </w:r>
      <w:r>
        <w:rPr>
          <w:spacing w:val="-1"/>
        </w:rPr>
        <w:t> </w:t>
      </w:r>
      <w:r>
        <w:rPr/>
        <w:t>Such capital</w:t>
      </w:r>
      <w:r>
        <w:rPr>
          <w:spacing w:val="-1"/>
        </w:rPr>
        <w:t> </w:t>
      </w:r>
      <w:r>
        <w:rPr/>
        <w:t>inflows</w:t>
      </w:r>
      <w:r>
        <w:rPr>
          <w:spacing w:val="-1"/>
        </w:rPr>
        <w:t> </w:t>
      </w:r>
      <w:r>
        <w:rPr/>
        <w:t>can</w:t>
      </w:r>
      <w:r>
        <w:rPr>
          <w:spacing w:val="-1"/>
        </w:rPr>
        <w:t> </w:t>
      </w:r>
      <w:r>
        <w:rPr/>
        <w:t>significantly</w:t>
      </w:r>
      <w:r>
        <w:rPr>
          <w:spacing w:val="-2"/>
        </w:rPr>
        <w:t> </w:t>
      </w:r>
      <w:r>
        <w:rPr/>
        <w:t>reduce</w:t>
      </w:r>
      <w:r>
        <w:rPr>
          <w:spacing w:val="-2"/>
        </w:rPr>
        <w:t> </w:t>
      </w:r>
      <w:r>
        <w:rPr/>
        <w:t>the costof</w:t>
      </w:r>
      <w:r>
        <w:rPr>
          <w:spacing w:val="-1"/>
        </w:rPr>
        <w:t> </w:t>
      </w:r>
      <w:r>
        <w:rPr/>
        <w:t>capital</w:t>
      </w:r>
      <w:r>
        <w:rPr>
          <w:spacing w:val="-1"/>
        </w:rPr>
        <w:t> </w:t>
      </w:r>
      <w:r>
        <w:rPr/>
        <w:t>incapital-poor</w:t>
      </w:r>
      <w:r>
        <w:rPr>
          <w:spacing w:val="-1"/>
        </w:rPr>
        <w:t> </w:t>
      </w:r>
      <w:r>
        <w:rPr/>
        <w:t>Nigeria leading tohigher investment.</w:t>
      </w:r>
    </w:p>
    <w:p>
      <w:pPr>
        <w:pStyle w:val="BodyText"/>
        <w:spacing w:line="480" w:lineRule="auto" w:before="162"/>
        <w:ind w:right="733"/>
        <w:jc w:val="both"/>
      </w:pPr>
      <w:r>
        <w:rPr/>
        <w:t>Dominant economic theory suggests thatfinancial integration may foster moreefficient resource allocation, facilitate riskdiversification, increase specializationin production, create technological spin-offs, contribute to thedevelopment of thefinancial system, improve investment ratesand boost growth (King &amp; Levine 1993; Mougani 2006; and Prasad, Rogoff, Wei &amp; Kose, 2003). In acknowledgingthe existence of thesepotential impacts, the industrialized</w:t>
      </w:r>
      <w:r>
        <w:rPr>
          <w:spacing w:val="-1"/>
        </w:rPr>
        <w:t> </w:t>
      </w:r>
      <w:r>
        <w:rPr/>
        <w:t>countries</w:t>
      </w:r>
      <w:r>
        <w:rPr>
          <w:spacing w:val="-2"/>
        </w:rPr>
        <w:t> </w:t>
      </w:r>
      <w:r>
        <w:rPr/>
        <w:t>have</w:t>
      </w:r>
      <w:r>
        <w:rPr>
          <w:spacing w:val="-1"/>
        </w:rPr>
        <w:t> </w:t>
      </w:r>
      <w:r>
        <w:rPr/>
        <w:t>been committed tocapital account liberalization policiesfor over a quarter of a century. Many of the positive impacts observed in these countries are largely due to increased investment opportunities and financial development induced by greater opennessof capital markets. Many studies have naturally proposed that lessdeveloped countries should adopt economic policies aimed atfostering greater internationalfinancial integration.</w:t>
      </w:r>
      <w:r>
        <w:rPr>
          <w:spacing w:val="7"/>
        </w:rPr>
        <w:t> </w:t>
      </w:r>
      <w:r>
        <w:rPr/>
        <w:t>However,</w:t>
      </w:r>
      <w:r>
        <w:rPr>
          <w:spacing w:val="7"/>
        </w:rPr>
        <w:t> </w:t>
      </w:r>
      <w:r>
        <w:rPr/>
        <w:t>this</w:t>
      </w:r>
      <w:r>
        <w:rPr>
          <w:spacing w:val="9"/>
        </w:rPr>
        <w:t> </w:t>
      </w:r>
      <w:r>
        <w:rPr/>
        <w:t>approach</w:t>
      </w:r>
      <w:r>
        <w:rPr>
          <w:spacing w:val="6"/>
        </w:rPr>
        <w:t> </w:t>
      </w:r>
      <w:r>
        <w:rPr/>
        <w:t>has</w:t>
      </w:r>
      <w:r>
        <w:rPr>
          <w:spacing w:val="7"/>
        </w:rPr>
        <w:t> </w:t>
      </w:r>
      <w:r>
        <w:rPr/>
        <w:t>been</w:t>
      </w:r>
      <w:r>
        <w:rPr>
          <w:spacing w:val="9"/>
        </w:rPr>
        <w:t> </w:t>
      </w:r>
      <w:r>
        <w:rPr/>
        <w:t>criticized</w:t>
      </w:r>
      <w:r>
        <w:rPr>
          <w:spacing w:val="6"/>
        </w:rPr>
        <w:t> </w:t>
      </w:r>
      <w:r>
        <w:rPr/>
        <w:t>byothers</w:t>
      </w:r>
      <w:r>
        <w:rPr>
          <w:spacing w:val="8"/>
        </w:rPr>
        <w:t> </w:t>
      </w:r>
      <w:r>
        <w:rPr/>
        <w:t>who,</w:t>
      </w:r>
      <w:r>
        <w:rPr>
          <w:spacing w:val="9"/>
        </w:rPr>
        <w:t> </w:t>
      </w:r>
      <w:r>
        <w:rPr/>
        <w:t>inparticular,</w:t>
      </w:r>
      <w:r>
        <w:rPr>
          <w:spacing w:val="7"/>
        </w:rPr>
        <w:t> </w:t>
      </w:r>
      <w:r>
        <w:rPr/>
        <w:t>note</w:t>
      </w:r>
      <w:r>
        <w:rPr>
          <w:spacing w:val="6"/>
        </w:rPr>
        <w:t> </w:t>
      </w:r>
      <w:r>
        <w:rPr>
          <w:spacing w:val="-4"/>
        </w:rPr>
        <w:t>that</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16000">
                <wp:simplePos x="0" y="0"/>
                <wp:positionH relativeFrom="page">
                  <wp:posOffset>950112</wp:posOffset>
                </wp:positionH>
                <wp:positionV relativeFrom="paragraph">
                  <wp:posOffset>1321053</wp:posOffset>
                </wp:positionV>
                <wp:extent cx="5505450" cy="5661025"/>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300480" id="docshape30"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fluctuations incapital flows related tocapital account liberalization are likelyto cause and spread financialcrises. These new stances were mainlydeveloped after the crisesof the 1990s. Institutions such as theInternational Monetary Fundand some authors thus emphasizedthat while financialopenness is desirable, it is essentialfor such liberalization to begradual and prudent (IMF 2001). Based on theforegoing, this study examined the effectof financial integration on economic growth in Nigeria.</w:t>
      </w:r>
    </w:p>
    <w:p>
      <w:pPr>
        <w:pStyle w:val="BodyText"/>
        <w:spacing w:before="160"/>
        <w:ind w:left="0"/>
      </w:pPr>
    </w:p>
    <w:p>
      <w:pPr>
        <w:pStyle w:val="Heading2"/>
        <w:numPr>
          <w:ilvl w:val="1"/>
          <w:numId w:val="10"/>
        </w:numPr>
        <w:tabs>
          <w:tab w:pos="593" w:val="left" w:leader="none"/>
        </w:tabs>
        <w:spacing w:line="240" w:lineRule="auto" w:before="1" w:after="0"/>
        <w:ind w:left="593" w:right="0" w:hanging="373"/>
        <w:jc w:val="left"/>
      </w:pPr>
      <w:r>
        <w:rPr/>
        <mc:AlternateContent>
          <mc:Choice Requires="wps">
            <w:drawing>
              <wp:anchor distT="0" distB="0" distL="0" distR="0" allowOverlap="1" layoutInCell="1" locked="0" behindDoc="1" simplePos="0" relativeHeight="478016512">
                <wp:simplePos x="0" y="0"/>
                <wp:positionH relativeFrom="page">
                  <wp:posOffset>896416</wp:posOffset>
                </wp:positionH>
                <wp:positionV relativeFrom="paragraph">
                  <wp:posOffset>900</wp:posOffset>
                </wp:positionV>
                <wp:extent cx="5981065" cy="36449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5981065" cy="364490"/>
                        </a:xfrm>
                        <a:custGeom>
                          <a:avLst/>
                          <a:gdLst/>
                          <a:ahLst/>
                          <a:cxnLst/>
                          <a:rect l="l" t="t" r="r" b="b"/>
                          <a:pathLst>
                            <a:path w="5981065" h="364490">
                              <a:moveTo>
                                <a:pt x="5981065" y="0"/>
                              </a:moveTo>
                              <a:lnTo>
                                <a:pt x="0" y="0"/>
                              </a:lnTo>
                              <a:lnTo>
                                <a:pt x="0" y="364235"/>
                              </a:lnTo>
                              <a:lnTo>
                                <a:pt x="5981065" y="364235"/>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070869pt;width:470.95pt;height:28.68pt;mso-position-horizontal-relative:page;mso-position-vertical-relative:paragraph;z-index:-25299968" id="docshape31" filled="true" fillcolor="#ffffff" stroked="false">
                <v:fill type="solid"/>
                <w10:wrap type="none"/>
              </v:rect>
            </w:pict>
          </mc:Fallback>
        </mc:AlternateContent>
      </w:r>
      <w:bookmarkStart w:name="_TOC_250066" w:id="9"/>
      <w:r>
        <w:rPr/>
        <w:t>Statement</w:t>
      </w:r>
      <w:r>
        <w:rPr>
          <w:spacing w:val="-6"/>
        </w:rPr>
        <w:t> </w:t>
      </w:r>
      <w:r>
        <w:rPr/>
        <w:t>of</w:t>
      </w:r>
      <w:r>
        <w:rPr>
          <w:spacing w:val="-5"/>
        </w:rPr>
        <w:t> </w:t>
      </w:r>
      <w:r>
        <w:rPr/>
        <w:t>the</w:t>
      </w:r>
      <w:r>
        <w:rPr>
          <w:spacing w:val="-6"/>
        </w:rPr>
        <w:t> </w:t>
      </w:r>
      <w:bookmarkEnd w:id="9"/>
      <w:r>
        <w:rPr>
          <w:spacing w:val="-2"/>
        </w:rPr>
        <w:t>Problem</w:t>
      </w:r>
    </w:p>
    <w:p>
      <w:pPr>
        <w:pStyle w:val="BodyText"/>
        <w:spacing w:before="159"/>
        <w:ind w:left="0"/>
        <w:rPr>
          <w:b/>
        </w:rPr>
      </w:pPr>
    </w:p>
    <w:p>
      <w:pPr>
        <w:pStyle w:val="BodyText"/>
        <w:spacing w:line="480" w:lineRule="auto"/>
        <w:ind w:right="735"/>
        <w:jc w:val="both"/>
      </w:pPr>
      <w:r>
        <w:rPr/>
        <w:t>The nexus between international financial integration and economic growth continues to be one of the mostdebated issues among international economists. In aperfect neoclassical textbook world, there are good argumentsfor a positive growth impactof integration with the international capitalmarket, especially fordeveloping countries. By tapping the poolof global savings capital-poorcountries could free themselvesof a binding constrainton economic growth – lackof capital. However, arguments against the economicwisdom of openness to global capitalflows have also been putforward. Financial integration does not have to bewelfare enhancing in thepresence of other distortionssuch as trade barriers andweak institutions, or ifinformation asymmetries affect theproper working of theinternational financialmarket (Stiglitz, 2000).</w:t>
      </w:r>
    </w:p>
    <w:p>
      <w:pPr>
        <w:pStyle w:val="BodyText"/>
        <w:spacing w:line="480" w:lineRule="auto" w:before="163"/>
        <w:ind w:right="734"/>
        <w:jc w:val="both"/>
      </w:pPr>
      <w:r>
        <w:rPr/>
        <w:t>The dismal condition of thefinancial system in thedeveloping countries post financial globalization has also received agreat attention since thelast quarter of 20</w:t>
      </w:r>
      <w:r>
        <w:rPr>
          <w:vertAlign w:val="superscript"/>
        </w:rPr>
        <w:t>th</w:t>
      </w:r>
      <w:r>
        <w:rPr>
          <w:vertAlign w:val="baseline"/>
        </w:rPr>
        <w:t> century. Stiglitz (2002) argue that financial integration has remained acurse to developing countriessince it is amajor</w:t>
      </w:r>
      <w:r>
        <w:rPr>
          <w:spacing w:val="6"/>
          <w:vertAlign w:val="baseline"/>
        </w:rPr>
        <w:t> </w:t>
      </w:r>
      <w:r>
        <w:rPr>
          <w:vertAlign w:val="baseline"/>
        </w:rPr>
        <w:t>cause</w:t>
      </w:r>
      <w:r>
        <w:rPr>
          <w:spacing w:val="6"/>
          <w:vertAlign w:val="baseline"/>
        </w:rPr>
        <w:t> </w:t>
      </w:r>
      <w:r>
        <w:rPr>
          <w:vertAlign w:val="baseline"/>
        </w:rPr>
        <w:t>offinancial</w:t>
      </w:r>
      <w:r>
        <w:rPr>
          <w:spacing w:val="6"/>
          <w:vertAlign w:val="baseline"/>
        </w:rPr>
        <w:t> </w:t>
      </w:r>
      <w:r>
        <w:rPr>
          <w:vertAlign w:val="baseline"/>
        </w:rPr>
        <w:t>crises.</w:t>
      </w:r>
      <w:r>
        <w:rPr>
          <w:spacing w:val="6"/>
          <w:vertAlign w:val="baseline"/>
        </w:rPr>
        <w:t> </w:t>
      </w:r>
      <w:r>
        <w:rPr>
          <w:vertAlign w:val="baseline"/>
        </w:rPr>
        <w:t>However,</w:t>
      </w:r>
      <w:r>
        <w:rPr>
          <w:spacing w:val="7"/>
          <w:vertAlign w:val="baseline"/>
        </w:rPr>
        <w:t> </w:t>
      </w:r>
      <w:r>
        <w:rPr>
          <w:vertAlign w:val="baseline"/>
        </w:rPr>
        <w:t>Mishkin</w:t>
      </w:r>
      <w:r>
        <w:rPr>
          <w:spacing w:val="6"/>
          <w:vertAlign w:val="baseline"/>
        </w:rPr>
        <w:t> </w:t>
      </w:r>
      <w:r>
        <w:rPr>
          <w:vertAlign w:val="baseline"/>
        </w:rPr>
        <w:t>(2005)</w:t>
      </w:r>
      <w:r>
        <w:rPr>
          <w:spacing w:val="7"/>
          <w:vertAlign w:val="baseline"/>
        </w:rPr>
        <w:t> </w:t>
      </w:r>
      <w:r>
        <w:rPr>
          <w:vertAlign w:val="baseline"/>
        </w:rPr>
        <w:t>contends</w:t>
      </w:r>
      <w:r>
        <w:rPr>
          <w:spacing w:val="6"/>
          <w:vertAlign w:val="baseline"/>
        </w:rPr>
        <w:t> </w:t>
      </w:r>
      <w:r>
        <w:rPr>
          <w:vertAlign w:val="baseline"/>
        </w:rPr>
        <w:t>thatfinancial</w:t>
      </w:r>
      <w:r>
        <w:rPr>
          <w:spacing w:val="7"/>
          <w:vertAlign w:val="baseline"/>
        </w:rPr>
        <w:t> </w:t>
      </w:r>
      <w:r>
        <w:rPr>
          <w:spacing w:val="-2"/>
          <w:vertAlign w:val="baseline"/>
        </w:rPr>
        <w:t>integration</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17024">
                <wp:simplePos x="0" y="0"/>
                <wp:positionH relativeFrom="page">
                  <wp:posOffset>950112</wp:posOffset>
                </wp:positionH>
                <wp:positionV relativeFrom="paragraph">
                  <wp:posOffset>1321053</wp:posOffset>
                </wp:positionV>
                <wp:extent cx="5505450" cy="5661025"/>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99456" id="docshape32"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promotes growth but it is the badpolicies of thesedeveloping countries that hinder thepromotional effect offinancial globalization. It was also contended thatfinancial market integration entails severalrisks in terms ofcapital flight which could lead tobalance of payment disequilibrium throughcurrency fluctuations andhigh inflation rates which engender current account deficitand unemployment (Boyle, 2009). Also, Stulz (2005) maintained that financial marketintegration remainineffective indeveloping countries due to lackof strong property rights, weaklegal system, corruption, lackof quality financial information, poor corporate governance, and governmentoverbearing interference with thefinancial sector.</w:t>
      </w:r>
    </w:p>
    <w:p>
      <w:pPr>
        <w:pStyle w:val="BodyText"/>
        <w:spacing w:line="480" w:lineRule="auto" w:before="162"/>
        <w:ind w:right="734"/>
        <w:jc w:val="both"/>
      </w:pPr>
      <w:r>
        <w:rPr/>
        <w:t>Notwithstanding these theoretical benefitsof financial integration for trendgrowth and inequality, empirical studies have so farproduced mixed evidence, particularly regardingthe effect offinancial market integration oneconomic growth indeveloping countries. One reason why empirical researchon the financial integration-growth link remained inconclusiveto date is that different approachesand econometric techniques made itdifficult to synthesize the results. Furthermore, to ourknowledge, there is paucity of studies on the effect offinancial market integration oneconomic growth in Nigeria. Most of the studies in this area focus on the importance offinancial market development. And those that covered its effect of economic growth are not recent. This study, therefore, fills this gap by empirically investigating the effect of financial integration on economic growth in Nigeria between 1986 and 2020.</w:t>
      </w:r>
    </w:p>
    <w:p>
      <w:pPr>
        <w:spacing w:after="0" w:line="480" w:lineRule="auto"/>
        <w:jc w:val="both"/>
        <w:sectPr>
          <w:pgSz w:w="12240" w:h="15840"/>
          <w:pgMar w:header="0" w:footer="1012" w:top="1380" w:bottom="1200" w:left="1220" w:right="700"/>
        </w:sectPr>
      </w:pPr>
    </w:p>
    <w:p>
      <w:pPr>
        <w:pStyle w:val="Heading2"/>
        <w:numPr>
          <w:ilvl w:val="1"/>
          <w:numId w:val="10"/>
        </w:numPr>
        <w:tabs>
          <w:tab w:pos="593" w:val="left" w:leader="none"/>
        </w:tabs>
        <w:spacing w:line="240" w:lineRule="auto" w:before="60" w:after="0"/>
        <w:ind w:left="593" w:right="0" w:hanging="373"/>
        <w:jc w:val="left"/>
      </w:pPr>
      <w:bookmarkStart w:name="_TOC_250065" w:id="10"/>
      <w:r>
        <w:rPr/>
        <w:t>Objectives</w:t>
      </w:r>
      <w:r>
        <w:rPr>
          <w:spacing w:val="-6"/>
        </w:rPr>
        <w:t> </w:t>
      </w:r>
      <w:r>
        <w:rPr/>
        <w:t>of</w:t>
      </w:r>
      <w:r>
        <w:rPr>
          <w:spacing w:val="-6"/>
        </w:rPr>
        <w:t> </w:t>
      </w:r>
      <w:r>
        <w:rPr/>
        <w:t>the</w:t>
      </w:r>
      <w:r>
        <w:rPr>
          <w:spacing w:val="-6"/>
        </w:rPr>
        <w:t> </w:t>
      </w:r>
      <w:bookmarkEnd w:id="10"/>
      <w:r>
        <w:rPr>
          <w:spacing w:val="-4"/>
        </w:rPr>
        <w:t>Study</w:t>
      </w:r>
    </w:p>
    <w:p>
      <w:pPr>
        <w:pStyle w:val="BodyText"/>
        <w:spacing w:before="161"/>
        <w:ind w:left="0"/>
        <w:rPr>
          <w:b/>
        </w:rPr>
      </w:pPr>
    </w:p>
    <w:p>
      <w:pPr>
        <w:pStyle w:val="BodyText"/>
        <w:spacing w:line="480" w:lineRule="auto"/>
        <w:ind w:right="505"/>
      </w:pPr>
      <w:r>
        <w:rPr/>
        <w:t>The</w:t>
      </w:r>
      <w:r>
        <w:rPr>
          <w:spacing w:val="-2"/>
        </w:rPr>
        <w:t> </w:t>
      </w:r>
      <w:r>
        <w:rPr/>
        <w:t>broad</w:t>
      </w:r>
      <w:r>
        <w:rPr>
          <w:spacing w:val="-2"/>
        </w:rPr>
        <w:t> </w:t>
      </w:r>
      <w:r>
        <w:rPr/>
        <w:t>objective</w:t>
      </w:r>
      <w:r>
        <w:rPr>
          <w:spacing w:val="-2"/>
        </w:rPr>
        <w:t> </w:t>
      </w:r>
      <w:r>
        <w:rPr/>
        <w:t>of</w:t>
      </w:r>
      <w:r>
        <w:rPr>
          <w:spacing w:val="-1"/>
        </w:rPr>
        <w:t> </w:t>
      </w:r>
      <w:r>
        <w:rPr/>
        <w:t>this study</w:t>
      </w:r>
      <w:r>
        <w:rPr>
          <w:spacing w:val="-1"/>
        </w:rPr>
        <w:t> </w:t>
      </w:r>
      <w:r>
        <w:rPr/>
        <w:t>is to</w:t>
      </w:r>
      <w:r>
        <w:rPr>
          <w:spacing w:val="-1"/>
        </w:rPr>
        <w:t> </w:t>
      </w:r>
      <w:r>
        <w:rPr/>
        <w:t>examine</w:t>
      </w:r>
      <w:r>
        <w:rPr>
          <w:spacing w:val="-1"/>
        </w:rPr>
        <w:t> </w:t>
      </w:r>
      <w:r>
        <w:rPr/>
        <w:t>the</w:t>
      </w:r>
      <w:r>
        <w:rPr>
          <w:spacing w:val="-2"/>
        </w:rPr>
        <w:t> </w:t>
      </w:r>
      <w:r>
        <w:rPr/>
        <w:t>effectof</w:t>
      </w:r>
      <w:r>
        <w:rPr>
          <w:spacing w:val="-1"/>
        </w:rPr>
        <w:t> </w:t>
      </w:r>
      <w:r>
        <w:rPr/>
        <w:t>financial</w:t>
      </w:r>
      <w:r>
        <w:rPr>
          <w:spacing w:val="-1"/>
        </w:rPr>
        <w:t> </w:t>
      </w:r>
      <w:r>
        <w:rPr/>
        <w:t>integration</w:t>
      </w:r>
      <w:r>
        <w:rPr>
          <w:spacing w:val="-1"/>
        </w:rPr>
        <w:t> </w:t>
      </w:r>
      <w:r>
        <w:rPr/>
        <w:t>on</w:t>
      </w:r>
      <w:r>
        <w:rPr>
          <w:spacing w:val="-1"/>
        </w:rPr>
        <w:t> </w:t>
      </w:r>
      <w:r>
        <w:rPr/>
        <w:t>economic growth inNigeria. Specifically, the objectives of the study are to:</w:t>
      </w:r>
    </w:p>
    <w:p>
      <w:pPr>
        <w:pStyle w:val="ListParagraph"/>
        <w:numPr>
          <w:ilvl w:val="0"/>
          <w:numId w:val="11"/>
        </w:numPr>
        <w:tabs>
          <w:tab w:pos="579" w:val="left" w:leader="none"/>
        </w:tabs>
        <w:spacing w:line="240" w:lineRule="auto" w:before="158" w:after="0"/>
        <w:ind w:left="579" w:right="0" w:hanging="359"/>
        <w:jc w:val="left"/>
        <w:rPr>
          <w:sz w:val="25"/>
        </w:rPr>
      </w:pPr>
      <w:r>
        <w:rPr/>
        <mc:AlternateContent>
          <mc:Choice Requires="wps">
            <w:drawing>
              <wp:anchor distT="0" distB="0" distL="0" distR="0" allowOverlap="1" layoutInCell="1" locked="0" behindDoc="1" simplePos="0" relativeHeight="478017536">
                <wp:simplePos x="0" y="0"/>
                <wp:positionH relativeFrom="page">
                  <wp:posOffset>950112</wp:posOffset>
                </wp:positionH>
                <wp:positionV relativeFrom="paragraph">
                  <wp:posOffset>85436</wp:posOffset>
                </wp:positionV>
                <wp:extent cx="5505450" cy="5661025"/>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6.727295pt;width:433.5pt;height:445.75pt;mso-position-horizontal-relative:page;mso-position-vertical-relative:paragraph;z-index:-25298944" id="docshape33" coordorigin="1496,135" coordsize="8670,8915" path="m2562,8854l1691,7983,1496,8178,2367,9049,2562,8854xm3154,8178l3153,8139,3148,8096,3139,8052,3125,8008,3106,7965,3083,7921,3055,7879,3025,7838,2991,7798,2954,7759,2435,7239,2241,7434,2772,7965,2805,8001,2829,8037,2846,8071,2856,8106,2858,8138,2851,8169,2837,8197,2816,8224,2790,8245,2761,8259,2730,8265,2697,8263,2663,8253,2628,8237,2593,8212,2557,8181,2026,7649,1831,7843,2351,8362,2385,8395,2424,8427,2468,8459,2516,8492,2548,8511,2583,8526,2620,8540,2658,8550,2697,8558,2733,8562,2767,8562,2800,8559,2831,8552,2863,8540,2895,8524,2926,8503,2957,8480,2985,8457,3011,8434,3035,8412,3071,8371,3102,8331,3125,8289,3142,8247,3150,8214,3154,8178xm3882,7395l3876,7331,3860,7265,3834,7199,3806,7144,3771,7088,3728,7031,3678,6972,3661,6953,3621,6911,3597,6889,3597,7383,3592,7423,3577,7460,3551,7493,3518,7518,3481,7533,3441,7538,3396,7532,3347,7513,3294,7482,3235,7437,3171,7378,3112,7314,3066,7255,3035,7200,3016,7151,3010,7107,3014,7067,3029,7031,3053,6999,3086,6973,3122,6958,3163,6953,3207,6958,3255,6975,3307,7005,3363,7047,3423,7102,3488,7172,3538,7235,3572,7291,3591,7339,3597,7383,3597,6889,3551,6846,3482,6791,3413,6746,3344,6711,3276,6685,3209,6669,3130,6663,3055,6673,2983,6699,2914,6739,2850,6795,2796,6858,2756,6926,2732,6998,2723,7073,2729,7153,2746,7221,2772,7290,2808,7360,2854,7430,2910,7500,2976,7571,3036,7628,3096,7678,3156,7720,3215,7755,3273,7782,3344,7806,3411,7820,3475,7823,3535,7817,3593,7801,3649,7774,3705,7736,3758,7688,3805,7634,3841,7578,3858,7538,3866,7519,3879,7458,3882,7395xm4153,6815l3966,6628,3712,6883,3899,7070,4153,6815xm4664,6753l3793,5882,3598,6077,4469,6948,4664,6753xm4998,6419l4675,6095,4781,5989,4832,5929,4837,5919,4866,5867,4883,5804,4882,5739,4866,5674,4843,5623,4836,5608,4792,5542,4733,5476,4670,5419,4607,5376,4598,5371,4598,5765,4597,5790,4587,5816,4570,5843,4546,5871,4498,5919,4304,5724,4359,5669,4386,5646,4412,5630,4438,5623,4462,5623,4486,5630,4509,5640,4531,5654,4552,5673,4570,5694,4584,5717,4593,5740,4598,5765,4598,5371,4544,5346,4483,5330,4423,5329,4365,5344,4309,5374,4255,5419,3931,5743,4803,6614,4998,6419xm5788,5629l5132,4973,5330,4774,5115,4559,4524,5151,4739,5366,4937,5167,5593,5823,5788,5629xm6423,4993l5767,4337,5966,4139,5751,3924,5159,4515,5374,4730,5573,4532,6229,5188,6423,4993xm7157,4120l7151,4056,7135,3990,7109,3924,7081,3869,7046,3813,7003,3756,6953,3697,6935,3678,6896,3637,6872,3614,6872,4108,6867,4148,6851,4185,6825,4218,6793,4244,6756,4259,6716,4263,6671,4257,6622,4238,6569,4207,6510,4162,6446,4103,6387,4039,6341,3980,6309,3925,6291,3876,6285,3832,6289,3792,6304,3756,6328,3724,6361,3699,6397,3683,6438,3678,6482,3683,6530,3701,6582,3730,6638,3773,6698,3828,6763,3897,6813,3960,6847,4016,6866,4065,6872,4108,6872,3614,6826,3571,6756,3516,6687,3471,6619,3436,6551,3410,6483,3394,6405,3389,6329,3399,6258,3424,6189,3464,6125,3520,6071,3583,6031,3651,6007,3723,5998,3798,6004,3878,6021,3946,6047,4015,6083,4085,6129,4155,6184,4225,6250,4296,6311,4353,6371,4403,6431,4445,6490,4480,6548,4507,6619,4531,6686,4545,6750,4549,6810,4542,6868,4526,6924,4499,6979,4461,7033,4413,7080,4359,7116,4303,7133,4263,7141,4244,7154,4183,7157,4120xm8170,3125l8165,3076,8153,3025,8134,2973,8109,2918,8079,2862,8041,2805,7980,2830,7799,2904,7831,2951,7855,2994,7873,3034,7884,3072,7887,3107,7881,3140,7866,3171,7843,3200,7812,3224,7778,3238,7740,3242,7700,3236,7653,3217,7600,3183,7538,3134,7469,3069,7417,3013,7375,2961,7344,2913,7324,2870,7311,2819,7312,2772,7325,2731,7352,2695,7367,2682,7384,2672,7402,2664,7422,2659,7442,2657,7464,2658,7486,2661,7509,2667,7524,2673,7542,2681,7563,2692,7586,2706,7705,2481,7622,2435,7543,2403,7469,2384,7400,2378,7333,2386,7269,2408,7206,2446,7146,2499,7092,2561,7054,2628,7030,2698,7021,2772,7027,2850,7044,2917,7070,2984,7106,3053,7153,3123,7209,3194,7276,3266,7341,3326,7404,3378,7467,3422,7529,3457,7590,3485,7662,3508,7730,3521,7791,3524,7847,3517,7900,3500,7952,3474,8004,3437,8056,3391,8094,3348,8125,3305,8147,3261,8161,3217,8169,3172,8170,3125xm8868,2409l8861,2345,8846,2280,8820,2213,8792,2158,8757,2102,8714,2045,8664,1986,8646,1967,8607,1926,8583,1903,8583,2397,8578,2437,8562,2474,8536,2507,8504,2533,8467,2548,8427,2552,8382,2546,8333,2528,8279,2496,8221,2451,8157,2392,8098,2328,8052,2269,8020,2215,8002,2166,7996,2121,8000,2081,8014,2045,8039,2013,8071,1988,8108,1972,8149,1967,8193,1972,8241,1990,8293,2019,8349,2062,8409,2117,8474,2186,8524,2249,8558,2305,8577,2354,8583,2397,8583,1903,8537,1860,8467,1805,8398,1760,8330,1725,8262,1699,8194,1683,8116,1678,8040,1688,7968,1713,7900,1754,7835,1809,7781,1873,7742,1940,7718,2012,7709,2088,7715,2167,7731,2236,7758,2305,7794,2374,7839,2444,7895,2515,7961,2585,8022,2643,8082,2692,8142,2734,8201,2769,8259,2796,8329,2821,8397,2834,8461,2838,8521,2831,8579,2815,8635,2788,8690,2750,8744,2702,8791,2648,8827,2592,8844,2552,8852,2533,8865,2472,8868,2409xm9348,2068l9025,1745,9132,1638,9182,1578,9188,1569,9216,1517,9233,1454,9233,1389,9217,1323,9194,1272,9187,1257,9142,1192,9084,1126,9020,1068,8957,1025,8948,1021,8948,1414,8947,1440,8938,1466,8921,1493,8896,1521,8849,1569,8654,1374,8710,1319,8737,1295,8763,1280,8788,1272,8812,1273,8836,1279,8859,1290,8881,1304,8902,1323,8920,1344,8934,1367,8943,1390,8948,1414,8948,1021,8895,996,8833,980,8773,979,8715,994,8659,1024,8605,1069,8282,1393,9153,2264,9348,2068xm10166,1251l9801,886,9748,736,9593,285,9540,135,9325,350,9353,420,9436,631,9492,771,9422,743,9211,660,9071,604,8854,820,9005,873,9456,1028,9606,1081,9971,1446,10166,1251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018048">
                <wp:simplePos x="0" y="0"/>
                <wp:positionH relativeFrom="page">
                  <wp:posOffset>896416</wp:posOffset>
                </wp:positionH>
                <wp:positionV relativeFrom="paragraph">
                  <wp:posOffset>101184</wp:posOffset>
                </wp:positionV>
                <wp:extent cx="5981065" cy="596455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5981065" cy="5964555"/>
                        </a:xfrm>
                        <a:custGeom>
                          <a:avLst/>
                          <a:gdLst/>
                          <a:ahLst/>
                          <a:cxnLst/>
                          <a:rect l="l" t="t" r="r" b="b"/>
                          <a:pathLst>
                            <a:path w="5981065" h="5964555">
                              <a:moveTo>
                                <a:pt x="5981065" y="4869891"/>
                              </a:moveTo>
                              <a:lnTo>
                                <a:pt x="0" y="4869891"/>
                              </a:lnTo>
                              <a:lnTo>
                                <a:pt x="0" y="5234432"/>
                              </a:lnTo>
                              <a:lnTo>
                                <a:pt x="0" y="5600192"/>
                              </a:lnTo>
                              <a:lnTo>
                                <a:pt x="0" y="5964428"/>
                              </a:lnTo>
                              <a:lnTo>
                                <a:pt x="5981065" y="5964428"/>
                              </a:lnTo>
                              <a:lnTo>
                                <a:pt x="5981065" y="5600192"/>
                              </a:lnTo>
                              <a:lnTo>
                                <a:pt x="5981065" y="5234432"/>
                              </a:lnTo>
                              <a:lnTo>
                                <a:pt x="5981065" y="4869891"/>
                              </a:lnTo>
                              <a:close/>
                            </a:path>
                            <a:path w="5981065" h="5964555">
                              <a:moveTo>
                                <a:pt x="5981065" y="2556141"/>
                              </a:moveTo>
                              <a:lnTo>
                                <a:pt x="0" y="2556141"/>
                              </a:lnTo>
                              <a:lnTo>
                                <a:pt x="0" y="2738971"/>
                              </a:lnTo>
                              <a:lnTo>
                                <a:pt x="0" y="2739009"/>
                              </a:lnTo>
                              <a:lnTo>
                                <a:pt x="0" y="4869815"/>
                              </a:lnTo>
                              <a:lnTo>
                                <a:pt x="5981065" y="4869815"/>
                              </a:lnTo>
                              <a:lnTo>
                                <a:pt x="5981065" y="2738971"/>
                              </a:lnTo>
                              <a:lnTo>
                                <a:pt x="5981065" y="2556141"/>
                              </a:lnTo>
                              <a:close/>
                            </a:path>
                            <a:path w="5981065" h="5964555">
                              <a:moveTo>
                                <a:pt x="5981065" y="730084"/>
                              </a:moveTo>
                              <a:lnTo>
                                <a:pt x="0" y="730084"/>
                              </a:lnTo>
                              <a:lnTo>
                                <a:pt x="0" y="1096137"/>
                              </a:lnTo>
                              <a:lnTo>
                                <a:pt x="0" y="1460373"/>
                              </a:lnTo>
                              <a:lnTo>
                                <a:pt x="0" y="1826133"/>
                              </a:lnTo>
                              <a:lnTo>
                                <a:pt x="0" y="2190369"/>
                              </a:lnTo>
                              <a:lnTo>
                                <a:pt x="0" y="2556129"/>
                              </a:lnTo>
                              <a:lnTo>
                                <a:pt x="5981065" y="2556129"/>
                              </a:lnTo>
                              <a:lnTo>
                                <a:pt x="5981065" y="2190369"/>
                              </a:lnTo>
                              <a:lnTo>
                                <a:pt x="5981065" y="1826133"/>
                              </a:lnTo>
                              <a:lnTo>
                                <a:pt x="5981065" y="1460373"/>
                              </a:lnTo>
                              <a:lnTo>
                                <a:pt x="5981065" y="1096137"/>
                              </a:lnTo>
                              <a:lnTo>
                                <a:pt x="5981065" y="730084"/>
                              </a:lnTo>
                              <a:close/>
                            </a:path>
                            <a:path w="5981065" h="5964555">
                              <a:moveTo>
                                <a:pt x="5981065" y="365772"/>
                              </a:moveTo>
                              <a:lnTo>
                                <a:pt x="0" y="365772"/>
                              </a:lnTo>
                              <a:lnTo>
                                <a:pt x="0" y="729996"/>
                              </a:lnTo>
                              <a:lnTo>
                                <a:pt x="5981065" y="729996"/>
                              </a:lnTo>
                              <a:lnTo>
                                <a:pt x="5981065" y="365772"/>
                              </a:lnTo>
                              <a:close/>
                            </a:path>
                            <a:path w="5981065" h="5964555">
                              <a:moveTo>
                                <a:pt x="5981065" y="0"/>
                              </a:moveTo>
                              <a:lnTo>
                                <a:pt x="0" y="0"/>
                              </a:lnTo>
                              <a:lnTo>
                                <a:pt x="0" y="365760"/>
                              </a:lnTo>
                              <a:lnTo>
                                <a:pt x="5981065" y="365760"/>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7.967295pt;width:470.95pt;height:469.65pt;mso-position-horizontal-relative:page;mso-position-vertical-relative:paragraph;z-index:-25298432" id="docshape34" coordorigin="1412,159" coordsize="9419,9393" path="m10831,7828l1412,7828,1412,8403,1412,8979,1412,9552,10831,9552,10831,8979,10831,8403,10831,7828xm10831,4185l1412,4185,1412,4473,1412,4473,1412,5208,1412,5942,1412,6676,1412,7252,1412,7828,10831,7828,10831,7252,10831,6676,10831,5942,10831,5208,10831,4473,10831,4473,10831,4185xm10831,1309l1412,1309,1412,1886,1412,2459,1412,3035,1412,3609,1412,4185,10831,4185,10831,3609,10831,3035,10831,2459,10831,1886,10831,1309xm10831,735l1412,735,1412,1309,10831,1309,10831,735xm10831,159l1412,159,1412,735,10831,735,10831,159xe" filled="true" fillcolor="#ffffff" stroked="false">
                <v:path arrowok="t"/>
                <v:fill type="solid"/>
                <w10:wrap type="none"/>
              </v:shape>
            </w:pict>
          </mc:Fallback>
        </mc:AlternateContent>
      </w:r>
      <w:r>
        <w:rPr>
          <w:sz w:val="25"/>
        </w:rPr>
        <w:t>Ascertain</w:t>
      </w:r>
      <w:r>
        <w:rPr>
          <w:spacing w:val="-8"/>
          <w:sz w:val="25"/>
        </w:rPr>
        <w:t> </w:t>
      </w:r>
      <w:r>
        <w:rPr>
          <w:sz w:val="25"/>
        </w:rPr>
        <w:t>the</w:t>
      </w:r>
      <w:r>
        <w:rPr>
          <w:spacing w:val="-7"/>
          <w:sz w:val="25"/>
        </w:rPr>
        <w:t> </w:t>
      </w:r>
      <w:r>
        <w:rPr>
          <w:sz w:val="25"/>
        </w:rPr>
        <w:t>effect</w:t>
      </w:r>
      <w:r>
        <w:rPr>
          <w:spacing w:val="-7"/>
          <w:sz w:val="25"/>
        </w:rPr>
        <w:t> </w:t>
      </w:r>
      <w:r>
        <w:rPr>
          <w:sz w:val="25"/>
        </w:rPr>
        <w:t>offoreign</w:t>
      </w:r>
      <w:r>
        <w:rPr>
          <w:spacing w:val="-8"/>
          <w:sz w:val="25"/>
        </w:rPr>
        <w:t> </w:t>
      </w:r>
      <w:r>
        <w:rPr>
          <w:sz w:val="25"/>
        </w:rPr>
        <w:t>direct</w:t>
      </w:r>
      <w:r>
        <w:rPr>
          <w:spacing w:val="-7"/>
          <w:sz w:val="25"/>
        </w:rPr>
        <w:t> </w:t>
      </w:r>
      <w:r>
        <w:rPr>
          <w:sz w:val="25"/>
        </w:rPr>
        <w:t>investment</w:t>
      </w:r>
      <w:r>
        <w:rPr>
          <w:spacing w:val="-7"/>
          <w:sz w:val="25"/>
        </w:rPr>
        <w:t> </w:t>
      </w:r>
      <w:r>
        <w:rPr>
          <w:sz w:val="25"/>
        </w:rPr>
        <w:t>inflow</w:t>
      </w:r>
      <w:r>
        <w:rPr>
          <w:spacing w:val="-7"/>
          <w:sz w:val="25"/>
        </w:rPr>
        <w:t> </w:t>
      </w:r>
      <w:r>
        <w:rPr>
          <w:sz w:val="25"/>
        </w:rPr>
        <w:t>on</w:t>
      </w:r>
      <w:r>
        <w:rPr>
          <w:spacing w:val="-8"/>
          <w:sz w:val="25"/>
        </w:rPr>
        <w:t> </w:t>
      </w:r>
      <w:r>
        <w:rPr>
          <w:sz w:val="25"/>
        </w:rPr>
        <w:t>economic</w:t>
      </w:r>
      <w:r>
        <w:rPr>
          <w:spacing w:val="-7"/>
          <w:sz w:val="25"/>
        </w:rPr>
        <w:t> </w:t>
      </w:r>
      <w:r>
        <w:rPr>
          <w:sz w:val="25"/>
        </w:rPr>
        <w:t>growth</w:t>
      </w:r>
      <w:r>
        <w:rPr>
          <w:spacing w:val="-7"/>
          <w:sz w:val="25"/>
        </w:rPr>
        <w:t> </w:t>
      </w:r>
      <w:r>
        <w:rPr>
          <w:sz w:val="25"/>
        </w:rPr>
        <w:t>in</w:t>
      </w:r>
      <w:r>
        <w:rPr>
          <w:spacing w:val="-8"/>
          <w:sz w:val="25"/>
        </w:rPr>
        <w:t> </w:t>
      </w:r>
      <w:r>
        <w:rPr>
          <w:spacing w:val="-2"/>
          <w:sz w:val="25"/>
        </w:rPr>
        <w:t>Nigeria.</w:t>
      </w:r>
    </w:p>
    <w:p>
      <w:pPr>
        <w:pStyle w:val="BodyText"/>
        <w:spacing w:before="1"/>
        <w:ind w:left="0"/>
      </w:pPr>
    </w:p>
    <w:p>
      <w:pPr>
        <w:pStyle w:val="ListParagraph"/>
        <w:numPr>
          <w:ilvl w:val="0"/>
          <w:numId w:val="11"/>
        </w:numPr>
        <w:tabs>
          <w:tab w:pos="579" w:val="left" w:leader="none"/>
        </w:tabs>
        <w:spacing w:line="240" w:lineRule="auto" w:before="0" w:after="0"/>
        <w:ind w:left="579" w:right="0" w:hanging="359"/>
        <w:jc w:val="left"/>
        <w:rPr>
          <w:sz w:val="25"/>
        </w:rPr>
      </w:pPr>
      <w:r>
        <w:rPr>
          <w:sz w:val="25"/>
        </w:rPr>
        <w:t>Determine</w:t>
      </w:r>
      <w:r>
        <w:rPr>
          <w:spacing w:val="56"/>
          <w:sz w:val="25"/>
        </w:rPr>
        <w:t> </w:t>
      </w:r>
      <w:r>
        <w:rPr>
          <w:sz w:val="25"/>
        </w:rPr>
        <w:t>the</w:t>
      </w:r>
      <w:r>
        <w:rPr>
          <w:spacing w:val="56"/>
          <w:sz w:val="25"/>
        </w:rPr>
        <w:t> </w:t>
      </w:r>
      <w:r>
        <w:rPr>
          <w:sz w:val="25"/>
        </w:rPr>
        <w:t>effect</w:t>
      </w:r>
      <w:r>
        <w:rPr>
          <w:spacing w:val="56"/>
          <w:sz w:val="25"/>
        </w:rPr>
        <w:t> </w:t>
      </w:r>
      <w:r>
        <w:rPr>
          <w:sz w:val="25"/>
        </w:rPr>
        <w:t>of</w:t>
      </w:r>
      <w:r>
        <w:rPr>
          <w:spacing w:val="57"/>
          <w:sz w:val="25"/>
        </w:rPr>
        <w:t> </w:t>
      </w:r>
      <w:r>
        <w:rPr>
          <w:sz w:val="25"/>
        </w:rPr>
        <w:t>foreign</w:t>
      </w:r>
      <w:r>
        <w:rPr>
          <w:spacing w:val="55"/>
          <w:sz w:val="25"/>
        </w:rPr>
        <w:t> </w:t>
      </w:r>
      <w:r>
        <w:rPr>
          <w:sz w:val="25"/>
        </w:rPr>
        <w:t>portfolio</w:t>
      </w:r>
      <w:r>
        <w:rPr>
          <w:spacing w:val="57"/>
          <w:sz w:val="25"/>
        </w:rPr>
        <w:t> </w:t>
      </w:r>
      <w:r>
        <w:rPr>
          <w:sz w:val="25"/>
        </w:rPr>
        <w:t>investment</w:t>
      </w:r>
      <w:r>
        <w:rPr>
          <w:spacing w:val="56"/>
          <w:sz w:val="25"/>
        </w:rPr>
        <w:t> </w:t>
      </w:r>
      <w:r>
        <w:rPr>
          <w:sz w:val="25"/>
        </w:rPr>
        <w:t>inflow</w:t>
      </w:r>
      <w:r>
        <w:rPr>
          <w:spacing w:val="57"/>
          <w:sz w:val="25"/>
        </w:rPr>
        <w:t> </w:t>
      </w:r>
      <w:r>
        <w:rPr>
          <w:sz w:val="25"/>
        </w:rPr>
        <w:t>on</w:t>
      </w:r>
      <w:r>
        <w:rPr>
          <w:spacing w:val="56"/>
          <w:sz w:val="25"/>
        </w:rPr>
        <w:t> </w:t>
      </w:r>
      <w:r>
        <w:rPr>
          <w:sz w:val="25"/>
        </w:rPr>
        <w:t>economic</w:t>
      </w:r>
      <w:r>
        <w:rPr>
          <w:spacing w:val="57"/>
          <w:sz w:val="25"/>
        </w:rPr>
        <w:t> </w:t>
      </w:r>
      <w:r>
        <w:rPr>
          <w:sz w:val="25"/>
        </w:rPr>
        <w:t>growth</w:t>
      </w:r>
      <w:r>
        <w:rPr>
          <w:spacing w:val="56"/>
          <w:sz w:val="25"/>
        </w:rPr>
        <w:t> </w:t>
      </w:r>
      <w:r>
        <w:rPr>
          <w:spacing w:val="-7"/>
          <w:sz w:val="25"/>
        </w:rPr>
        <w:t>in</w:t>
      </w:r>
    </w:p>
    <w:p>
      <w:pPr>
        <w:pStyle w:val="BodyText"/>
        <w:spacing w:before="287"/>
        <w:ind w:left="580"/>
      </w:pPr>
      <w:r>
        <w:rPr>
          <w:spacing w:val="-2"/>
        </w:rPr>
        <w:t>Nigeria.</w:t>
      </w:r>
    </w:p>
    <w:p>
      <w:pPr>
        <w:pStyle w:val="BodyText"/>
        <w:spacing w:before="1"/>
        <w:ind w:left="0"/>
      </w:pPr>
    </w:p>
    <w:p>
      <w:pPr>
        <w:pStyle w:val="ListParagraph"/>
        <w:numPr>
          <w:ilvl w:val="0"/>
          <w:numId w:val="11"/>
        </w:numPr>
        <w:tabs>
          <w:tab w:pos="579" w:val="left" w:leader="none"/>
        </w:tabs>
        <w:spacing w:line="240" w:lineRule="auto" w:before="0" w:after="0"/>
        <w:ind w:left="579" w:right="0" w:hanging="359"/>
        <w:jc w:val="left"/>
        <w:rPr>
          <w:sz w:val="25"/>
        </w:rPr>
      </w:pPr>
      <w:r>
        <w:rPr>
          <w:sz w:val="25"/>
        </w:rPr>
        <w:t>Investigate</w:t>
      </w:r>
      <w:r>
        <w:rPr>
          <w:spacing w:val="-8"/>
          <w:sz w:val="25"/>
        </w:rPr>
        <w:t> </w:t>
      </w:r>
      <w:r>
        <w:rPr>
          <w:sz w:val="25"/>
        </w:rPr>
        <w:t>the</w:t>
      </w:r>
      <w:r>
        <w:rPr>
          <w:spacing w:val="-7"/>
          <w:sz w:val="25"/>
        </w:rPr>
        <w:t> </w:t>
      </w:r>
      <w:r>
        <w:rPr>
          <w:sz w:val="25"/>
        </w:rPr>
        <w:t>effect</w:t>
      </w:r>
      <w:r>
        <w:rPr>
          <w:spacing w:val="-8"/>
          <w:sz w:val="25"/>
        </w:rPr>
        <w:t> </w:t>
      </w:r>
      <w:r>
        <w:rPr>
          <w:sz w:val="25"/>
        </w:rPr>
        <w:t>of</w:t>
      </w:r>
      <w:r>
        <w:rPr>
          <w:spacing w:val="-6"/>
          <w:sz w:val="25"/>
        </w:rPr>
        <w:t> </w:t>
      </w:r>
      <w:r>
        <w:rPr>
          <w:sz w:val="25"/>
        </w:rPr>
        <w:t>trade</w:t>
      </w:r>
      <w:r>
        <w:rPr>
          <w:spacing w:val="-8"/>
          <w:sz w:val="25"/>
        </w:rPr>
        <w:t> </w:t>
      </w:r>
      <w:r>
        <w:rPr>
          <w:sz w:val="25"/>
        </w:rPr>
        <w:t>openness</w:t>
      </w:r>
      <w:r>
        <w:rPr>
          <w:spacing w:val="-4"/>
          <w:sz w:val="25"/>
        </w:rPr>
        <w:t> </w:t>
      </w:r>
      <w:r>
        <w:rPr>
          <w:sz w:val="25"/>
        </w:rPr>
        <w:t>on</w:t>
      </w:r>
      <w:r>
        <w:rPr>
          <w:spacing w:val="-8"/>
          <w:sz w:val="25"/>
        </w:rPr>
        <w:t> </w:t>
      </w:r>
      <w:r>
        <w:rPr>
          <w:sz w:val="25"/>
        </w:rPr>
        <w:t>economic</w:t>
      </w:r>
      <w:r>
        <w:rPr>
          <w:spacing w:val="-7"/>
          <w:sz w:val="25"/>
        </w:rPr>
        <w:t> </w:t>
      </w:r>
      <w:r>
        <w:rPr>
          <w:sz w:val="25"/>
        </w:rPr>
        <w:t>growthin</w:t>
      </w:r>
      <w:r>
        <w:rPr>
          <w:spacing w:val="-8"/>
          <w:sz w:val="25"/>
        </w:rPr>
        <w:t> </w:t>
      </w:r>
      <w:r>
        <w:rPr>
          <w:spacing w:val="-2"/>
          <w:sz w:val="25"/>
        </w:rPr>
        <w:t>Nigeria.</w:t>
      </w:r>
    </w:p>
    <w:p>
      <w:pPr>
        <w:pStyle w:val="ListParagraph"/>
        <w:numPr>
          <w:ilvl w:val="0"/>
          <w:numId w:val="11"/>
        </w:numPr>
        <w:tabs>
          <w:tab w:pos="579" w:val="left" w:leader="none"/>
        </w:tabs>
        <w:spacing w:line="240" w:lineRule="auto" w:before="286" w:after="0"/>
        <w:ind w:left="579" w:right="0" w:hanging="359"/>
        <w:jc w:val="left"/>
        <w:rPr>
          <w:sz w:val="25"/>
        </w:rPr>
      </w:pPr>
      <w:r>
        <w:rPr>
          <w:sz w:val="25"/>
        </w:rPr>
        <w:t>Evaluate</w:t>
      </w:r>
      <w:r>
        <w:rPr>
          <w:spacing w:val="-7"/>
          <w:sz w:val="25"/>
        </w:rPr>
        <w:t> </w:t>
      </w:r>
      <w:r>
        <w:rPr>
          <w:sz w:val="25"/>
        </w:rPr>
        <w:t>the</w:t>
      </w:r>
      <w:r>
        <w:rPr>
          <w:spacing w:val="-7"/>
          <w:sz w:val="25"/>
        </w:rPr>
        <w:t> </w:t>
      </w:r>
      <w:r>
        <w:rPr>
          <w:sz w:val="25"/>
        </w:rPr>
        <w:t>effect</w:t>
      </w:r>
      <w:r>
        <w:rPr>
          <w:spacing w:val="-7"/>
          <w:sz w:val="25"/>
        </w:rPr>
        <w:t> </w:t>
      </w:r>
      <w:r>
        <w:rPr>
          <w:sz w:val="25"/>
        </w:rPr>
        <w:t>of</w:t>
      </w:r>
      <w:r>
        <w:rPr>
          <w:spacing w:val="-6"/>
          <w:sz w:val="25"/>
        </w:rPr>
        <w:t> </w:t>
      </w:r>
      <w:r>
        <w:rPr>
          <w:sz w:val="25"/>
        </w:rPr>
        <w:t>financial</w:t>
      </w:r>
      <w:r>
        <w:rPr>
          <w:spacing w:val="-6"/>
          <w:sz w:val="25"/>
        </w:rPr>
        <w:t> </w:t>
      </w:r>
      <w:r>
        <w:rPr>
          <w:sz w:val="25"/>
        </w:rPr>
        <w:t>deepening</w:t>
      </w:r>
      <w:r>
        <w:rPr>
          <w:spacing w:val="-7"/>
          <w:sz w:val="25"/>
        </w:rPr>
        <w:t> </w:t>
      </w:r>
      <w:r>
        <w:rPr>
          <w:sz w:val="25"/>
        </w:rPr>
        <w:t>on</w:t>
      </w:r>
      <w:r>
        <w:rPr>
          <w:spacing w:val="-4"/>
          <w:sz w:val="25"/>
        </w:rPr>
        <w:t> </w:t>
      </w:r>
      <w:r>
        <w:rPr>
          <w:sz w:val="25"/>
        </w:rPr>
        <w:t>economic</w:t>
      </w:r>
      <w:r>
        <w:rPr>
          <w:spacing w:val="-7"/>
          <w:sz w:val="25"/>
        </w:rPr>
        <w:t> </w:t>
      </w:r>
      <w:r>
        <w:rPr>
          <w:sz w:val="25"/>
        </w:rPr>
        <w:t>growth</w:t>
      </w:r>
      <w:r>
        <w:rPr>
          <w:spacing w:val="-7"/>
          <w:sz w:val="25"/>
        </w:rPr>
        <w:t> </w:t>
      </w:r>
      <w:r>
        <w:rPr>
          <w:sz w:val="25"/>
        </w:rPr>
        <w:t>in</w:t>
      </w:r>
      <w:r>
        <w:rPr>
          <w:spacing w:val="-6"/>
          <w:sz w:val="25"/>
        </w:rPr>
        <w:t> </w:t>
      </w:r>
      <w:r>
        <w:rPr>
          <w:spacing w:val="-2"/>
          <w:sz w:val="25"/>
        </w:rPr>
        <w:t>Nigeria.</w:t>
      </w:r>
    </w:p>
    <w:p>
      <w:pPr>
        <w:pStyle w:val="BodyText"/>
        <w:spacing w:before="1"/>
        <w:ind w:left="0"/>
      </w:pPr>
    </w:p>
    <w:p>
      <w:pPr>
        <w:pStyle w:val="ListParagraph"/>
        <w:numPr>
          <w:ilvl w:val="0"/>
          <w:numId w:val="11"/>
        </w:numPr>
        <w:tabs>
          <w:tab w:pos="579" w:val="left" w:leader="none"/>
        </w:tabs>
        <w:spacing w:line="240" w:lineRule="auto" w:before="0" w:after="0"/>
        <w:ind w:left="579" w:right="0" w:hanging="359"/>
        <w:jc w:val="left"/>
        <w:rPr>
          <w:sz w:val="25"/>
        </w:rPr>
      </w:pPr>
      <w:r>
        <w:rPr>
          <w:sz w:val="25"/>
        </w:rPr>
        <w:t>Ascertain</w:t>
      </w:r>
      <w:r>
        <w:rPr>
          <w:spacing w:val="-8"/>
          <w:sz w:val="25"/>
        </w:rPr>
        <w:t> </w:t>
      </w:r>
      <w:r>
        <w:rPr>
          <w:sz w:val="25"/>
        </w:rPr>
        <w:t>the</w:t>
      </w:r>
      <w:r>
        <w:rPr>
          <w:spacing w:val="-8"/>
          <w:sz w:val="25"/>
        </w:rPr>
        <w:t> </w:t>
      </w:r>
      <w:r>
        <w:rPr>
          <w:sz w:val="25"/>
        </w:rPr>
        <w:t>effect</w:t>
      </w:r>
      <w:r>
        <w:rPr>
          <w:spacing w:val="-8"/>
          <w:sz w:val="25"/>
        </w:rPr>
        <w:t> </w:t>
      </w:r>
      <w:r>
        <w:rPr>
          <w:sz w:val="25"/>
        </w:rPr>
        <w:t>of</w:t>
      </w:r>
      <w:r>
        <w:rPr>
          <w:spacing w:val="-7"/>
          <w:sz w:val="25"/>
        </w:rPr>
        <w:t> </w:t>
      </w:r>
      <w:r>
        <w:rPr>
          <w:sz w:val="25"/>
        </w:rPr>
        <w:t>foreign</w:t>
      </w:r>
      <w:r>
        <w:rPr>
          <w:spacing w:val="-6"/>
          <w:sz w:val="25"/>
        </w:rPr>
        <w:t> </w:t>
      </w:r>
      <w:r>
        <w:rPr>
          <w:sz w:val="25"/>
        </w:rPr>
        <w:t>remittances</w:t>
      </w:r>
      <w:r>
        <w:rPr>
          <w:spacing w:val="-6"/>
          <w:sz w:val="25"/>
        </w:rPr>
        <w:t> </w:t>
      </w:r>
      <w:r>
        <w:rPr>
          <w:sz w:val="25"/>
        </w:rPr>
        <w:t>on</w:t>
      </w:r>
      <w:r>
        <w:rPr>
          <w:spacing w:val="-6"/>
          <w:sz w:val="25"/>
        </w:rPr>
        <w:t> </w:t>
      </w:r>
      <w:r>
        <w:rPr>
          <w:sz w:val="25"/>
        </w:rPr>
        <w:t>economic</w:t>
      </w:r>
      <w:r>
        <w:rPr>
          <w:spacing w:val="-8"/>
          <w:sz w:val="25"/>
        </w:rPr>
        <w:t> </w:t>
      </w:r>
      <w:r>
        <w:rPr>
          <w:sz w:val="25"/>
        </w:rPr>
        <w:t>growthin</w:t>
      </w:r>
      <w:r>
        <w:rPr>
          <w:spacing w:val="-8"/>
          <w:sz w:val="25"/>
        </w:rPr>
        <w:t> </w:t>
      </w:r>
      <w:r>
        <w:rPr>
          <w:spacing w:val="-2"/>
          <w:sz w:val="25"/>
        </w:rPr>
        <w:t>Nigeria.</w:t>
      </w:r>
    </w:p>
    <w:p>
      <w:pPr>
        <w:pStyle w:val="ListParagraph"/>
        <w:numPr>
          <w:ilvl w:val="0"/>
          <w:numId w:val="11"/>
        </w:numPr>
        <w:tabs>
          <w:tab w:pos="579" w:val="left" w:leader="none"/>
        </w:tabs>
        <w:spacing w:line="240" w:lineRule="auto" w:before="287" w:after="0"/>
        <w:ind w:left="579" w:right="0" w:hanging="359"/>
        <w:jc w:val="left"/>
        <w:rPr>
          <w:sz w:val="25"/>
        </w:rPr>
      </w:pPr>
      <w:r>
        <w:rPr>
          <w:sz w:val="25"/>
        </w:rPr>
        <w:t>Examine</w:t>
      </w:r>
      <w:r>
        <w:rPr>
          <w:spacing w:val="-8"/>
          <w:sz w:val="25"/>
        </w:rPr>
        <w:t> </w:t>
      </w:r>
      <w:r>
        <w:rPr>
          <w:sz w:val="25"/>
        </w:rPr>
        <w:t>the</w:t>
      </w:r>
      <w:r>
        <w:rPr>
          <w:spacing w:val="-8"/>
          <w:sz w:val="25"/>
        </w:rPr>
        <w:t> </w:t>
      </w:r>
      <w:r>
        <w:rPr>
          <w:sz w:val="25"/>
        </w:rPr>
        <w:t>effect</w:t>
      </w:r>
      <w:r>
        <w:rPr>
          <w:spacing w:val="-7"/>
          <w:sz w:val="25"/>
        </w:rPr>
        <w:t> </w:t>
      </w:r>
      <w:r>
        <w:rPr>
          <w:sz w:val="25"/>
        </w:rPr>
        <w:t>of</w:t>
      </w:r>
      <w:r>
        <w:rPr>
          <w:spacing w:val="-5"/>
          <w:sz w:val="25"/>
        </w:rPr>
        <w:t> </w:t>
      </w:r>
      <w:r>
        <w:rPr>
          <w:sz w:val="25"/>
        </w:rPr>
        <w:t>official</w:t>
      </w:r>
      <w:r>
        <w:rPr>
          <w:spacing w:val="-8"/>
          <w:sz w:val="25"/>
        </w:rPr>
        <w:t> </w:t>
      </w:r>
      <w:r>
        <w:rPr>
          <w:sz w:val="25"/>
        </w:rPr>
        <w:t>development</w:t>
      </w:r>
      <w:r>
        <w:rPr>
          <w:spacing w:val="-7"/>
          <w:sz w:val="25"/>
        </w:rPr>
        <w:t> </w:t>
      </w:r>
      <w:r>
        <w:rPr>
          <w:sz w:val="25"/>
        </w:rPr>
        <w:t>assistance</w:t>
      </w:r>
      <w:r>
        <w:rPr>
          <w:spacing w:val="-8"/>
          <w:sz w:val="25"/>
        </w:rPr>
        <w:t> </w:t>
      </w:r>
      <w:r>
        <w:rPr>
          <w:sz w:val="25"/>
        </w:rPr>
        <w:t>on</w:t>
      </w:r>
      <w:r>
        <w:rPr>
          <w:spacing w:val="-7"/>
          <w:sz w:val="25"/>
        </w:rPr>
        <w:t> </w:t>
      </w:r>
      <w:r>
        <w:rPr>
          <w:sz w:val="25"/>
        </w:rPr>
        <w:t>economic</w:t>
      </w:r>
      <w:r>
        <w:rPr>
          <w:spacing w:val="-8"/>
          <w:sz w:val="25"/>
        </w:rPr>
        <w:t> </w:t>
      </w:r>
      <w:r>
        <w:rPr>
          <w:sz w:val="25"/>
        </w:rPr>
        <w:t>growthin</w:t>
      </w:r>
      <w:r>
        <w:rPr>
          <w:spacing w:val="-8"/>
          <w:sz w:val="25"/>
        </w:rPr>
        <w:t> </w:t>
      </w:r>
      <w:r>
        <w:rPr>
          <w:spacing w:val="-2"/>
          <w:sz w:val="25"/>
        </w:rPr>
        <w:t>Nigeria.</w:t>
      </w:r>
    </w:p>
    <w:p>
      <w:pPr>
        <w:pStyle w:val="BodyText"/>
        <w:ind w:left="0"/>
      </w:pPr>
    </w:p>
    <w:p>
      <w:pPr>
        <w:pStyle w:val="BodyText"/>
        <w:spacing w:before="162"/>
        <w:ind w:left="0"/>
      </w:pPr>
    </w:p>
    <w:p>
      <w:pPr>
        <w:pStyle w:val="Heading2"/>
        <w:numPr>
          <w:ilvl w:val="1"/>
          <w:numId w:val="10"/>
        </w:numPr>
        <w:tabs>
          <w:tab w:pos="593" w:val="left" w:leader="none"/>
        </w:tabs>
        <w:spacing w:line="240" w:lineRule="auto" w:before="0" w:after="0"/>
        <w:ind w:left="593" w:right="0" w:hanging="373"/>
        <w:jc w:val="left"/>
      </w:pPr>
      <w:bookmarkStart w:name="_TOC_250064" w:id="11"/>
      <w:r>
        <w:rPr/>
        <w:t>Research</w:t>
      </w:r>
      <w:r>
        <w:rPr>
          <w:spacing w:val="-11"/>
        </w:rPr>
        <w:t> </w:t>
      </w:r>
      <w:bookmarkEnd w:id="11"/>
      <w:r>
        <w:rPr>
          <w:spacing w:val="-2"/>
        </w:rPr>
        <w:t>Questions</w:t>
      </w:r>
    </w:p>
    <w:p>
      <w:pPr>
        <w:pStyle w:val="BodyText"/>
        <w:spacing w:before="160"/>
        <w:ind w:left="0"/>
        <w:rPr>
          <w:b/>
        </w:rPr>
      </w:pPr>
    </w:p>
    <w:p>
      <w:pPr>
        <w:pStyle w:val="BodyText"/>
      </w:pPr>
      <w:r>
        <w:rPr/>
        <w:t>The</w:t>
      </w:r>
      <w:r>
        <w:rPr>
          <w:spacing w:val="-8"/>
        </w:rPr>
        <w:t> </w:t>
      </w:r>
      <w:r>
        <w:rPr/>
        <w:t>following</w:t>
      </w:r>
      <w:r>
        <w:rPr>
          <w:spacing w:val="-7"/>
        </w:rPr>
        <w:t> </w:t>
      </w:r>
      <w:r>
        <w:rPr/>
        <w:t>research</w:t>
      </w:r>
      <w:r>
        <w:rPr>
          <w:spacing w:val="-8"/>
        </w:rPr>
        <w:t> </w:t>
      </w:r>
      <w:r>
        <w:rPr/>
        <w:t>questions</w:t>
      </w:r>
      <w:r>
        <w:rPr>
          <w:spacing w:val="-5"/>
        </w:rPr>
        <w:t> </w:t>
      </w:r>
      <w:r>
        <w:rPr/>
        <w:t>will</w:t>
      </w:r>
      <w:r>
        <w:rPr>
          <w:spacing w:val="-8"/>
        </w:rPr>
        <w:t> </w:t>
      </w:r>
      <w:r>
        <w:rPr/>
        <w:t>guide</w:t>
      </w:r>
      <w:r>
        <w:rPr>
          <w:spacing w:val="-7"/>
        </w:rPr>
        <w:t> </w:t>
      </w:r>
      <w:r>
        <w:rPr/>
        <w:t>this</w:t>
      </w:r>
      <w:r>
        <w:rPr>
          <w:spacing w:val="-6"/>
        </w:rPr>
        <w:t> </w:t>
      </w:r>
      <w:r>
        <w:rPr>
          <w:spacing w:val="-2"/>
        </w:rPr>
        <w:t>study:</w:t>
      </w:r>
    </w:p>
    <w:p>
      <w:pPr>
        <w:pStyle w:val="BodyText"/>
        <w:spacing w:before="159"/>
        <w:ind w:left="0"/>
      </w:pPr>
    </w:p>
    <w:p>
      <w:pPr>
        <w:pStyle w:val="ListParagraph"/>
        <w:numPr>
          <w:ilvl w:val="0"/>
          <w:numId w:val="12"/>
        </w:numPr>
        <w:tabs>
          <w:tab w:pos="579" w:val="left" w:leader="none"/>
        </w:tabs>
        <w:spacing w:line="240" w:lineRule="auto" w:before="0" w:after="0"/>
        <w:ind w:left="579" w:right="0" w:hanging="359"/>
        <w:jc w:val="left"/>
        <w:rPr>
          <w:sz w:val="25"/>
        </w:rPr>
      </w:pPr>
      <w:r>
        <w:rPr>
          <w:sz w:val="25"/>
        </w:rPr>
        <w:t>To</w:t>
      </w:r>
      <w:r>
        <w:rPr>
          <w:spacing w:val="-8"/>
          <w:sz w:val="25"/>
        </w:rPr>
        <w:t> </w:t>
      </w:r>
      <w:r>
        <w:rPr>
          <w:sz w:val="25"/>
        </w:rPr>
        <w:t>what</w:t>
      </w:r>
      <w:r>
        <w:rPr>
          <w:spacing w:val="-7"/>
          <w:sz w:val="25"/>
        </w:rPr>
        <w:t> </w:t>
      </w:r>
      <w:r>
        <w:rPr>
          <w:sz w:val="25"/>
        </w:rPr>
        <w:t>extent</w:t>
      </w:r>
      <w:r>
        <w:rPr>
          <w:spacing w:val="-7"/>
          <w:sz w:val="25"/>
        </w:rPr>
        <w:t> </w:t>
      </w:r>
      <w:r>
        <w:rPr>
          <w:sz w:val="25"/>
        </w:rPr>
        <w:t>does</w:t>
      </w:r>
      <w:r>
        <w:rPr>
          <w:spacing w:val="-7"/>
          <w:sz w:val="25"/>
        </w:rPr>
        <w:t> </w:t>
      </w:r>
      <w:r>
        <w:rPr>
          <w:sz w:val="25"/>
        </w:rPr>
        <w:t>foreign</w:t>
      </w:r>
      <w:r>
        <w:rPr>
          <w:spacing w:val="-7"/>
          <w:sz w:val="25"/>
        </w:rPr>
        <w:t> </w:t>
      </w:r>
      <w:r>
        <w:rPr>
          <w:sz w:val="25"/>
        </w:rPr>
        <w:t>direct</w:t>
      </w:r>
      <w:r>
        <w:rPr>
          <w:spacing w:val="-8"/>
          <w:sz w:val="25"/>
        </w:rPr>
        <w:t> </w:t>
      </w:r>
      <w:r>
        <w:rPr>
          <w:sz w:val="25"/>
        </w:rPr>
        <w:t>investment</w:t>
      </w:r>
      <w:r>
        <w:rPr>
          <w:spacing w:val="-7"/>
          <w:sz w:val="25"/>
        </w:rPr>
        <w:t> </w:t>
      </w:r>
      <w:r>
        <w:rPr>
          <w:sz w:val="25"/>
        </w:rPr>
        <w:t>inflow</w:t>
      </w:r>
      <w:r>
        <w:rPr>
          <w:spacing w:val="-4"/>
          <w:sz w:val="25"/>
        </w:rPr>
        <w:t> </w:t>
      </w:r>
      <w:r>
        <w:rPr>
          <w:sz w:val="25"/>
        </w:rPr>
        <w:t>affect</w:t>
      </w:r>
      <w:r>
        <w:rPr>
          <w:spacing w:val="-7"/>
          <w:sz w:val="25"/>
        </w:rPr>
        <w:t> </w:t>
      </w:r>
      <w:r>
        <w:rPr>
          <w:sz w:val="25"/>
        </w:rPr>
        <w:t>economic</w:t>
      </w:r>
      <w:r>
        <w:rPr>
          <w:spacing w:val="-7"/>
          <w:sz w:val="25"/>
        </w:rPr>
        <w:t> </w:t>
      </w:r>
      <w:r>
        <w:rPr>
          <w:sz w:val="25"/>
        </w:rPr>
        <w:t>growthin</w:t>
      </w:r>
      <w:r>
        <w:rPr>
          <w:spacing w:val="-8"/>
          <w:sz w:val="25"/>
        </w:rPr>
        <w:t> </w:t>
      </w:r>
      <w:r>
        <w:rPr>
          <w:spacing w:val="-2"/>
          <w:sz w:val="25"/>
        </w:rPr>
        <w:t>Nigeria?</w:t>
      </w:r>
    </w:p>
    <w:p>
      <w:pPr>
        <w:pStyle w:val="ListParagraph"/>
        <w:numPr>
          <w:ilvl w:val="0"/>
          <w:numId w:val="12"/>
        </w:numPr>
        <w:tabs>
          <w:tab w:pos="579" w:val="left" w:leader="none"/>
        </w:tabs>
        <w:spacing w:line="240" w:lineRule="auto" w:before="286" w:after="0"/>
        <w:ind w:left="579" w:right="0" w:hanging="359"/>
        <w:jc w:val="left"/>
        <w:rPr>
          <w:sz w:val="25"/>
        </w:rPr>
      </w:pPr>
      <w:r>
        <w:rPr>
          <w:sz w:val="25"/>
        </w:rPr>
        <w:t>How</w:t>
      </w:r>
      <w:r>
        <w:rPr>
          <w:spacing w:val="-8"/>
          <w:sz w:val="25"/>
        </w:rPr>
        <w:t> </w:t>
      </w:r>
      <w:r>
        <w:rPr>
          <w:sz w:val="25"/>
        </w:rPr>
        <w:t>does</w:t>
      </w:r>
      <w:r>
        <w:rPr>
          <w:spacing w:val="-7"/>
          <w:sz w:val="25"/>
        </w:rPr>
        <w:t> </w:t>
      </w:r>
      <w:r>
        <w:rPr>
          <w:sz w:val="25"/>
        </w:rPr>
        <w:t>foreign</w:t>
      </w:r>
      <w:r>
        <w:rPr>
          <w:spacing w:val="-7"/>
          <w:sz w:val="25"/>
        </w:rPr>
        <w:t> </w:t>
      </w:r>
      <w:r>
        <w:rPr>
          <w:sz w:val="25"/>
        </w:rPr>
        <w:t>portfolio</w:t>
      </w:r>
      <w:r>
        <w:rPr>
          <w:spacing w:val="-6"/>
          <w:sz w:val="25"/>
        </w:rPr>
        <w:t> </w:t>
      </w:r>
      <w:r>
        <w:rPr>
          <w:sz w:val="25"/>
        </w:rPr>
        <w:t>investment</w:t>
      </w:r>
      <w:r>
        <w:rPr>
          <w:spacing w:val="-7"/>
          <w:sz w:val="25"/>
        </w:rPr>
        <w:t> </w:t>
      </w:r>
      <w:r>
        <w:rPr>
          <w:sz w:val="25"/>
        </w:rPr>
        <w:t>inflow</w:t>
      </w:r>
      <w:r>
        <w:rPr>
          <w:spacing w:val="-8"/>
          <w:sz w:val="25"/>
        </w:rPr>
        <w:t> </w:t>
      </w:r>
      <w:r>
        <w:rPr>
          <w:sz w:val="25"/>
        </w:rPr>
        <w:t>affect</w:t>
      </w:r>
      <w:r>
        <w:rPr>
          <w:spacing w:val="-7"/>
          <w:sz w:val="25"/>
        </w:rPr>
        <w:t> </w:t>
      </w:r>
      <w:r>
        <w:rPr>
          <w:sz w:val="25"/>
        </w:rPr>
        <w:t>economic</w:t>
      </w:r>
      <w:r>
        <w:rPr>
          <w:spacing w:val="-8"/>
          <w:sz w:val="25"/>
        </w:rPr>
        <w:t> </w:t>
      </w:r>
      <w:r>
        <w:rPr>
          <w:sz w:val="25"/>
        </w:rPr>
        <w:t>growth</w:t>
      </w:r>
      <w:r>
        <w:rPr>
          <w:spacing w:val="-7"/>
          <w:sz w:val="25"/>
        </w:rPr>
        <w:t> </w:t>
      </w:r>
      <w:r>
        <w:rPr>
          <w:sz w:val="25"/>
        </w:rPr>
        <w:t>in</w:t>
      </w:r>
      <w:r>
        <w:rPr>
          <w:spacing w:val="-8"/>
          <w:sz w:val="25"/>
        </w:rPr>
        <w:t> </w:t>
      </w:r>
      <w:r>
        <w:rPr>
          <w:spacing w:val="-2"/>
          <w:sz w:val="25"/>
        </w:rPr>
        <w:t>Nigeria?</w:t>
      </w:r>
    </w:p>
    <w:p>
      <w:pPr>
        <w:pStyle w:val="BodyText"/>
        <w:spacing w:before="1"/>
        <w:ind w:left="0"/>
      </w:pPr>
    </w:p>
    <w:p>
      <w:pPr>
        <w:pStyle w:val="ListParagraph"/>
        <w:numPr>
          <w:ilvl w:val="0"/>
          <w:numId w:val="12"/>
        </w:numPr>
        <w:tabs>
          <w:tab w:pos="579" w:val="left" w:leader="none"/>
        </w:tabs>
        <w:spacing w:line="240" w:lineRule="auto" w:before="0" w:after="0"/>
        <w:ind w:left="579" w:right="0" w:hanging="359"/>
        <w:jc w:val="left"/>
        <w:rPr>
          <w:sz w:val="25"/>
        </w:rPr>
      </w:pPr>
      <w:r>
        <w:rPr>
          <w:sz w:val="25"/>
        </w:rPr>
        <w:t>To</w:t>
      </w:r>
      <w:r>
        <w:rPr>
          <w:spacing w:val="-8"/>
          <w:sz w:val="25"/>
        </w:rPr>
        <w:t> </w:t>
      </w:r>
      <w:r>
        <w:rPr>
          <w:sz w:val="25"/>
        </w:rPr>
        <w:t>what</w:t>
      </w:r>
      <w:r>
        <w:rPr>
          <w:spacing w:val="-7"/>
          <w:sz w:val="25"/>
        </w:rPr>
        <w:t> </w:t>
      </w:r>
      <w:r>
        <w:rPr>
          <w:sz w:val="25"/>
        </w:rPr>
        <w:t>extent</w:t>
      </w:r>
      <w:r>
        <w:rPr>
          <w:spacing w:val="-7"/>
          <w:sz w:val="25"/>
        </w:rPr>
        <w:t> </w:t>
      </w:r>
      <w:r>
        <w:rPr>
          <w:sz w:val="25"/>
        </w:rPr>
        <w:t>does</w:t>
      </w:r>
      <w:r>
        <w:rPr>
          <w:spacing w:val="-6"/>
          <w:sz w:val="25"/>
        </w:rPr>
        <w:t> </w:t>
      </w:r>
      <w:r>
        <w:rPr>
          <w:sz w:val="25"/>
        </w:rPr>
        <w:t>trade</w:t>
      </w:r>
      <w:r>
        <w:rPr>
          <w:spacing w:val="-7"/>
          <w:sz w:val="25"/>
        </w:rPr>
        <w:t> </w:t>
      </w:r>
      <w:r>
        <w:rPr>
          <w:sz w:val="25"/>
        </w:rPr>
        <w:t>openness</w:t>
      </w:r>
      <w:r>
        <w:rPr>
          <w:spacing w:val="-4"/>
          <w:sz w:val="25"/>
        </w:rPr>
        <w:t> </w:t>
      </w:r>
      <w:r>
        <w:rPr>
          <w:sz w:val="25"/>
        </w:rPr>
        <w:t>affect</w:t>
      </w:r>
      <w:r>
        <w:rPr>
          <w:spacing w:val="-7"/>
          <w:sz w:val="25"/>
        </w:rPr>
        <w:t> </w:t>
      </w:r>
      <w:r>
        <w:rPr>
          <w:sz w:val="25"/>
        </w:rPr>
        <w:t>economic</w:t>
      </w:r>
      <w:r>
        <w:rPr>
          <w:spacing w:val="-7"/>
          <w:sz w:val="25"/>
        </w:rPr>
        <w:t> </w:t>
      </w:r>
      <w:r>
        <w:rPr>
          <w:sz w:val="25"/>
        </w:rPr>
        <w:t>growthin</w:t>
      </w:r>
      <w:r>
        <w:rPr>
          <w:spacing w:val="-7"/>
          <w:sz w:val="25"/>
        </w:rPr>
        <w:t> </w:t>
      </w:r>
      <w:r>
        <w:rPr>
          <w:spacing w:val="-2"/>
          <w:sz w:val="25"/>
        </w:rPr>
        <w:t>Nigeria?</w:t>
      </w:r>
    </w:p>
    <w:p>
      <w:pPr>
        <w:pStyle w:val="BodyText"/>
        <w:spacing w:before="1"/>
        <w:ind w:left="0"/>
      </w:pPr>
    </w:p>
    <w:p>
      <w:pPr>
        <w:pStyle w:val="ListParagraph"/>
        <w:numPr>
          <w:ilvl w:val="0"/>
          <w:numId w:val="12"/>
        </w:numPr>
        <w:tabs>
          <w:tab w:pos="579" w:val="left" w:leader="none"/>
        </w:tabs>
        <w:spacing w:line="240" w:lineRule="auto" w:before="0" w:after="0"/>
        <w:ind w:left="579" w:right="0" w:hanging="359"/>
        <w:jc w:val="left"/>
        <w:rPr>
          <w:sz w:val="25"/>
        </w:rPr>
      </w:pPr>
      <w:r>
        <w:rPr>
          <w:sz w:val="25"/>
        </w:rPr>
        <w:t>To</w:t>
      </w:r>
      <w:r>
        <w:rPr>
          <w:spacing w:val="-8"/>
          <w:sz w:val="25"/>
        </w:rPr>
        <w:t> </w:t>
      </w:r>
      <w:r>
        <w:rPr>
          <w:sz w:val="25"/>
        </w:rPr>
        <w:t>what</w:t>
      </w:r>
      <w:r>
        <w:rPr>
          <w:spacing w:val="-8"/>
          <w:sz w:val="25"/>
        </w:rPr>
        <w:t> </w:t>
      </w:r>
      <w:r>
        <w:rPr>
          <w:sz w:val="25"/>
        </w:rPr>
        <w:t>extent</w:t>
      </w:r>
      <w:r>
        <w:rPr>
          <w:spacing w:val="-8"/>
          <w:sz w:val="25"/>
        </w:rPr>
        <w:t> </w:t>
      </w:r>
      <w:r>
        <w:rPr>
          <w:sz w:val="25"/>
        </w:rPr>
        <w:t>does</w:t>
      </w:r>
      <w:r>
        <w:rPr>
          <w:spacing w:val="-7"/>
          <w:sz w:val="25"/>
        </w:rPr>
        <w:t> </w:t>
      </w:r>
      <w:r>
        <w:rPr>
          <w:sz w:val="25"/>
        </w:rPr>
        <w:t>financial</w:t>
      </w:r>
      <w:r>
        <w:rPr>
          <w:spacing w:val="-7"/>
          <w:sz w:val="25"/>
        </w:rPr>
        <w:t> </w:t>
      </w:r>
      <w:r>
        <w:rPr>
          <w:sz w:val="25"/>
        </w:rPr>
        <w:t>deepening</w:t>
      </w:r>
      <w:r>
        <w:rPr>
          <w:spacing w:val="-8"/>
          <w:sz w:val="25"/>
        </w:rPr>
        <w:t> </w:t>
      </w:r>
      <w:r>
        <w:rPr>
          <w:sz w:val="25"/>
        </w:rPr>
        <w:t>affect</w:t>
      </w:r>
      <w:r>
        <w:rPr>
          <w:spacing w:val="-3"/>
          <w:sz w:val="25"/>
        </w:rPr>
        <w:t> </w:t>
      </w:r>
      <w:r>
        <w:rPr>
          <w:sz w:val="25"/>
        </w:rPr>
        <w:t>economic</w:t>
      </w:r>
      <w:r>
        <w:rPr>
          <w:spacing w:val="-7"/>
          <w:sz w:val="25"/>
        </w:rPr>
        <w:t> </w:t>
      </w:r>
      <w:r>
        <w:rPr>
          <w:sz w:val="25"/>
        </w:rPr>
        <w:t>growthin</w:t>
      </w:r>
      <w:r>
        <w:rPr>
          <w:spacing w:val="-8"/>
          <w:sz w:val="25"/>
        </w:rPr>
        <w:t> </w:t>
      </w:r>
      <w:r>
        <w:rPr>
          <w:spacing w:val="-2"/>
          <w:sz w:val="25"/>
        </w:rPr>
        <w:t>Nigeria?</w:t>
      </w:r>
    </w:p>
    <w:p>
      <w:pPr>
        <w:pStyle w:val="BodyText"/>
        <w:ind w:left="0"/>
      </w:pPr>
    </w:p>
    <w:p>
      <w:pPr>
        <w:pStyle w:val="ListParagraph"/>
        <w:numPr>
          <w:ilvl w:val="0"/>
          <w:numId w:val="12"/>
        </w:numPr>
        <w:tabs>
          <w:tab w:pos="579" w:val="left" w:leader="none"/>
        </w:tabs>
        <w:spacing w:line="240" w:lineRule="auto" w:before="0" w:after="0"/>
        <w:ind w:left="579" w:right="0" w:hanging="359"/>
        <w:jc w:val="left"/>
        <w:rPr>
          <w:sz w:val="25"/>
        </w:rPr>
      </w:pPr>
      <w:r>
        <w:rPr>
          <w:sz w:val="25"/>
        </w:rPr>
        <w:t>How</w:t>
      </w:r>
      <w:r>
        <w:rPr>
          <w:spacing w:val="-8"/>
          <w:sz w:val="25"/>
        </w:rPr>
        <w:t> </w:t>
      </w:r>
      <w:r>
        <w:rPr>
          <w:sz w:val="25"/>
        </w:rPr>
        <w:t>does</w:t>
      </w:r>
      <w:r>
        <w:rPr>
          <w:spacing w:val="-7"/>
          <w:sz w:val="25"/>
        </w:rPr>
        <w:t> </w:t>
      </w:r>
      <w:r>
        <w:rPr>
          <w:sz w:val="25"/>
        </w:rPr>
        <w:t>foreign</w:t>
      </w:r>
      <w:r>
        <w:rPr>
          <w:spacing w:val="-8"/>
          <w:sz w:val="25"/>
        </w:rPr>
        <w:t> </w:t>
      </w:r>
      <w:r>
        <w:rPr>
          <w:sz w:val="25"/>
        </w:rPr>
        <w:t>remittances</w:t>
      </w:r>
      <w:r>
        <w:rPr>
          <w:spacing w:val="-5"/>
          <w:sz w:val="25"/>
        </w:rPr>
        <w:t> </w:t>
      </w:r>
      <w:r>
        <w:rPr>
          <w:sz w:val="25"/>
        </w:rPr>
        <w:t>affects</w:t>
      </w:r>
      <w:r>
        <w:rPr>
          <w:spacing w:val="-6"/>
          <w:sz w:val="25"/>
        </w:rPr>
        <w:t> </w:t>
      </w:r>
      <w:r>
        <w:rPr>
          <w:sz w:val="25"/>
        </w:rPr>
        <w:t>economic</w:t>
      </w:r>
      <w:r>
        <w:rPr>
          <w:spacing w:val="-5"/>
          <w:sz w:val="25"/>
        </w:rPr>
        <w:t> </w:t>
      </w:r>
      <w:r>
        <w:rPr>
          <w:sz w:val="25"/>
        </w:rPr>
        <w:t>growth</w:t>
      </w:r>
      <w:r>
        <w:rPr>
          <w:spacing w:val="-8"/>
          <w:sz w:val="25"/>
        </w:rPr>
        <w:t> </w:t>
      </w:r>
      <w:r>
        <w:rPr>
          <w:sz w:val="25"/>
        </w:rPr>
        <w:t>in</w:t>
      </w:r>
      <w:r>
        <w:rPr>
          <w:spacing w:val="-8"/>
          <w:sz w:val="25"/>
        </w:rPr>
        <w:t> </w:t>
      </w:r>
      <w:r>
        <w:rPr>
          <w:spacing w:val="-2"/>
          <w:sz w:val="25"/>
        </w:rPr>
        <w:t>Nigeria?</w:t>
      </w:r>
    </w:p>
    <w:p>
      <w:pPr>
        <w:pStyle w:val="BodyText"/>
        <w:spacing w:before="1"/>
        <w:ind w:left="0"/>
      </w:pPr>
    </w:p>
    <w:p>
      <w:pPr>
        <w:pStyle w:val="ListParagraph"/>
        <w:numPr>
          <w:ilvl w:val="0"/>
          <w:numId w:val="12"/>
        </w:numPr>
        <w:tabs>
          <w:tab w:pos="579" w:val="left" w:leader="none"/>
        </w:tabs>
        <w:spacing w:line="240" w:lineRule="auto" w:before="0" w:after="0"/>
        <w:ind w:left="579" w:right="0" w:hanging="359"/>
        <w:jc w:val="left"/>
        <w:rPr>
          <w:sz w:val="25"/>
        </w:rPr>
      </w:pPr>
      <w:r>
        <w:rPr>
          <w:sz w:val="25"/>
        </w:rPr>
        <w:t>To</w:t>
      </w:r>
      <w:r>
        <w:rPr>
          <w:spacing w:val="-8"/>
          <w:sz w:val="25"/>
        </w:rPr>
        <w:t> </w:t>
      </w:r>
      <w:r>
        <w:rPr>
          <w:sz w:val="25"/>
        </w:rPr>
        <w:t>what</w:t>
      </w:r>
      <w:r>
        <w:rPr>
          <w:spacing w:val="-8"/>
          <w:sz w:val="25"/>
        </w:rPr>
        <w:t> </w:t>
      </w:r>
      <w:r>
        <w:rPr>
          <w:sz w:val="25"/>
        </w:rPr>
        <w:t>extent</w:t>
      </w:r>
      <w:r>
        <w:rPr>
          <w:spacing w:val="-8"/>
          <w:sz w:val="25"/>
        </w:rPr>
        <w:t> </w:t>
      </w:r>
      <w:r>
        <w:rPr>
          <w:sz w:val="25"/>
        </w:rPr>
        <w:t>does</w:t>
      </w:r>
      <w:r>
        <w:rPr>
          <w:spacing w:val="-6"/>
          <w:sz w:val="25"/>
        </w:rPr>
        <w:t> </w:t>
      </w:r>
      <w:r>
        <w:rPr>
          <w:sz w:val="25"/>
        </w:rPr>
        <w:t>official</w:t>
      </w:r>
      <w:r>
        <w:rPr>
          <w:spacing w:val="-8"/>
          <w:sz w:val="25"/>
        </w:rPr>
        <w:t> </w:t>
      </w:r>
      <w:r>
        <w:rPr>
          <w:sz w:val="25"/>
        </w:rPr>
        <w:t>development</w:t>
      </w:r>
      <w:r>
        <w:rPr>
          <w:spacing w:val="-8"/>
          <w:sz w:val="25"/>
        </w:rPr>
        <w:t> </w:t>
      </w:r>
      <w:r>
        <w:rPr>
          <w:sz w:val="25"/>
        </w:rPr>
        <w:t>assistance</w:t>
      </w:r>
      <w:r>
        <w:rPr>
          <w:spacing w:val="-6"/>
          <w:sz w:val="25"/>
        </w:rPr>
        <w:t> </w:t>
      </w:r>
      <w:r>
        <w:rPr>
          <w:sz w:val="25"/>
        </w:rPr>
        <w:t>affect</w:t>
      </w:r>
      <w:r>
        <w:rPr>
          <w:spacing w:val="-8"/>
          <w:sz w:val="25"/>
        </w:rPr>
        <w:t> </w:t>
      </w:r>
      <w:r>
        <w:rPr>
          <w:sz w:val="25"/>
        </w:rPr>
        <w:t>economic</w:t>
      </w:r>
      <w:r>
        <w:rPr>
          <w:spacing w:val="-7"/>
          <w:sz w:val="25"/>
        </w:rPr>
        <w:t> </w:t>
      </w:r>
      <w:r>
        <w:rPr>
          <w:sz w:val="25"/>
        </w:rPr>
        <w:t>growthin</w:t>
      </w:r>
      <w:r>
        <w:rPr>
          <w:spacing w:val="-8"/>
          <w:sz w:val="25"/>
        </w:rPr>
        <w:t> </w:t>
      </w:r>
      <w:r>
        <w:rPr>
          <w:spacing w:val="-2"/>
          <w:sz w:val="25"/>
        </w:rPr>
        <w:t>Nigeria?</w:t>
      </w:r>
    </w:p>
    <w:p>
      <w:pPr>
        <w:spacing w:after="0" w:line="240" w:lineRule="auto"/>
        <w:jc w:val="left"/>
        <w:rPr>
          <w:sz w:val="25"/>
        </w:rPr>
        <w:sectPr>
          <w:pgSz w:w="12240" w:h="15840"/>
          <w:pgMar w:header="0" w:footer="1012" w:top="1380" w:bottom="1200" w:left="1220" w:right="700"/>
        </w:sectPr>
      </w:pPr>
    </w:p>
    <w:p>
      <w:pPr>
        <w:pStyle w:val="Heading2"/>
        <w:numPr>
          <w:ilvl w:val="1"/>
          <w:numId w:val="10"/>
        </w:numPr>
        <w:tabs>
          <w:tab w:pos="593" w:val="left" w:leader="none"/>
        </w:tabs>
        <w:spacing w:line="240" w:lineRule="auto" w:before="60" w:after="0"/>
        <w:ind w:left="593" w:right="0" w:hanging="373"/>
        <w:jc w:val="left"/>
      </w:pPr>
      <w:bookmarkStart w:name="_TOC_250063" w:id="12"/>
      <w:bookmarkEnd w:id="12"/>
      <w:r>
        <w:rPr>
          <w:spacing w:val="-2"/>
        </w:rPr>
        <w:t>Hypotheses</w:t>
      </w:r>
    </w:p>
    <w:p>
      <w:pPr>
        <w:pStyle w:val="BodyText"/>
        <w:spacing w:before="161"/>
        <w:ind w:left="0"/>
        <w:rPr>
          <w:b/>
        </w:rPr>
      </w:pPr>
    </w:p>
    <w:p>
      <w:pPr>
        <w:pStyle w:val="BodyText"/>
      </w:pPr>
      <w:r>
        <w:rPr/>
        <w:t>The</w:t>
      </w:r>
      <w:r>
        <w:rPr>
          <w:spacing w:val="-7"/>
        </w:rPr>
        <w:t> </w:t>
      </w:r>
      <w:r>
        <w:rPr/>
        <w:t>following</w:t>
      </w:r>
      <w:r>
        <w:rPr>
          <w:spacing w:val="-6"/>
        </w:rPr>
        <w:t> </w:t>
      </w:r>
      <w:r>
        <w:rPr/>
        <w:t>hypotheses</w:t>
      </w:r>
      <w:r>
        <w:rPr>
          <w:spacing w:val="-6"/>
        </w:rPr>
        <w:t> </w:t>
      </w:r>
      <w:r>
        <w:rPr/>
        <w:t>stated</w:t>
      </w:r>
      <w:r>
        <w:rPr>
          <w:spacing w:val="-6"/>
        </w:rPr>
        <w:t> </w:t>
      </w:r>
      <w:r>
        <w:rPr/>
        <w:t>in</w:t>
      </w:r>
      <w:r>
        <w:rPr>
          <w:spacing w:val="-6"/>
        </w:rPr>
        <w:t> </w:t>
      </w:r>
      <w:r>
        <w:rPr/>
        <w:t>null</w:t>
      </w:r>
      <w:r>
        <w:rPr>
          <w:spacing w:val="-6"/>
        </w:rPr>
        <w:t> </w:t>
      </w:r>
      <w:r>
        <w:rPr/>
        <w:t>form</w:t>
      </w:r>
      <w:r>
        <w:rPr>
          <w:spacing w:val="-7"/>
        </w:rPr>
        <w:t> </w:t>
      </w:r>
      <w:r>
        <w:rPr/>
        <w:t>will</w:t>
      </w:r>
      <w:r>
        <w:rPr>
          <w:spacing w:val="-6"/>
        </w:rPr>
        <w:t> </w:t>
      </w:r>
      <w:r>
        <w:rPr/>
        <w:t>guide</w:t>
      </w:r>
      <w:r>
        <w:rPr>
          <w:spacing w:val="-6"/>
        </w:rPr>
        <w:t> </w:t>
      </w:r>
      <w:r>
        <w:rPr/>
        <w:t>this</w:t>
      </w:r>
      <w:r>
        <w:rPr>
          <w:spacing w:val="-6"/>
        </w:rPr>
        <w:t> </w:t>
      </w:r>
      <w:r>
        <w:rPr>
          <w:spacing w:val="-2"/>
        </w:rPr>
        <w:t>study:</w:t>
      </w:r>
    </w:p>
    <w:p>
      <w:pPr>
        <w:pStyle w:val="BodyText"/>
        <w:spacing w:before="118"/>
        <w:ind w:left="0"/>
      </w:pPr>
    </w:p>
    <w:p>
      <w:pPr>
        <w:pStyle w:val="BodyText"/>
        <w:tabs>
          <w:tab w:pos="940" w:val="left" w:leader="none"/>
        </w:tabs>
      </w:pPr>
      <w:r>
        <w:rPr>
          <w:spacing w:val="-4"/>
          <w:position w:val="2"/>
        </w:rPr>
        <w:t>Ho</w:t>
      </w:r>
      <w:r>
        <w:rPr>
          <w:spacing w:val="-4"/>
          <w:sz w:val="16"/>
        </w:rPr>
        <w:t>1</w:t>
      </w:r>
      <w:r>
        <w:rPr>
          <w:spacing w:val="-4"/>
          <w:position w:val="2"/>
        </w:rPr>
        <w:t>:</w:t>
      </w:r>
      <w:r>
        <w:rPr>
          <w:position w:val="2"/>
        </w:rPr>
        <w:tab/>
        <w:t>Foreign</w:t>
      </w:r>
      <w:r>
        <w:rPr>
          <w:spacing w:val="64"/>
          <w:position w:val="2"/>
        </w:rPr>
        <w:t> </w:t>
      </w:r>
      <w:r>
        <w:rPr>
          <w:position w:val="2"/>
        </w:rPr>
        <w:t>direct</w:t>
      </w:r>
      <w:r>
        <w:rPr>
          <w:spacing w:val="64"/>
          <w:position w:val="2"/>
        </w:rPr>
        <w:t> </w:t>
      </w:r>
      <w:r>
        <w:rPr>
          <w:position w:val="2"/>
        </w:rPr>
        <w:t>investment</w:t>
      </w:r>
      <w:r>
        <w:rPr>
          <w:spacing w:val="64"/>
          <w:position w:val="2"/>
        </w:rPr>
        <w:t> </w:t>
      </w:r>
      <w:r>
        <w:rPr>
          <w:position w:val="2"/>
        </w:rPr>
        <w:t>inflow</w:t>
      </w:r>
      <w:r>
        <w:rPr>
          <w:spacing w:val="67"/>
          <w:position w:val="2"/>
        </w:rPr>
        <w:t> </w:t>
      </w:r>
      <w:r>
        <w:rPr>
          <w:position w:val="2"/>
        </w:rPr>
        <w:t>has</w:t>
      </w:r>
      <w:r>
        <w:rPr>
          <w:spacing w:val="64"/>
          <w:position w:val="2"/>
        </w:rPr>
        <w:t> </w:t>
      </w:r>
      <w:r>
        <w:rPr>
          <w:position w:val="2"/>
        </w:rPr>
        <w:t>nosignificant</w:t>
      </w:r>
      <w:r>
        <w:rPr>
          <w:spacing w:val="63"/>
          <w:position w:val="2"/>
        </w:rPr>
        <w:t> </w:t>
      </w:r>
      <w:r>
        <w:rPr>
          <w:position w:val="2"/>
        </w:rPr>
        <w:t>effect</w:t>
      </w:r>
      <w:r>
        <w:rPr>
          <w:spacing w:val="64"/>
          <w:position w:val="2"/>
        </w:rPr>
        <w:t> </w:t>
      </w:r>
      <w:r>
        <w:rPr>
          <w:position w:val="2"/>
        </w:rPr>
        <w:t>on</w:t>
      </w:r>
      <w:r>
        <w:rPr>
          <w:spacing w:val="65"/>
          <w:position w:val="2"/>
        </w:rPr>
        <w:t> </w:t>
      </w:r>
      <w:r>
        <w:rPr>
          <w:position w:val="2"/>
        </w:rPr>
        <w:t>economic</w:t>
      </w:r>
      <w:r>
        <w:rPr>
          <w:spacing w:val="64"/>
          <w:position w:val="2"/>
        </w:rPr>
        <w:t> </w:t>
      </w:r>
      <w:r>
        <w:rPr>
          <w:spacing w:val="-2"/>
          <w:position w:val="2"/>
        </w:rPr>
        <w:t>growthin</w:t>
      </w:r>
    </w:p>
    <w:p>
      <w:pPr>
        <w:pStyle w:val="BodyText"/>
        <w:spacing w:before="287"/>
        <w:ind w:left="940"/>
      </w:pPr>
      <w:r>
        <w:rPr/>
        <mc:AlternateContent>
          <mc:Choice Requires="wps">
            <w:drawing>
              <wp:anchor distT="0" distB="0" distL="0" distR="0" allowOverlap="1" layoutInCell="1" locked="0" behindDoc="1" simplePos="0" relativeHeight="478018560">
                <wp:simplePos x="0" y="0"/>
                <wp:positionH relativeFrom="page">
                  <wp:posOffset>950112</wp:posOffset>
                </wp:positionH>
                <wp:positionV relativeFrom="paragraph">
                  <wp:posOffset>192715</wp:posOffset>
                </wp:positionV>
                <wp:extent cx="5505450" cy="566102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5.174462pt;width:433.5pt;height:445.75pt;mso-position-horizontal-relative:page;mso-position-vertical-relative:paragraph;z-index:-25297920" id="docshape35" coordorigin="1496,303" coordsize="8670,8915" path="m2562,9023l1691,8152,1496,8347,2367,9218,2562,9023xm3154,8347l3153,8308,3148,8265,3139,8221,3125,8177,3106,8134,3083,8090,3055,8048,3025,8007,2991,7967,2954,7928,2435,7408,2241,7602,2772,8134,2805,8170,2829,8206,2846,8240,2856,8274,2858,8307,2851,8338,2837,8366,2816,8392,2790,8414,2761,8428,2730,8434,2697,8432,2663,8422,2628,8406,2593,8381,2557,8349,2026,7818,1831,8012,2351,8531,2385,8563,2424,8596,2468,8628,2516,8661,2548,8680,2583,8695,2620,8708,2658,8719,2697,8727,2733,8731,2767,8731,2800,8728,2831,8721,2863,8709,2895,8693,2926,8672,2957,8649,2985,8626,3011,8603,3035,8580,3071,8540,3102,8500,3125,8458,3142,8416,3150,8383,3154,8347xm3882,7564l3876,7500,3860,7434,3834,7367,3806,7313,3771,7257,3728,7200,3678,7141,3661,7122,3621,7080,3597,7058,3597,7552,3592,7592,3577,7629,3551,7662,3518,7687,3481,7702,3441,7707,3396,7700,3347,7682,3294,7651,3235,7606,3171,7547,3112,7483,3066,7424,3035,7369,3016,7320,3010,7276,3014,7235,3029,7200,3053,7168,3086,7142,3122,7127,3163,7122,3207,7127,3255,7144,3307,7174,3363,7216,3423,7271,3488,7341,3538,7404,3572,7460,3591,7508,3597,7552,3597,7058,3551,7015,3482,6960,3413,6915,3344,6879,3276,6854,3209,6838,3130,6832,3055,6842,2983,6868,2914,6908,2850,6964,2796,7027,2756,7095,2732,7167,2723,7242,2729,7322,2746,7390,2772,7459,2808,7529,2854,7599,2910,7669,2976,7740,3036,7797,3096,7847,3156,7889,3215,7924,3273,7951,3344,7975,3411,7989,3475,7992,3535,7986,3593,7970,3649,7943,3705,7905,3758,7857,3805,7803,3841,7747,3858,7707,3866,7688,3879,7627,3882,7564xm4153,6984l3966,6797,3712,7051,3899,7238,4153,6984xm4664,6922l3793,6050,3598,6245,4469,7117,4664,6922xm4998,6587l4675,6264,4781,6157,4832,6098,4837,6088,4866,6036,4883,5973,4882,5908,4866,5842,4843,5792,4836,5777,4792,5711,4733,5645,4670,5588,4607,5545,4598,5540,4598,5933,4597,5959,4587,5985,4570,6012,4546,6040,4498,6088,4304,5893,4359,5838,4386,5814,4412,5799,4438,5792,4462,5792,4486,5799,4509,5809,4531,5823,4552,5842,4570,5863,4584,5886,4593,5909,4598,5933,4598,5540,4544,5515,4483,5499,4423,5498,4365,5513,4309,5543,4255,5588,3931,5912,4803,6783,4998,6587xm5788,5798l5132,5142,5330,4943,5115,4728,4524,5320,4739,5535,4937,5336,5593,5992,5788,5798xm6423,5162l5767,4506,5966,4308,5751,4093,5159,4684,5374,4899,5573,4701,6229,5357,6423,5162xm7157,4289l7151,4225,7135,4159,7109,4092,7081,4038,7046,3982,7003,3925,6953,3866,6935,3847,6896,3805,6872,3783,6872,4277,6867,4317,6851,4354,6825,4387,6793,4413,6756,4427,6716,4432,6671,4425,6622,4407,6569,4376,6510,4331,6446,4272,6387,4208,6341,4149,6309,4094,6291,4045,6285,4001,6289,3961,6304,3925,6328,3893,6361,3868,6397,3852,6438,3847,6482,3852,6530,3869,6582,3899,6638,3941,6698,3996,6763,4066,6813,4129,6847,4185,6866,4233,6872,4277,6872,3783,6826,3740,6756,3685,6687,3640,6619,3605,6551,3579,6483,3563,6405,3558,6329,3568,6258,3593,6189,3633,6125,3689,6071,3752,6031,3820,6007,3892,5998,3967,6004,4047,6021,4115,6047,4184,6083,4254,6129,4324,6184,4394,6250,4465,6311,4522,6371,4572,6431,4614,6490,4649,6548,4676,6619,4700,6686,4714,6750,4718,6810,4711,6868,4695,6924,4668,6979,4630,7033,4582,7080,4528,7116,4472,7133,4432,7141,4413,7154,4352,7157,4289xm8170,3294l8165,3245,8153,3194,8134,3141,8109,3087,8079,3031,8041,2974,7980,2999,7799,3073,7831,3120,7855,3163,7873,3203,7884,3240,7887,3276,7881,3309,7866,3340,7843,3369,7812,3393,7778,3407,7740,3411,7700,3404,7653,3386,7600,3352,7538,3302,7469,3238,7417,3181,7375,3129,7344,3082,7324,3039,7311,2988,7312,2941,7325,2900,7352,2864,7367,2851,7384,2841,7402,2833,7422,2828,7442,2826,7464,2826,7486,2830,7509,2836,7524,2842,7542,2850,7563,2861,7586,2875,7705,2650,7622,2604,7543,2572,7469,2553,7400,2547,7333,2554,7269,2577,7206,2615,7146,2667,7092,2730,7054,2797,7030,2867,7021,2941,7027,3018,7044,3085,7070,3153,7106,3222,7153,3292,7209,3363,7276,3434,7341,3495,7404,3547,7467,3591,7529,3626,7590,3654,7662,3677,7730,3690,7791,3693,7847,3686,7900,3669,7952,3643,8004,3606,8056,3559,8094,3517,8125,3474,8147,3430,8161,3386,8169,3341,8170,3294xm8868,2578l8861,2514,8846,2449,8820,2382,8792,2327,8757,2271,8714,2214,8664,2155,8646,2136,8607,2094,8583,2072,8583,2566,8578,2606,8562,2643,8536,2676,8504,2702,8467,2717,8427,2721,8382,2715,8333,2697,8279,2665,8221,2620,8157,2561,8098,2497,8052,2438,8020,2384,8002,2335,7996,2290,8000,2250,8014,2214,8039,2182,8071,2157,8108,2141,8149,2136,8193,2141,8241,2158,8293,2188,8349,2230,8409,2285,8474,2355,8524,2418,8558,2474,8577,2523,8583,2566,8583,2072,8537,2029,8467,1974,8398,1929,8330,1894,8262,1868,8194,1852,8116,1847,8040,1857,7968,1882,7900,1923,7835,1978,7781,2042,7742,2109,7718,2181,7709,2257,7715,2336,7731,2405,7758,2474,7794,2543,7839,2613,7895,2683,7961,2754,8022,2811,8082,2861,8142,2903,8201,2938,8259,2965,8329,2990,8397,3003,8461,3007,8521,3000,8579,2984,8635,2957,8690,2919,8744,2871,8791,2817,8827,2761,8844,2721,8852,2702,8865,2641,8868,2578xm9348,2237l9025,1914,9132,1807,9182,1747,9188,1737,9216,1686,9233,1623,9233,1558,9217,1492,9194,1441,9187,1426,9142,1360,9084,1294,9020,1237,8957,1194,8948,1190,8948,1583,8947,1609,8938,1635,8921,1662,8896,1690,8849,1737,8654,1543,8710,1488,8737,1464,8763,1449,8788,1441,8812,1442,8836,1448,8859,1459,8881,1473,8902,1492,8920,1513,8934,1536,8943,1559,8948,1583,8948,1190,8895,1165,8833,1149,8773,1148,8715,1163,8659,1193,8605,1238,8282,1561,9153,2433,9348,2237xm10166,1419l9801,1055,9748,905,9593,453,9540,303,9325,519,9353,589,9436,800,9492,940,9422,912,9211,829,9071,773,8854,989,9005,1042,9456,1197,9606,1250,9971,1614,10166,1419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019072">
                <wp:simplePos x="0" y="0"/>
                <wp:positionH relativeFrom="page">
                  <wp:posOffset>896416</wp:posOffset>
                </wp:positionH>
                <wp:positionV relativeFrom="paragraph">
                  <wp:posOffset>182555</wp:posOffset>
                </wp:positionV>
                <wp:extent cx="5981065" cy="395287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5981065" cy="3952875"/>
                        </a:xfrm>
                        <a:custGeom>
                          <a:avLst/>
                          <a:gdLst/>
                          <a:ahLst/>
                          <a:cxnLst/>
                          <a:rect l="l" t="t" r="r" b="b"/>
                          <a:pathLst>
                            <a:path w="5981065" h="3952875">
                              <a:moveTo>
                                <a:pt x="5981065" y="3486035"/>
                              </a:moveTo>
                              <a:lnTo>
                                <a:pt x="0" y="3486035"/>
                              </a:lnTo>
                              <a:lnTo>
                                <a:pt x="0" y="3952367"/>
                              </a:lnTo>
                              <a:lnTo>
                                <a:pt x="5981065" y="3952367"/>
                              </a:lnTo>
                              <a:lnTo>
                                <a:pt x="5981065" y="3486035"/>
                              </a:lnTo>
                              <a:close/>
                            </a:path>
                            <a:path w="5981065" h="3952875">
                              <a:moveTo>
                                <a:pt x="5981065" y="806272"/>
                              </a:moveTo>
                              <a:lnTo>
                                <a:pt x="0" y="806272"/>
                              </a:lnTo>
                              <a:lnTo>
                                <a:pt x="0" y="1172337"/>
                              </a:lnTo>
                              <a:lnTo>
                                <a:pt x="0" y="1614297"/>
                              </a:lnTo>
                              <a:lnTo>
                                <a:pt x="0" y="3486023"/>
                              </a:lnTo>
                              <a:lnTo>
                                <a:pt x="5981065" y="3486023"/>
                              </a:lnTo>
                              <a:lnTo>
                                <a:pt x="5981065" y="1172337"/>
                              </a:lnTo>
                              <a:lnTo>
                                <a:pt x="5981065" y="806272"/>
                              </a:lnTo>
                              <a:close/>
                            </a:path>
                            <a:path w="5981065" h="3952875">
                              <a:moveTo>
                                <a:pt x="5981065" y="365772"/>
                              </a:moveTo>
                              <a:lnTo>
                                <a:pt x="0" y="365772"/>
                              </a:lnTo>
                              <a:lnTo>
                                <a:pt x="0" y="806196"/>
                              </a:lnTo>
                              <a:lnTo>
                                <a:pt x="5981065" y="806196"/>
                              </a:lnTo>
                              <a:lnTo>
                                <a:pt x="5981065" y="365772"/>
                              </a:lnTo>
                              <a:close/>
                            </a:path>
                            <a:path w="5981065" h="3952875">
                              <a:moveTo>
                                <a:pt x="5981065" y="0"/>
                              </a:moveTo>
                              <a:lnTo>
                                <a:pt x="0" y="0"/>
                              </a:lnTo>
                              <a:lnTo>
                                <a:pt x="0" y="365760"/>
                              </a:lnTo>
                              <a:lnTo>
                                <a:pt x="5981065" y="365760"/>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4.374463pt;width:470.95pt;height:311.25pt;mso-position-horizontal-relative:page;mso-position-vertical-relative:paragraph;z-index:-25297408" id="docshape36" coordorigin="1412,287" coordsize="9419,6225" path="m10831,5777l1412,5777,1412,6512,10831,6512,10831,5777xm10831,1557l1412,1557,1412,2134,1412,2830,1412,3523,1412,4219,1412,4913,1412,4913,1412,5489,1412,5777,10831,5777,10831,5489,10831,4913,10831,4913,10831,4219,10831,3523,10831,2830,10831,2134,10831,1557xm10831,864l1412,864,1412,1557,10831,1557,10831,864xm10831,287l1412,287,1412,863,10831,863,10831,287xe" filled="true" fillcolor="#ffffff" stroked="false">
                <v:path arrowok="t"/>
                <v:fill type="solid"/>
                <w10:wrap type="none"/>
              </v:shape>
            </w:pict>
          </mc:Fallback>
        </mc:AlternateContent>
      </w:r>
      <w:r>
        <w:rPr>
          <w:spacing w:val="-2"/>
        </w:rPr>
        <w:t>Nigeria.</w:t>
      </w:r>
    </w:p>
    <w:p>
      <w:pPr>
        <w:pStyle w:val="BodyText"/>
        <w:spacing w:before="120"/>
        <w:ind w:left="0"/>
      </w:pPr>
    </w:p>
    <w:p>
      <w:pPr>
        <w:pStyle w:val="BodyText"/>
        <w:tabs>
          <w:tab w:pos="940" w:val="left" w:leader="none"/>
        </w:tabs>
      </w:pPr>
      <w:r>
        <w:rPr>
          <w:spacing w:val="-4"/>
          <w:position w:val="2"/>
        </w:rPr>
        <w:t>Ho</w:t>
      </w:r>
      <w:r>
        <w:rPr>
          <w:spacing w:val="-4"/>
          <w:sz w:val="16"/>
        </w:rPr>
        <w:t>2</w:t>
      </w:r>
      <w:r>
        <w:rPr>
          <w:spacing w:val="-4"/>
          <w:position w:val="2"/>
        </w:rPr>
        <w:t>:</w:t>
      </w:r>
      <w:r>
        <w:rPr>
          <w:position w:val="2"/>
        </w:rPr>
        <w:tab/>
        <w:t>Foreign</w:t>
      </w:r>
      <w:r>
        <w:rPr>
          <w:spacing w:val="51"/>
          <w:position w:val="2"/>
        </w:rPr>
        <w:t> </w:t>
      </w:r>
      <w:r>
        <w:rPr>
          <w:position w:val="2"/>
        </w:rPr>
        <w:t>portfolio</w:t>
      </w:r>
      <w:r>
        <w:rPr>
          <w:spacing w:val="52"/>
          <w:position w:val="2"/>
        </w:rPr>
        <w:t> </w:t>
      </w:r>
      <w:r>
        <w:rPr>
          <w:position w:val="2"/>
        </w:rPr>
        <w:t>investment</w:t>
      </w:r>
      <w:r>
        <w:rPr>
          <w:spacing w:val="51"/>
          <w:position w:val="2"/>
        </w:rPr>
        <w:t> </w:t>
      </w:r>
      <w:r>
        <w:rPr>
          <w:position w:val="2"/>
        </w:rPr>
        <w:t>inflow</w:t>
      </w:r>
      <w:r>
        <w:rPr>
          <w:spacing w:val="55"/>
          <w:position w:val="2"/>
        </w:rPr>
        <w:t> </w:t>
      </w:r>
      <w:r>
        <w:rPr>
          <w:position w:val="2"/>
        </w:rPr>
        <w:t>has</w:t>
      </w:r>
      <w:r>
        <w:rPr>
          <w:spacing w:val="52"/>
          <w:position w:val="2"/>
        </w:rPr>
        <w:t> </w:t>
      </w:r>
      <w:r>
        <w:rPr>
          <w:position w:val="2"/>
        </w:rPr>
        <w:t>nosignificant</w:t>
      </w:r>
      <w:r>
        <w:rPr>
          <w:spacing w:val="51"/>
          <w:position w:val="2"/>
        </w:rPr>
        <w:t> </w:t>
      </w:r>
      <w:r>
        <w:rPr>
          <w:position w:val="2"/>
        </w:rPr>
        <w:t>effect</w:t>
      </w:r>
      <w:r>
        <w:rPr>
          <w:spacing w:val="51"/>
          <w:position w:val="2"/>
        </w:rPr>
        <w:t> </w:t>
      </w:r>
      <w:r>
        <w:rPr>
          <w:position w:val="2"/>
        </w:rPr>
        <w:t>on</w:t>
      </w:r>
      <w:r>
        <w:rPr>
          <w:spacing w:val="52"/>
          <w:position w:val="2"/>
        </w:rPr>
        <w:t> </w:t>
      </w:r>
      <w:r>
        <w:rPr>
          <w:position w:val="2"/>
        </w:rPr>
        <w:t>economic</w:t>
      </w:r>
      <w:r>
        <w:rPr>
          <w:spacing w:val="52"/>
          <w:position w:val="2"/>
        </w:rPr>
        <w:t> </w:t>
      </w:r>
      <w:r>
        <w:rPr>
          <w:spacing w:val="-2"/>
          <w:position w:val="2"/>
        </w:rPr>
        <w:t>growth</w:t>
      </w:r>
    </w:p>
    <w:p>
      <w:pPr>
        <w:pStyle w:val="BodyText"/>
        <w:spacing w:before="287"/>
        <w:ind w:left="940"/>
      </w:pPr>
      <w:r>
        <w:rPr/>
        <w:t>in</w:t>
      </w:r>
      <w:r>
        <w:rPr>
          <w:spacing w:val="-3"/>
        </w:rPr>
        <w:t> </w:t>
      </w:r>
      <w:r>
        <w:rPr>
          <w:spacing w:val="-2"/>
        </w:rPr>
        <w:t>Nigeria.</w:t>
      </w:r>
    </w:p>
    <w:p>
      <w:pPr>
        <w:pStyle w:val="BodyText"/>
        <w:spacing w:before="120"/>
        <w:ind w:left="0"/>
      </w:pPr>
    </w:p>
    <w:p>
      <w:pPr>
        <w:pStyle w:val="BodyText"/>
        <w:tabs>
          <w:tab w:pos="940" w:val="left" w:leader="none"/>
        </w:tabs>
      </w:pPr>
      <w:r>
        <w:rPr>
          <w:spacing w:val="-4"/>
          <w:position w:val="2"/>
        </w:rPr>
        <w:t>Ho</w:t>
      </w:r>
      <w:r>
        <w:rPr>
          <w:spacing w:val="-4"/>
          <w:sz w:val="16"/>
        </w:rPr>
        <w:t>3</w:t>
      </w:r>
      <w:r>
        <w:rPr>
          <w:spacing w:val="-4"/>
          <w:position w:val="2"/>
        </w:rPr>
        <w:t>:</w:t>
      </w:r>
      <w:r>
        <w:rPr>
          <w:position w:val="2"/>
        </w:rPr>
        <w:tab/>
        <w:t>Trade</w:t>
      </w:r>
      <w:r>
        <w:rPr>
          <w:spacing w:val="-9"/>
          <w:position w:val="2"/>
        </w:rPr>
        <w:t> </w:t>
      </w:r>
      <w:r>
        <w:rPr>
          <w:position w:val="2"/>
        </w:rPr>
        <w:t>openness</w:t>
      </w:r>
      <w:r>
        <w:rPr>
          <w:spacing w:val="-6"/>
          <w:position w:val="2"/>
        </w:rPr>
        <w:t> </w:t>
      </w:r>
      <w:r>
        <w:rPr>
          <w:position w:val="2"/>
        </w:rPr>
        <w:t>has</w:t>
      </w:r>
      <w:r>
        <w:rPr>
          <w:spacing w:val="-8"/>
          <w:position w:val="2"/>
        </w:rPr>
        <w:t> </w:t>
      </w:r>
      <w:r>
        <w:rPr>
          <w:position w:val="2"/>
        </w:rPr>
        <w:t>nosignificant</w:t>
      </w:r>
      <w:r>
        <w:rPr>
          <w:spacing w:val="-8"/>
          <w:position w:val="2"/>
        </w:rPr>
        <w:t> </w:t>
      </w:r>
      <w:r>
        <w:rPr>
          <w:position w:val="2"/>
        </w:rPr>
        <w:t>effect</w:t>
      </w:r>
      <w:r>
        <w:rPr>
          <w:spacing w:val="-9"/>
          <w:position w:val="2"/>
        </w:rPr>
        <w:t> </w:t>
      </w:r>
      <w:r>
        <w:rPr>
          <w:position w:val="2"/>
        </w:rPr>
        <w:t>on</w:t>
      </w:r>
      <w:r>
        <w:rPr>
          <w:spacing w:val="-8"/>
          <w:position w:val="2"/>
        </w:rPr>
        <w:t> </w:t>
      </w:r>
      <w:r>
        <w:rPr>
          <w:position w:val="2"/>
        </w:rPr>
        <w:t>economic</w:t>
      </w:r>
      <w:r>
        <w:rPr>
          <w:spacing w:val="-8"/>
          <w:position w:val="2"/>
        </w:rPr>
        <w:t> </w:t>
      </w:r>
      <w:r>
        <w:rPr>
          <w:position w:val="2"/>
        </w:rPr>
        <w:t>growthin</w:t>
      </w:r>
      <w:r>
        <w:rPr>
          <w:spacing w:val="-9"/>
          <w:position w:val="2"/>
        </w:rPr>
        <w:t> </w:t>
      </w:r>
      <w:r>
        <w:rPr>
          <w:spacing w:val="-2"/>
          <w:position w:val="2"/>
        </w:rPr>
        <w:t>Nigeria.</w:t>
      </w:r>
    </w:p>
    <w:p>
      <w:pPr>
        <w:pStyle w:val="BodyText"/>
        <w:spacing w:before="120"/>
        <w:ind w:left="0"/>
      </w:pPr>
    </w:p>
    <w:p>
      <w:pPr>
        <w:pStyle w:val="BodyText"/>
        <w:tabs>
          <w:tab w:pos="940" w:val="left" w:leader="none"/>
        </w:tabs>
        <w:spacing w:before="1"/>
      </w:pPr>
      <w:r>
        <w:rPr>
          <w:spacing w:val="-4"/>
          <w:position w:val="2"/>
        </w:rPr>
        <w:t>Ho</w:t>
      </w:r>
      <w:r>
        <w:rPr>
          <w:spacing w:val="-4"/>
          <w:sz w:val="16"/>
        </w:rPr>
        <w:t>4</w:t>
      </w:r>
      <w:r>
        <w:rPr>
          <w:spacing w:val="-4"/>
          <w:position w:val="2"/>
        </w:rPr>
        <w:t>:</w:t>
      </w:r>
      <w:r>
        <w:rPr>
          <w:position w:val="2"/>
        </w:rPr>
        <w:tab/>
        <w:t>Financial</w:t>
      </w:r>
      <w:r>
        <w:rPr>
          <w:spacing w:val="-9"/>
          <w:position w:val="2"/>
        </w:rPr>
        <w:t> </w:t>
      </w:r>
      <w:r>
        <w:rPr>
          <w:position w:val="2"/>
        </w:rPr>
        <w:t>Deepening</w:t>
      </w:r>
      <w:r>
        <w:rPr>
          <w:spacing w:val="-7"/>
          <w:position w:val="2"/>
        </w:rPr>
        <w:t> </w:t>
      </w:r>
      <w:r>
        <w:rPr>
          <w:position w:val="2"/>
        </w:rPr>
        <w:t>have</w:t>
      </w:r>
      <w:r>
        <w:rPr>
          <w:spacing w:val="-8"/>
          <w:position w:val="2"/>
        </w:rPr>
        <w:t> </w:t>
      </w:r>
      <w:r>
        <w:rPr>
          <w:position w:val="2"/>
        </w:rPr>
        <w:t>nosignificant</w:t>
      </w:r>
      <w:r>
        <w:rPr>
          <w:spacing w:val="-8"/>
          <w:position w:val="2"/>
        </w:rPr>
        <w:t> </w:t>
      </w:r>
      <w:r>
        <w:rPr>
          <w:position w:val="2"/>
        </w:rPr>
        <w:t>effect</w:t>
      </w:r>
      <w:r>
        <w:rPr>
          <w:spacing w:val="-8"/>
          <w:position w:val="2"/>
        </w:rPr>
        <w:t> </w:t>
      </w:r>
      <w:r>
        <w:rPr>
          <w:position w:val="2"/>
        </w:rPr>
        <w:t>on</w:t>
      </w:r>
      <w:r>
        <w:rPr>
          <w:spacing w:val="-8"/>
          <w:position w:val="2"/>
        </w:rPr>
        <w:t> </w:t>
      </w:r>
      <w:r>
        <w:rPr>
          <w:position w:val="2"/>
        </w:rPr>
        <w:t>economic</w:t>
      </w:r>
      <w:r>
        <w:rPr>
          <w:spacing w:val="-8"/>
          <w:position w:val="2"/>
        </w:rPr>
        <w:t> </w:t>
      </w:r>
      <w:r>
        <w:rPr>
          <w:position w:val="2"/>
        </w:rPr>
        <w:t>growth</w:t>
      </w:r>
      <w:r>
        <w:rPr>
          <w:spacing w:val="-8"/>
          <w:position w:val="2"/>
        </w:rPr>
        <w:t> </w:t>
      </w:r>
      <w:r>
        <w:rPr>
          <w:position w:val="2"/>
        </w:rPr>
        <w:t>in</w:t>
      </w:r>
      <w:r>
        <w:rPr>
          <w:spacing w:val="-5"/>
          <w:position w:val="2"/>
        </w:rPr>
        <w:t> </w:t>
      </w:r>
      <w:r>
        <w:rPr>
          <w:spacing w:val="-2"/>
          <w:position w:val="2"/>
        </w:rPr>
        <w:t>Nigeria.</w:t>
      </w:r>
    </w:p>
    <w:p>
      <w:pPr>
        <w:pStyle w:val="BodyText"/>
        <w:spacing w:before="118"/>
        <w:ind w:left="0"/>
      </w:pPr>
    </w:p>
    <w:p>
      <w:pPr>
        <w:pStyle w:val="BodyText"/>
        <w:tabs>
          <w:tab w:pos="940" w:val="left" w:leader="none"/>
        </w:tabs>
      </w:pPr>
      <w:r>
        <w:rPr>
          <w:spacing w:val="-4"/>
          <w:position w:val="2"/>
        </w:rPr>
        <w:t>Ho</w:t>
      </w:r>
      <w:r>
        <w:rPr>
          <w:spacing w:val="-4"/>
          <w:sz w:val="16"/>
        </w:rPr>
        <w:t>5</w:t>
      </w:r>
      <w:r>
        <w:rPr>
          <w:spacing w:val="-4"/>
          <w:position w:val="2"/>
        </w:rPr>
        <w:t>:</w:t>
      </w:r>
      <w:r>
        <w:rPr>
          <w:position w:val="2"/>
        </w:rPr>
        <w:tab/>
        <w:t>Foreign</w:t>
      </w:r>
      <w:r>
        <w:rPr>
          <w:spacing w:val="-10"/>
          <w:position w:val="2"/>
        </w:rPr>
        <w:t> </w:t>
      </w:r>
      <w:r>
        <w:rPr>
          <w:position w:val="2"/>
        </w:rPr>
        <w:t>remittances</w:t>
      </w:r>
      <w:r>
        <w:rPr>
          <w:spacing w:val="-8"/>
          <w:position w:val="2"/>
        </w:rPr>
        <w:t> </w:t>
      </w:r>
      <w:r>
        <w:rPr>
          <w:position w:val="2"/>
        </w:rPr>
        <w:t>have</w:t>
      </w:r>
      <w:r>
        <w:rPr>
          <w:spacing w:val="-9"/>
          <w:position w:val="2"/>
        </w:rPr>
        <w:t> </w:t>
      </w:r>
      <w:r>
        <w:rPr>
          <w:position w:val="2"/>
        </w:rPr>
        <w:t>nosignificant</w:t>
      </w:r>
      <w:r>
        <w:rPr>
          <w:spacing w:val="-8"/>
          <w:position w:val="2"/>
        </w:rPr>
        <w:t> </w:t>
      </w:r>
      <w:r>
        <w:rPr>
          <w:position w:val="2"/>
        </w:rPr>
        <w:t>effect</w:t>
      </w:r>
      <w:r>
        <w:rPr>
          <w:spacing w:val="-9"/>
          <w:position w:val="2"/>
        </w:rPr>
        <w:t> </w:t>
      </w:r>
      <w:r>
        <w:rPr>
          <w:position w:val="2"/>
        </w:rPr>
        <w:t>on</w:t>
      </w:r>
      <w:r>
        <w:rPr>
          <w:spacing w:val="-8"/>
          <w:position w:val="2"/>
        </w:rPr>
        <w:t> </w:t>
      </w:r>
      <w:r>
        <w:rPr>
          <w:position w:val="2"/>
        </w:rPr>
        <w:t>economic</w:t>
      </w:r>
      <w:r>
        <w:rPr>
          <w:spacing w:val="-9"/>
          <w:position w:val="2"/>
        </w:rPr>
        <w:t> </w:t>
      </w:r>
      <w:r>
        <w:rPr>
          <w:position w:val="2"/>
        </w:rPr>
        <w:t>growthin</w:t>
      </w:r>
      <w:r>
        <w:rPr>
          <w:spacing w:val="-8"/>
          <w:position w:val="2"/>
        </w:rPr>
        <w:t> </w:t>
      </w:r>
      <w:r>
        <w:rPr>
          <w:spacing w:val="-2"/>
          <w:position w:val="2"/>
        </w:rPr>
        <w:t>Nigeria.</w:t>
      </w:r>
    </w:p>
    <w:p>
      <w:pPr>
        <w:pStyle w:val="BodyText"/>
        <w:spacing w:before="120"/>
        <w:ind w:left="0"/>
      </w:pPr>
    </w:p>
    <w:p>
      <w:pPr>
        <w:pStyle w:val="BodyText"/>
        <w:tabs>
          <w:tab w:pos="940" w:val="left" w:leader="none"/>
        </w:tabs>
      </w:pPr>
      <w:r>
        <w:rPr>
          <w:spacing w:val="-4"/>
          <w:position w:val="2"/>
        </w:rPr>
        <w:t>Ho</w:t>
      </w:r>
      <w:r>
        <w:rPr>
          <w:spacing w:val="-4"/>
          <w:sz w:val="16"/>
        </w:rPr>
        <w:t>6</w:t>
      </w:r>
      <w:r>
        <w:rPr>
          <w:spacing w:val="-4"/>
          <w:position w:val="2"/>
        </w:rPr>
        <w:t>:</w:t>
      </w:r>
      <w:r>
        <w:rPr>
          <w:position w:val="2"/>
        </w:rPr>
        <w:tab/>
        <w:t>Official</w:t>
      </w:r>
      <w:r>
        <w:rPr>
          <w:spacing w:val="53"/>
          <w:w w:val="150"/>
          <w:position w:val="2"/>
        </w:rPr>
        <w:t> </w:t>
      </w:r>
      <w:r>
        <w:rPr>
          <w:position w:val="2"/>
        </w:rPr>
        <w:t>development</w:t>
      </w:r>
      <w:r>
        <w:rPr>
          <w:spacing w:val="54"/>
          <w:w w:val="150"/>
          <w:position w:val="2"/>
        </w:rPr>
        <w:t> </w:t>
      </w:r>
      <w:r>
        <w:rPr>
          <w:position w:val="2"/>
        </w:rPr>
        <w:t>assistance</w:t>
      </w:r>
      <w:r>
        <w:rPr>
          <w:spacing w:val="52"/>
          <w:w w:val="150"/>
          <w:position w:val="2"/>
        </w:rPr>
        <w:t> </w:t>
      </w:r>
      <w:r>
        <w:rPr>
          <w:position w:val="2"/>
        </w:rPr>
        <w:t>has</w:t>
      </w:r>
      <w:r>
        <w:rPr>
          <w:spacing w:val="54"/>
          <w:w w:val="150"/>
          <w:position w:val="2"/>
        </w:rPr>
        <w:t> </w:t>
      </w:r>
      <w:r>
        <w:rPr>
          <w:position w:val="2"/>
        </w:rPr>
        <w:t>nosignificant</w:t>
      </w:r>
      <w:r>
        <w:rPr>
          <w:spacing w:val="53"/>
          <w:w w:val="150"/>
          <w:position w:val="2"/>
        </w:rPr>
        <w:t> </w:t>
      </w:r>
      <w:r>
        <w:rPr>
          <w:position w:val="2"/>
        </w:rPr>
        <w:t>effect</w:t>
      </w:r>
      <w:r>
        <w:rPr>
          <w:spacing w:val="54"/>
          <w:w w:val="150"/>
          <w:position w:val="2"/>
        </w:rPr>
        <w:t> </w:t>
      </w:r>
      <w:r>
        <w:rPr>
          <w:position w:val="2"/>
        </w:rPr>
        <w:t>on</w:t>
      </w:r>
      <w:r>
        <w:rPr>
          <w:spacing w:val="53"/>
          <w:w w:val="150"/>
          <w:position w:val="2"/>
        </w:rPr>
        <w:t> </w:t>
      </w:r>
      <w:r>
        <w:rPr>
          <w:position w:val="2"/>
        </w:rPr>
        <w:t>economic</w:t>
      </w:r>
      <w:r>
        <w:rPr>
          <w:spacing w:val="53"/>
          <w:w w:val="150"/>
          <w:position w:val="2"/>
        </w:rPr>
        <w:t> </w:t>
      </w:r>
      <w:r>
        <w:rPr>
          <w:spacing w:val="-2"/>
          <w:position w:val="2"/>
        </w:rPr>
        <w:t>growthin</w:t>
      </w:r>
    </w:p>
    <w:p>
      <w:pPr>
        <w:pStyle w:val="BodyText"/>
        <w:spacing w:before="287"/>
        <w:ind w:left="940"/>
      </w:pPr>
      <w:r>
        <w:rPr>
          <w:spacing w:val="-2"/>
        </w:rPr>
        <w:t>Nigeria.</w:t>
      </w:r>
    </w:p>
    <w:p>
      <w:pPr>
        <w:pStyle w:val="BodyText"/>
        <w:ind w:left="0"/>
      </w:pPr>
    </w:p>
    <w:p>
      <w:pPr>
        <w:pStyle w:val="BodyText"/>
        <w:spacing w:before="162"/>
        <w:ind w:left="0"/>
      </w:pPr>
    </w:p>
    <w:p>
      <w:pPr>
        <w:pStyle w:val="Heading2"/>
        <w:numPr>
          <w:ilvl w:val="1"/>
          <w:numId w:val="10"/>
        </w:numPr>
        <w:tabs>
          <w:tab w:pos="593" w:val="left" w:leader="none"/>
        </w:tabs>
        <w:spacing w:line="240" w:lineRule="auto" w:before="0" w:after="0"/>
        <w:ind w:left="593" w:right="0" w:hanging="373"/>
        <w:jc w:val="left"/>
      </w:pPr>
      <w:bookmarkStart w:name="_TOC_250062" w:id="13"/>
      <w:r>
        <w:rPr/>
        <w:t>Significance</w:t>
      </w:r>
      <w:r>
        <w:rPr>
          <w:spacing w:val="-7"/>
        </w:rPr>
        <w:t> </w:t>
      </w:r>
      <w:r>
        <w:rPr/>
        <w:t>of</w:t>
      </w:r>
      <w:r>
        <w:rPr>
          <w:spacing w:val="-7"/>
        </w:rPr>
        <w:t> </w:t>
      </w:r>
      <w:r>
        <w:rPr/>
        <w:t>the</w:t>
      </w:r>
      <w:r>
        <w:rPr>
          <w:spacing w:val="-7"/>
        </w:rPr>
        <w:t> </w:t>
      </w:r>
      <w:bookmarkEnd w:id="13"/>
      <w:r>
        <w:rPr>
          <w:spacing w:val="-2"/>
        </w:rPr>
        <w:t>Study</w:t>
      </w:r>
    </w:p>
    <w:p>
      <w:pPr>
        <w:pStyle w:val="BodyText"/>
        <w:spacing w:before="160"/>
        <w:ind w:left="0"/>
        <w:rPr>
          <w:b/>
        </w:rPr>
      </w:pPr>
    </w:p>
    <w:p>
      <w:pPr>
        <w:pStyle w:val="BodyText"/>
        <w:spacing w:line="480" w:lineRule="auto"/>
        <w:ind w:right="741"/>
        <w:jc w:val="both"/>
      </w:pPr>
      <w:r>
        <w:rPr/>
        <w:t>The study is expected to be beneficial to the following stakeholders: policy formulators, government, and academics.</w:t>
      </w:r>
    </w:p>
    <w:p>
      <w:pPr>
        <w:pStyle w:val="BodyText"/>
        <w:spacing w:line="480" w:lineRule="auto" w:before="160"/>
        <w:ind w:right="736"/>
        <w:jc w:val="both"/>
      </w:pPr>
      <w:r>
        <w:rPr>
          <w:b/>
        </w:rPr>
        <w:t>Policy Formulators</w:t>
      </w:r>
      <w:r>
        <w:rPr/>
        <w:t>: The findings of this study will enlighten them on theeffect of financial integration oneconomic growth in Nigeria. The results of the study will also informpolicy formulators on theextent to which Nigeria is financially integrated into theglobal financial markets, and also help themto know the appropriate policiesto implement to reduce their vulnerability</w:t>
      </w:r>
      <w:r>
        <w:rPr>
          <w:spacing w:val="34"/>
        </w:rPr>
        <w:t> </w:t>
      </w:r>
      <w:r>
        <w:rPr/>
        <w:t>tofinancial</w:t>
      </w:r>
      <w:r>
        <w:rPr>
          <w:spacing w:val="36"/>
        </w:rPr>
        <w:t> </w:t>
      </w:r>
      <w:r>
        <w:rPr/>
        <w:t>crises.</w:t>
      </w:r>
      <w:r>
        <w:rPr>
          <w:spacing w:val="34"/>
        </w:rPr>
        <w:t> </w:t>
      </w:r>
      <w:r>
        <w:rPr/>
        <w:t>This</w:t>
      </w:r>
      <w:r>
        <w:rPr>
          <w:spacing w:val="35"/>
        </w:rPr>
        <w:t> </w:t>
      </w:r>
      <w:r>
        <w:rPr/>
        <w:t>will</w:t>
      </w:r>
      <w:r>
        <w:rPr>
          <w:spacing w:val="34"/>
        </w:rPr>
        <w:t> </w:t>
      </w:r>
      <w:r>
        <w:rPr/>
        <w:t>help</w:t>
      </w:r>
      <w:r>
        <w:rPr>
          <w:spacing w:val="36"/>
        </w:rPr>
        <w:t> </w:t>
      </w:r>
      <w:r>
        <w:rPr/>
        <w:t>and</w:t>
      </w:r>
      <w:r>
        <w:rPr>
          <w:spacing w:val="34"/>
        </w:rPr>
        <w:t> </w:t>
      </w:r>
      <w:r>
        <w:rPr/>
        <w:t>guide</w:t>
      </w:r>
      <w:r>
        <w:rPr>
          <w:spacing w:val="35"/>
        </w:rPr>
        <w:t> </w:t>
      </w:r>
      <w:r>
        <w:rPr/>
        <w:t>in</w:t>
      </w:r>
      <w:r>
        <w:rPr>
          <w:spacing w:val="35"/>
        </w:rPr>
        <w:t> </w:t>
      </w:r>
      <w:r>
        <w:rPr/>
        <w:t>theirfuture</w:t>
      </w:r>
      <w:r>
        <w:rPr>
          <w:spacing w:val="33"/>
        </w:rPr>
        <w:t> </w:t>
      </w:r>
      <w:r>
        <w:rPr/>
        <w:t>policy</w:t>
      </w:r>
      <w:r>
        <w:rPr>
          <w:spacing w:val="36"/>
        </w:rPr>
        <w:t> </w:t>
      </w:r>
      <w:r>
        <w:rPr>
          <w:spacing w:val="-2"/>
        </w:rPr>
        <w:t>formulation</w:t>
      </w:r>
    </w:p>
    <w:p>
      <w:pPr>
        <w:spacing w:after="0" w:line="480" w:lineRule="auto"/>
        <w:jc w:val="both"/>
        <w:sectPr>
          <w:pgSz w:w="12240" w:h="15840"/>
          <w:pgMar w:header="0" w:footer="1012" w:top="1380" w:bottom="1200" w:left="1220" w:right="700"/>
        </w:sectPr>
      </w:pPr>
    </w:p>
    <w:p>
      <w:pPr>
        <w:pStyle w:val="BodyText"/>
        <w:spacing w:line="480" w:lineRule="auto" w:before="60"/>
        <w:ind w:right="741"/>
        <w:jc w:val="both"/>
      </w:pPr>
      <w:r>
        <w:rPr/>
        <w:t>especially as it relates toopening the financial systemto the outside world andhow it can impact oneconomic growth.</w:t>
      </w:r>
    </w:p>
    <w:p>
      <w:pPr>
        <w:pStyle w:val="BodyText"/>
        <w:spacing w:line="480" w:lineRule="auto" w:before="160"/>
        <w:ind w:right="738"/>
        <w:jc w:val="both"/>
      </w:pPr>
      <w:r>
        <w:rPr/>
        <mc:AlternateContent>
          <mc:Choice Requires="wps">
            <w:drawing>
              <wp:anchor distT="0" distB="0" distL="0" distR="0" allowOverlap="1" layoutInCell="1" locked="0" behindDoc="1" simplePos="0" relativeHeight="478019584">
                <wp:simplePos x="0" y="0"/>
                <wp:positionH relativeFrom="page">
                  <wp:posOffset>950112</wp:posOffset>
                </wp:positionH>
                <wp:positionV relativeFrom="paragraph">
                  <wp:posOffset>552765</wp:posOffset>
                </wp:positionV>
                <wp:extent cx="5505450" cy="566102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96896" id="docshape37"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b/>
        </w:rPr>
        <w:t>Government</w:t>
      </w:r>
      <w:r>
        <w:rPr/>
        <w:t>: The findings of this study will be very beneficial to Nigerian governmentas it will enable them tounderstand how financial integration caninfluence economic growth in Nigeria.</w:t>
      </w:r>
      <w:r>
        <w:rPr>
          <w:spacing w:val="-2"/>
        </w:rPr>
        <w:t> </w:t>
      </w:r>
      <w:r>
        <w:rPr/>
        <w:t>It</w:t>
      </w:r>
      <w:r>
        <w:rPr>
          <w:spacing w:val="-2"/>
        </w:rPr>
        <w:t> </w:t>
      </w:r>
      <w:r>
        <w:rPr/>
        <w:t>will</w:t>
      </w:r>
      <w:r>
        <w:rPr>
          <w:spacing w:val="-2"/>
        </w:rPr>
        <w:t> </w:t>
      </w:r>
      <w:r>
        <w:rPr/>
        <w:t>throw</w:t>
      </w:r>
      <w:r>
        <w:rPr>
          <w:spacing w:val="-2"/>
        </w:rPr>
        <w:t> </w:t>
      </w:r>
      <w:r>
        <w:rPr/>
        <w:t>morelight</w:t>
      </w:r>
      <w:r>
        <w:rPr>
          <w:spacing w:val="-2"/>
        </w:rPr>
        <w:t> </w:t>
      </w:r>
      <w:r>
        <w:rPr/>
        <w:t>on</w:t>
      </w:r>
      <w:r>
        <w:rPr>
          <w:spacing w:val="-2"/>
        </w:rPr>
        <w:t> </w:t>
      </w:r>
      <w:r>
        <w:rPr/>
        <w:t>thebenefit</w:t>
      </w:r>
      <w:r>
        <w:rPr>
          <w:spacing w:val="-2"/>
        </w:rPr>
        <w:t> </w:t>
      </w:r>
      <w:r>
        <w:rPr/>
        <w:t>of</w:t>
      </w:r>
      <w:r>
        <w:rPr>
          <w:spacing w:val="-2"/>
        </w:rPr>
        <w:t> </w:t>
      </w:r>
      <w:r>
        <w:rPr/>
        <w:t>financial</w:t>
      </w:r>
      <w:r>
        <w:rPr>
          <w:spacing w:val="-2"/>
        </w:rPr>
        <w:t> </w:t>
      </w:r>
      <w:r>
        <w:rPr/>
        <w:t>integrationas</w:t>
      </w:r>
      <w:r>
        <w:rPr>
          <w:spacing w:val="-2"/>
        </w:rPr>
        <w:t> </w:t>
      </w:r>
      <w:r>
        <w:rPr/>
        <w:t>compared</w:t>
      </w:r>
      <w:r>
        <w:rPr>
          <w:spacing w:val="-2"/>
        </w:rPr>
        <w:t> </w:t>
      </w:r>
      <w:r>
        <w:rPr/>
        <w:t>to</w:t>
      </w:r>
      <w:r>
        <w:rPr>
          <w:spacing w:val="-2"/>
        </w:rPr>
        <w:t> </w:t>
      </w:r>
      <w:r>
        <w:rPr/>
        <w:t>financial </w:t>
      </w:r>
      <w:r>
        <w:rPr>
          <w:spacing w:val="-2"/>
        </w:rPr>
        <w:t>repression.</w:t>
      </w:r>
    </w:p>
    <w:p>
      <w:pPr>
        <w:pStyle w:val="BodyText"/>
        <w:spacing w:line="480" w:lineRule="auto" w:before="161"/>
        <w:ind w:right="737"/>
        <w:jc w:val="both"/>
      </w:pPr>
      <w:r>
        <w:rPr>
          <w:b/>
        </w:rPr>
        <w:t>Academics</w:t>
      </w:r>
      <w:r>
        <w:rPr/>
        <w:t>: Researchers and academicians will benefit from thefindings of this studyas it will provide themboth theoretical and empirical foundation inunderstanding the effectof financial integrationon economic growth. Also, this research study will undoubtedlybe a wealth of knowledge tostudents of economics, bankingand finance and other disciplinesas well aslecturers. It</w:t>
      </w:r>
      <w:r>
        <w:rPr>
          <w:spacing w:val="-1"/>
        </w:rPr>
        <w:t> </w:t>
      </w:r>
      <w:r>
        <w:rPr/>
        <w:t>will</w:t>
      </w:r>
      <w:r>
        <w:rPr>
          <w:spacing w:val="-1"/>
        </w:rPr>
        <w:t> </w:t>
      </w:r>
      <w:r>
        <w:rPr/>
        <w:t>surely impart learning, contribute toknowledge and serve as abase</w:t>
      </w:r>
      <w:r>
        <w:rPr>
          <w:spacing w:val="-2"/>
        </w:rPr>
        <w:t> </w:t>
      </w:r>
      <w:r>
        <w:rPr/>
        <w:t>for further researchworks in areas relating tofinancial integration and how itaffects economic growth in Nigeria.</w:t>
      </w:r>
    </w:p>
    <w:p>
      <w:pPr>
        <w:pStyle w:val="BodyText"/>
        <w:spacing w:before="159"/>
        <w:ind w:left="0"/>
      </w:pPr>
    </w:p>
    <w:p>
      <w:pPr>
        <w:pStyle w:val="Heading2"/>
        <w:numPr>
          <w:ilvl w:val="1"/>
          <w:numId w:val="10"/>
        </w:numPr>
        <w:tabs>
          <w:tab w:pos="593" w:val="left" w:leader="none"/>
        </w:tabs>
        <w:spacing w:line="240" w:lineRule="auto" w:before="0" w:after="0"/>
        <w:ind w:left="593" w:right="0" w:hanging="373"/>
        <w:jc w:val="left"/>
      </w:pPr>
      <w:r>
        <w:rPr/>
        <mc:AlternateContent>
          <mc:Choice Requires="wps">
            <w:drawing>
              <wp:anchor distT="0" distB="0" distL="0" distR="0" allowOverlap="1" layoutInCell="1" locked="0" behindDoc="1" simplePos="0" relativeHeight="478020096">
                <wp:simplePos x="0" y="0"/>
                <wp:positionH relativeFrom="page">
                  <wp:posOffset>896416</wp:posOffset>
                </wp:positionH>
                <wp:positionV relativeFrom="paragraph">
                  <wp:posOffset>-282715</wp:posOffset>
                </wp:positionV>
                <wp:extent cx="5981065" cy="64960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981065" cy="649605"/>
                        </a:xfrm>
                        <a:custGeom>
                          <a:avLst/>
                          <a:gdLst/>
                          <a:ahLst/>
                          <a:cxnLst/>
                          <a:rect l="l" t="t" r="r" b="b"/>
                          <a:pathLst>
                            <a:path w="5981065" h="649605">
                              <a:moveTo>
                                <a:pt x="5981065" y="0"/>
                              </a:moveTo>
                              <a:lnTo>
                                <a:pt x="0" y="0"/>
                              </a:lnTo>
                              <a:lnTo>
                                <a:pt x="0" y="181343"/>
                              </a:lnTo>
                              <a:lnTo>
                                <a:pt x="0" y="649211"/>
                              </a:lnTo>
                              <a:lnTo>
                                <a:pt x="5981065" y="649211"/>
                              </a:lnTo>
                              <a:lnTo>
                                <a:pt x="5981065" y="181343"/>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22.261057pt;width:470.95pt;height:51.15pt;mso-position-horizontal-relative:page;mso-position-vertical-relative:paragraph;z-index:-25296384" id="docshape38" coordorigin="1412,-445" coordsize="9419,1023" path="m10831,-445l1412,-445,1412,-160,1412,577,10831,577,10831,-160,10831,-445xe" filled="true" fillcolor="#ffffff" stroked="false">
                <v:path arrowok="t"/>
                <v:fill type="solid"/>
                <w10:wrap type="none"/>
              </v:shape>
            </w:pict>
          </mc:Fallback>
        </mc:AlternateContent>
      </w:r>
      <w:bookmarkStart w:name="_TOC_250061" w:id="14"/>
      <w:r>
        <w:rPr/>
        <w:t>Scope</w:t>
      </w:r>
      <w:r>
        <w:rPr>
          <w:spacing w:val="-5"/>
        </w:rPr>
        <w:t> </w:t>
      </w:r>
      <w:r>
        <w:rPr/>
        <w:t>of</w:t>
      </w:r>
      <w:r>
        <w:rPr>
          <w:spacing w:val="-4"/>
        </w:rPr>
        <w:t> </w:t>
      </w:r>
      <w:r>
        <w:rPr/>
        <w:t>the</w:t>
      </w:r>
      <w:r>
        <w:rPr>
          <w:spacing w:val="-5"/>
        </w:rPr>
        <w:t> </w:t>
      </w:r>
      <w:bookmarkEnd w:id="14"/>
      <w:r>
        <w:rPr>
          <w:spacing w:val="-4"/>
        </w:rPr>
        <w:t>Study</w:t>
      </w:r>
    </w:p>
    <w:p>
      <w:pPr>
        <w:pStyle w:val="BodyText"/>
        <w:spacing w:before="162"/>
        <w:ind w:left="0"/>
        <w:rPr>
          <w:b/>
        </w:rPr>
      </w:pPr>
    </w:p>
    <w:p>
      <w:pPr>
        <w:pStyle w:val="BodyText"/>
        <w:spacing w:line="480" w:lineRule="auto"/>
        <w:ind w:right="736"/>
        <w:jc w:val="both"/>
      </w:pPr>
      <w:r>
        <w:rPr/>
        <w:t>The research is limited toidentifying the effect offinancial integration oneconomic growth in Nigeria. The study covered theperiod from 1986 to 2020 because it was theperiod financial liberalization started manifesting inNigeria. In this study, foreign portfolio investment inflows, foreign direct investment inflow, trade openness, foreign remittances, Official development assistance, exchangerate and interest rate were employed as theindependent variables while gross domestic product aproxy for economic growth was employedas the dependent variable.</w:t>
      </w:r>
    </w:p>
    <w:p>
      <w:pPr>
        <w:spacing w:after="0" w:line="480" w:lineRule="auto"/>
        <w:jc w:val="both"/>
        <w:sectPr>
          <w:pgSz w:w="12240" w:h="15840"/>
          <w:pgMar w:header="0" w:footer="1012" w:top="1380" w:bottom="1200" w:left="1220" w:right="700"/>
        </w:sectPr>
      </w:pPr>
    </w:p>
    <w:p>
      <w:pPr>
        <w:pStyle w:val="Heading2"/>
        <w:numPr>
          <w:ilvl w:val="1"/>
          <w:numId w:val="10"/>
        </w:numPr>
        <w:tabs>
          <w:tab w:pos="593" w:val="left" w:leader="none"/>
        </w:tabs>
        <w:spacing w:line="240" w:lineRule="auto" w:before="60" w:after="0"/>
        <w:ind w:left="593" w:right="0" w:hanging="373"/>
        <w:jc w:val="left"/>
      </w:pPr>
      <w:bookmarkStart w:name="_TOC_250060" w:id="15"/>
      <w:r>
        <w:rPr/>
        <w:t>Definition</w:t>
      </w:r>
      <w:r>
        <w:rPr>
          <w:spacing w:val="-10"/>
        </w:rPr>
        <w:t> </w:t>
      </w:r>
      <w:r>
        <w:rPr/>
        <w:t>of</w:t>
      </w:r>
      <w:r>
        <w:rPr>
          <w:spacing w:val="-8"/>
        </w:rPr>
        <w:t> </w:t>
      </w:r>
      <w:r>
        <w:rPr/>
        <w:t>Operational</w:t>
      </w:r>
      <w:r>
        <w:rPr>
          <w:spacing w:val="-9"/>
        </w:rPr>
        <w:t> </w:t>
      </w:r>
      <w:bookmarkEnd w:id="15"/>
      <w:r>
        <w:rPr>
          <w:spacing w:val="-4"/>
        </w:rPr>
        <w:t>Terms</w:t>
      </w:r>
    </w:p>
    <w:p>
      <w:pPr>
        <w:pStyle w:val="BodyText"/>
        <w:spacing w:before="161"/>
        <w:ind w:left="0"/>
        <w:rPr>
          <w:b/>
        </w:rPr>
      </w:pPr>
    </w:p>
    <w:p>
      <w:pPr>
        <w:pStyle w:val="BodyText"/>
        <w:spacing w:line="480" w:lineRule="auto"/>
        <w:ind w:right="735"/>
        <w:jc w:val="both"/>
      </w:pPr>
      <w:r>
        <w:rPr/>
        <mc:AlternateContent>
          <mc:Choice Requires="wps">
            <w:drawing>
              <wp:anchor distT="0" distB="0" distL="0" distR="0" allowOverlap="1" layoutInCell="1" locked="0" behindDoc="1" simplePos="0" relativeHeight="478020608">
                <wp:simplePos x="0" y="0"/>
                <wp:positionH relativeFrom="page">
                  <wp:posOffset>950112</wp:posOffset>
                </wp:positionH>
                <wp:positionV relativeFrom="paragraph">
                  <wp:posOffset>815624</wp:posOffset>
                </wp:positionV>
                <wp:extent cx="5505450" cy="566102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64.222412pt;width:433.5pt;height:445.75pt;mso-position-horizontal-relative:page;mso-position-vertical-relative:paragraph;z-index:-25295872" id="docshape39" coordorigin="1496,1284" coordsize="8670,8915" path="m2562,10004l1691,9133,1496,9328,2367,10199,2562,10004xm3154,9328l3153,9289,3148,9246,3139,9202,3125,9158,3106,9114,3083,9071,3055,9029,3025,8988,2991,8948,2954,8909,2435,8389,2241,8583,2772,9115,2805,9151,2829,9187,2846,9221,2856,9255,2858,9288,2851,9319,2837,9347,2816,9373,2790,9395,2761,9409,2730,9415,2697,9413,2663,9403,2628,9387,2593,9362,2557,9330,2026,8799,1831,8993,2351,9512,2385,9544,2424,9577,2468,9609,2516,9642,2548,9660,2583,9676,2620,9689,2658,9700,2697,9708,2733,9712,2767,9712,2800,9709,2831,9702,2863,9690,2895,9674,2926,9653,2957,9630,2985,9607,3011,9584,3035,9561,3071,9521,3102,9480,3125,9439,3142,9397,3150,9364,3154,9328xm3882,8545l3876,8481,3860,8415,3834,8348,3806,8294,3771,8238,3728,8180,3678,8121,3661,8103,3621,8061,3597,8039,3597,8533,3592,8573,3577,8610,3551,8643,3518,8668,3481,8683,3441,8688,3396,8681,3347,8663,3294,8632,3235,8587,3171,8527,3112,8464,3066,8404,3035,8350,3016,8301,3010,8257,3014,8216,3029,8180,3053,8149,3086,8123,3122,8108,3163,8103,3207,8108,3255,8125,3307,8155,3363,8197,3423,8252,3488,8322,3538,8385,3572,8441,3591,8489,3597,8533,3597,8039,3551,7996,3482,7941,3413,7896,3344,7860,3276,7835,3209,7819,3130,7813,3055,7823,2983,7849,2914,7889,2850,7945,2796,8008,2756,8076,2732,8148,2723,8223,2729,8303,2746,8371,2772,8440,2808,8510,2854,8580,2910,8650,2976,8721,3036,8778,3096,8828,3156,8870,3215,8904,3273,8932,3344,8956,3411,8970,3475,8973,3535,8967,3593,8951,3649,8924,3705,8886,3758,8838,3805,8784,3841,8728,3858,8688,3866,8669,3879,8608,3882,8545xm4153,7965l3966,7778,3712,8032,3899,8219,4153,7965xm4664,7903l3793,7031,3598,7226,4469,8098,4664,7903xm4998,7568l4675,7245,4781,7138,4832,7079,4837,7069,4866,7017,4883,6954,4882,6889,4866,6823,4843,6773,4836,6758,4792,6692,4733,6626,4670,6569,4607,6525,4598,6521,4598,6914,4597,6940,4587,6966,4570,6993,4546,7021,4498,7069,4304,6874,4359,6819,4386,6795,4412,6780,4438,6773,4462,6773,4486,6780,4509,6790,4531,6804,4552,6823,4570,6844,4584,6867,4593,6890,4598,6914,4598,6521,4544,6496,4483,6480,4423,6479,4365,6494,4309,6524,4255,6569,3931,6893,4803,7764,4998,7568xm5788,6779l5132,6123,5330,5924,5115,5709,4524,6301,4739,6516,4937,6317,5593,6973,5788,6779xm6423,6143l5767,5487,5966,5289,5751,5074,5159,5665,5374,5880,5573,5682,6229,6338,6423,6143xm7157,5270l7151,5206,7135,5140,7109,5073,7081,5019,7046,4963,7003,4906,6953,4847,6935,4828,6896,4786,6872,4764,6872,5258,6867,5298,6851,5335,6825,5368,6793,5393,6756,5408,6716,5413,6671,5406,6622,5388,6569,5357,6510,5312,6446,5253,6387,5189,6341,5129,6309,5075,6291,5026,6285,4982,6289,4942,6304,4906,6328,4874,6361,4849,6397,4833,6438,4828,6482,4833,6530,4850,6582,4880,6638,4922,6698,4977,6763,5047,6813,5110,6847,5166,6866,5214,6872,5258,6872,4764,6826,4721,6756,4666,6687,4621,6619,4586,6551,4560,6483,4544,6405,4538,6329,4548,6258,4574,6189,4614,6125,4670,6071,4733,6031,4801,6007,4873,5998,4948,6004,5028,6021,5096,6047,5165,6083,5235,6129,5305,6184,5375,6250,5446,6311,5503,6371,5553,6431,5595,6490,5630,6548,5657,6619,5681,6686,5695,6750,5698,6810,5692,6868,5676,6924,5649,6979,5611,7033,5563,7080,5509,7116,5453,7133,5413,7141,5394,7154,5333,7157,5270xm8170,4275l8165,4226,8153,4175,8134,4122,8109,4068,8079,4012,8041,3955,7980,3980,7799,4054,7831,4101,7855,4144,7873,4184,7884,4221,7887,4257,7881,4290,7866,4321,7843,4350,7812,4373,7778,4388,7740,4392,7700,4385,7653,4367,7600,4333,7538,4283,7469,4219,7417,4162,7375,4110,7344,4063,7324,4020,7311,3969,7312,3922,7325,3881,7352,3845,7367,3832,7384,3822,7402,3814,7422,3809,7442,3807,7464,3807,7486,3811,7509,3817,7524,3822,7542,3831,7563,3842,7586,3856,7705,3631,7622,3585,7543,3553,7469,3534,7400,3528,7333,3535,7269,3558,7206,3596,7146,3648,7092,3711,7054,3778,7030,3848,7021,3922,7027,3999,7044,4066,7070,4134,7106,4203,7153,4273,7209,4344,7276,4415,7341,4476,7404,4528,7467,4572,7529,4607,7590,4635,7662,4658,7730,4671,7791,4674,7847,4667,7900,4650,7952,4624,8004,4587,8056,4540,8094,4498,8125,4455,8147,4411,8161,4367,8169,4322,8170,4275xm8868,3559l8861,3495,8846,3429,8820,3363,8792,3308,8757,3252,8714,3195,8664,3136,8646,3117,8607,3075,8583,3053,8583,3547,8578,3587,8562,3624,8536,3657,8504,3682,8467,3698,8427,3702,8382,3696,8333,3678,8279,3646,8221,3601,8157,3542,8098,3478,8052,3419,8020,3365,8002,3315,7996,3271,8000,3231,8014,3195,8039,3163,8071,3138,8108,3122,8149,3117,8193,3122,8241,3139,8293,3169,8349,3211,8409,3266,8474,3336,8524,3399,8558,3455,8577,3504,8583,3547,8583,3053,8537,3010,8467,2955,8398,2910,8330,2875,8262,2849,8194,2833,8116,2828,8040,2838,7968,2863,7900,2904,7835,2959,7781,3023,7742,3090,7718,3162,7709,3238,7715,3317,7731,3386,7758,3455,7794,3524,7839,3594,7895,3664,7961,3735,8022,3792,8082,3842,8142,3884,8201,3919,8259,3946,8329,3970,8397,3984,8461,3988,8521,3981,8579,3965,8635,3938,8690,3900,8744,3852,8791,3798,8827,3742,8844,3702,8852,3683,8865,3622,8868,3559xm9348,3218l9025,2895,9132,2788,9182,2728,9188,2718,9216,2667,9233,2603,9233,2539,9217,2473,9194,2422,9187,2407,9142,2341,9084,2275,9020,2218,8957,2175,8948,2171,8948,2564,8947,2590,8938,2616,8921,2643,8896,2671,8849,2718,8654,2524,8710,2469,8737,2445,8763,2430,8788,2422,8812,2423,8836,2429,8859,2440,8881,2454,8902,2473,8920,2494,8934,2517,8943,2540,8948,2564,8948,2171,8895,2146,8833,2130,8773,2129,8715,2144,8659,2174,8605,2219,8282,2542,9153,3414,9348,3218xm10166,2400l9801,2036,9748,1886,9593,1434,9540,1284,9325,1500,9353,1570,9436,1781,9492,1921,9422,1893,9211,1810,9071,1754,8854,1970,9005,2023,9456,2178,9606,2231,9971,2595,10166,2400xe" filled="true" fillcolor="#c0c0c0" stroked="false">
                <v:path arrowok="t"/>
                <v:fill opacity="32896f" type="solid"/>
                <w10:wrap type="none"/>
              </v:shape>
            </w:pict>
          </mc:Fallback>
        </mc:AlternateContent>
      </w:r>
      <w:r>
        <w:rPr>
          <w:b/>
        </w:rPr>
        <w:t>Financial Integration: </w:t>
      </w:r>
      <w:r>
        <w:rPr/>
        <w:t>Financial integration as the processwhere the financial markets of two or morecountries or regions become moreconnected through establishing further</w:t>
      </w:r>
      <w:r>
        <w:rPr>
          <w:spacing w:val="40"/>
        </w:rPr>
        <w:t> </w:t>
      </w:r>
      <w:r>
        <w:rPr/>
        <w:t>relations to oneanother in financial servicesand international trade.</w:t>
      </w:r>
    </w:p>
    <w:p>
      <w:pPr>
        <w:pStyle w:val="BodyText"/>
        <w:spacing w:line="480" w:lineRule="auto" w:before="159"/>
        <w:ind w:right="735"/>
        <w:jc w:val="both"/>
      </w:pPr>
      <w:r>
        <w:rPr>
          <w:b/>
        </w:rPr>
        <w:t>Economic Growth</w:t>
      </w:r>
      <w:r>
        <w:rPr/>
        <w:t>: Economic growth as 'a rise in thetotal output (goods or services) produced by acountry'. It represents an increase in thecapacity of an economy toproduce goods andservices, compared from oneperiod of time to another. Economic growth refers only to thequantity of goods and servicesproduced.</w:t>
      </w:r>
    </w:p>
    <w:p>
      <w:pPr>
        <w:spacing w:line="480" w:lineRule="auto" w:before="161"/>
        <w:ind w:left="220" w:right="740" w:firstLine="0"/>
        <w:jc w:val="both"/>
        <w:rPr>
          <w:sz w:val="25"/>
        </w:rPr>
      </w:pPr>
      <w:r>
        <w:rPr>
          <w:b/>
          <w:sz w:val="25"/>
        </w:rPr>
        <w:t>Gross Domestic Product</w:t>
      </w:r>
      <w:r>
        <w:rPr>
          <w:sz w:val="25"/>
        </w:rPr>
        <w:t>: This is the measure of theproductivity of the people in the </w:t>
      </w:r>
      <w:r>
        <w:rPr>
          <w:spacing w:val="-2"/>
          <w:sz w:val="25"/>
        </w:rPr>
        <w:t>economy.</w:t>
      </w:r>
    </w:p>
    <w:p>
      <w:pPr>
        <w:pStyle w:val="BodyText"/>
        <w:spacing w:line="480" w:lineRule="auto" w:before="161"/>
        <w:ind w:right="739"/>
        <w:jc w:val="both"/>
      </w:pPr>
      <w:r>
        <w:rPr>
          <w:b/>
        </w:rPr>
        <w:t>Net Capital Inflow</w:t>
      </w:r>
      <w:r>
        <w:rPr/>
        <w:t>: This is a measure of financial integration which implies the netflow of funds being invested in acountry during acertain period of time (usually a year).</w:t>
      </w:r>
    </w:p>
    <w:p>
      <w:pPr>
        <w:pStyle w:val="BodyText"/>
        <w:spacing w:line="480" w:lineRule="auto" w:before="158"/>
        <w:ind w:right="734"/>
        <w:jc w:val="both"/>
      </w:pPr>
      <w:r>
        <w:rPr>
          <w:b/>
        </w:rPr>
        <w:t>Net FDI Inflow</w:t>
      </w:r>
      <w:r>
        <w:rPr/>
        <w:t>: Foreign direct investment is netinflows of investment to acquire alasting management interest (10 percent or moreof voting stock) in anenterprise operating in an economyother than that of theinvestor. It is the sum ofequity capital; reinvestment of earnings; otherlong-term capital; and short-term capital asshown in the balanceof payments.</w:t>
      </w:r>
    </w:p>
    <w:p>
      <w:pPr>
        <w:pStyle w:val="BodyText"/>
        <w:spacing w:line="480" w:lineRule="auto" w:before="161"/>
        <w:ind w:right="735"/>
        <w:jc w:val="both"/>
      </w:pPr>
      <w:r>
        <w:rPr>
          <w:b/>
        </w:rPr>
        <w:t>Trade Openness</w:t>
      </w:r>
      <w:r>
        <w:rPr/>
        <w:t>: Trade Openness Index is aneconomic metric calculated as theratio of country's totaltrade, the sum of exports plusimports, to the country'sgross domestic product. The interpretation of theOpenness Index is the higherthe index the larger theinfluence of trade ondomestic activities.</w:t>
      </w:r>
    </w:p>
    <w:p>
      <w:pPr>
        <w:spacing w:after="0" w:line="480" w:lineRule="auto"/>
        <w:jc w:val="both"/>
        <w:sectPr>
          <w:pgSz w:w="12240" w:h="15840"/>
          <w:pgMar w:header="0" w:footer="1012" w:top="1380" w:bottom="1200" w:left="1220" w:right="700"/>
        </w:sectPr>
      </w:pPr>
    </w:p>
    <w:p>
      <w:pPr>
        <w:pStyle w:val="BodyText"/>
        <w:spacing w:line="480" w:lineRule="auto" w:before="60"/>
        <w:ind w:right="737"/>
        <w:jc w:val="both"/>
      </w:pPr>
      <w:r>
        <w:rPr>
          <w:b/>
        </w:rPr>
        <w:t>Foreign Remittance</w:t>
      </w:r>
      <w:r>
        <w:rPr/>
        <w:t>: </w:t>
      </w:r>
      <w:r>
        <w:rPr>
          <w:color w:val="221F1F"/>
        </w:rPr>
        <w:t>This is limited tomoney sent by migrant workerswho have been</w:t>
      </w:r>
      <w:r>
        <w:rPr>
          <w:color w:val="221F1F"/>
          <w:spacing w:val="40"/>
        </w:rPr>
        <w:t> </w:t>
      </w:r>
      <w:r>
        <w:rPr>
          <w:color w:val="221F1F"/>
        </w:rPr>
        <w:t>staying in aforeign country for more than ayear to his/her household inhis/her country of origin and thisdoes not include migrantsthat are self-employed.</w:t>
      </w:r>
    </w:p>
    <w:p>
      <w:pPr>
        <w:spacing w:before="161"/>
        <w:ind w:left="220" w:right="0" w:firstLine="0"/>
        <w:jc w:val="left"/>
        <w:rPr>
          <w:sz w:val="25"/>
        </w:rPr>
      </w:pPr>
      <w:r>
        <w:rPr/>
        <mc:AlternateContent>
          <mc:Choice Requires="wps">
            <w:drawing>
              <wp:anchor distT="0" distB="0" distL="0" distR="0" allowOverlap="1" layoutInCell="1" locked="0" behindDoc="1" simplePos="0" relativeHeight="478021120">
                <wp:simplePos x="0" y="0"/>
                <wp:positionH relativeFrom="page">
                  <wp:posOffset>950112</wp:posOffset>
                </wp:positionH>
                <wp:positionV relativeFrom="paragraph">
                  <wp:posOffset>187671</wp:posOffset>
                </wp:positionV>
                <wp:extent cx="5505450" cy="5661025"/>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4.777295pt;width:433.5pt;height:445.75pt;mso-position-horizontal-relative:page;mso-position-vertical-relative:paragraph;z-index:-25295360" id="docshape40" coordorigin="1496,296" coordsize="8670,8915" path="m2562,9015l1691,8144,1496,8339,2367,9210,2562,9015xm3154,8339l3153,8300,3148,8257,3139,8213,3125,8169,3106,8126,3083,8082,3055,8040,3025,7999,2991,7959,2954,7920,2435,7400,2241,7595,2772,8126,2805,8162,2829,8198,2846,8232,2856,8267,2858,8299,2851,8330,2837,8358,2816,8385,2790,8406,2761,8420,2730,8426,2697,8424,2663,8414,2628,8398,2593,8373,2557,8342,2026,7810,1831,8004,2351,8523,2385,8556,2424,8588,2468,8620,2516,8653,2548,8672,2583,8687,2620,8701,2658,8711,2697,8719,2733,8723,2767,8723,2800,8720,2831,8713,2863,8701,2895,8685,2926,8664,2957,8641,2985,8618,3011,8595,3035,8573,3071,8532,3102,8492,3125,8450,3142,8408,3150,8375,3154,8339xm3882,7556l3876,7492,3860,7426,3834,7360,3806,7305,3771,7249,3728,7192,3678,7133,3661,7114,3621,7072,3597,7050,3597,7544,3592,7584,3577,7621,3551,7654,3518,7679,3481,7694,3441,7699,3396,7693,3347,7674,3294,7643,3235,7598,3171,7539,3112,7475,3066,7416,3035,7361,3016,7312,3010,7268,3014,7228,3029,7192,3053,7160,3086,7134,3122,7119,3163,7114,3207,7119,3255,7136,3307,7166,3363,7208,3423,7263,3488,7333,3538,7396,3572,7452,3591,7500,3597,7544,3597,7050,3551,7007,3482,6952,3413,6907,3344,6872,3276,6846,3209,6830,3130,6824,3055,6834,2983,6860,2914,6900,2850,6956,2796,7019,2756,7087,2732,7159,2723,7234,2729,7314,2746,7382,2772,7451,2808,7521,2854,7591,2910,7661,2976,7732,3036,7789,3096,7839,3156,7881,3215,7916,3273,7943,3344,7967,3411,7981,3475,7984,3535,7978,3593,7962,3649,7935,3705,7897,3758,7849,3805,7795,3841,7739,3858,7699,3866,7680,3879,7619,3882,7556xm4153,6976l3966,6789,3712,7044,3899,7231,4153,6976xm4664,6914l3793,6043,3598,6238,4469,7109,4664,6914xm4998,6580l4675,6256,4781,6150,4832,6090,4837,6080,4866,6028,4883,5965,4882,5900,4866,5835,4843,5784,4836,5769,4792,5703,4733,5637,4670,5580,4607,5537,4598,5532,4598,5926,4597,5951,4587,5977,4570,6004,4546,6032,4498,6080,4304,5885,4359,5830,4386,5807,4412,5791,4438,5784,4462,5784,4486,5791,4509,5801,4531,5815,4552,5834,4570,5855,4584,5878,4593,5901,4598,5926,4598,5532,4544,5507,4483,5491,4423,5490,4365,5505,4309,5535,4255,5580,3931,5904,4803,6775,4998,6580xm5788,5790l5132,5134,5330,4935,5115,4720,4524,5312,4739,5527,4937,5328,5593,5984,5788,5790xm6423,5154l5767,4498,5966,4300,5751,4085,5159,4676,5374,4891,5573,4693,6229,5349,6423,5154xm7157,4281l7151,4217,7135,4151,7109,4085,7081,4030,7046,3974,7003,3917,6953,3858,6935,3839,6896,3798,6872,3775,6872,4269,6867,4309,6851,4346,6825,4379,6793,4405,6756,4420,6716,4424,6671,4418,6622,4399,6569,4368,6510,4323,6446,4264,6387,4200,6341,4141,6309,4086,6291,4037,6285,3993,6289,3953,6304,3917,6328,3885,6361,3860,6397,3844,6438,3839,6482,3844,6530,3862,6582,3891,6638,3934,6698,3989,6763,4058,6813,4121,6847,4177,6866,4226,6872,4269,6872,3775,6826,3732,6756,3677,6687,3632,6619,3597,6551,3571,6483,3555,6405,3550,6329,3560,6258,3585,6189,3625,6125,3681,6071,3744,6031,3812,6007,3884,5998,3959,6004,4039,6021,4107,6047,4176,6083,4246,6129,4316,6184,4386,6250,4457,6311,4514,6371,4564,6431,4606,6490,4641,6548,4668,6619,4692,6686,4706,6750,4710,6810,4703,6868,4687,6924,4660,6979,4622,7033,4574,7080,4520,7116,4464,7133,4424,7141,4405,7154,4344,7157,4281xm8170,3286l8165,3237,8153,3186,8134,3134,8109,3079,8079,3023,8041,2966,7980,2991,7799,3065,7831,3112,7855,3155,7873,3195,7884,3233,7887,3268,7881,3301,7866,3332,7843,3361,7812,3385,7778,3399,7740,3403,7700,3397,7653,3378,7600,3344,7538,3295,7469,3230,7417,3174,7375,3122,7344,3074,7324,3031,7311,2980,7312,2933,7325,2892,7352,2856,7367,2843,7384,2833,7402,2825,7422,2820,7442,2818,7464,2819,7486,2822,7509,2828,7524,2834,7542,2842,7563,2853,7586,2867,7705,2642,7622,2596,7543,2564,7469,2545,7400,2539,7333,2547,7269,2569,7206,2607,7146,2660,7092,2722,7054,2789,7030,2859,7021,2933,7027,3011,7044,3078,7070,3145,7106,3214,7153,3284,7209,3355,7276,3427,7341,3487,7404,3539,7467,3583,7529,3618,7590,3646,7662,3669,7730,3682,7791,3685,7847,3678,7900,3661,7952,3635,8004,3598,8056,3552,8094,3509,8125,3466,8147,3422,8161,3378,8169,3333,8170,3286xm8868,2570l8861,2506,8846,2441,8820,2374,8792,2319,8757,2263,8714,2206,8664,2147,8646,2128,8607,2087,8583,2064,8583,2558,8578,2598,8562,2635,8536,2668,8504,2694,8467,2709,8427,2713,8382,2707,8333,2689,8279,2657,8221,2612,8157,2553,8098,2489,8052,2430,8020,2376,8002,2327,7996,2282,8000,2242,8014,2206,8039,2174,8071,2149,8108,2133,8149,2128,8193,2133,8241,2151,8293,2180,8349,2223,8409,2278,8474,2347,8524,2410,8558,2466,8577,2515,8583,2558,8583,2064,8537,2021,8467,1966,8398,1921,8330,1886,8262,1860,8194,1844,8116,1839,8040,1849,7968,1874,7900,1915,7835,1970,7781,2034,7742,2101,7718,2173,7709,2249,7715,2328,7731,2397,7758,2466,7794,2535,7839,2605,7895,2676,7961,2746,8022,2804,8082,2853,8142,2895,8201,2930,8259,2957,8329,2982,8397,2995,8461,2999,8521,2992,8579,2976,8635,2949,8690,2911,8744,2863,8791,2809,8827,2753,8844,2713,8852,2694,8865,2633,8868,2570xm9348,2229l9025,1906,9132,1799,9182,1739,9188,1730,9216,1678,9233,1615,9233,1550,9217,1484,9194,1433,9187,1418,9142,1353,9084,1287,9020,1229,8957,1186,8948,1182,8948,1575,8947,1601,8938,1627,8921,1654,8896,1682,8849,1730,8654,1535,8710,1480,8737,1456,8763,1441,8788,1433,8812,1434,8836,1440,8859,1451,8881,1465,8902,1484,8920,1505,8934,1528,8943,1551,8948,1575,8948,1182,8895,1157,8833,1141,8773,1140,8715,1155,8659,1185,8605,1230,8282,1554,9153,2425,9348,2229xm10166,1412l9801,1047,9748,897,9593,446,9540,296,9325,511,9353,581,9436,792,9492,932,9422,904,9211,821,9071,765,8854,981,9005,1034,9456,1189,9606,1242,9971,1607,10166,1412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021632">
                <wp:simplePos x="0" y="0"/>
                <wp:positionH relativeFrom="page">
                  <wp:posOffset>896416</wp:posOffset>
                </wp:positionH>
                <wp:positionV relativeFrom="paragraph">
                  <wp:posOffset>102835</wp:posOffset>
                </wp:positionV>
                <wp:extent cx="5981065" cy="5925185"/>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5981065" cy="5925185"/>
                        </a:xfrm>
                        <a:custGeom>
                          <a:avLst/>
                          <a:gdLst/>
                          <a:ahLst/>
                          <a:cxnLst/>
                          <a:rect l="l" t="t" r="r" b="b"/>
                          <a:pathLst>
                            <a:path w="5981065" h="5925185">
                              <a:moveTo>
                                <a:pt x="5981065" y="4990287"/>
                              </a:moveTo>
                              <a:lnTo>
                                <a:pt x="0" y="4990287"/>
                              </a:lnTo>
                              <a:lnTo>
                                <a:pt x="0" y="5456936"/>
                              </a:lnTo>
                              <a:lnTo>
                                <a:pt x="0" y="5924804"/>
                              </a:lnTo>
                              <a:lnTo>
                                <a:pt x="5981065" y="5924804"/>
                              </a:lnTo>
                              <a:lnTo>
                                <a:pt x="5981065" y="5456936"/>
                              </a:lnTo>
                              <a:lnTo>
                                <a:pt x="5981065" y="4990287"/>
                              </a:lnTo>
                              <a:close/>
                            </a:path>
                            <a:path w="5981065" h="5925185">
                              <a:moveTo>
                                <a:pt x="5981065" y="4057535"/>
                              </a:moveTo>
                              <a:lnTo>
                                <a:pt x="0" y="4057535"/>
                              </a:lnTo>
                              <a:lnTo>
                                <a:pt x="0" y="4523867"/>
                              </a:lnTo>
                              <a:lnTo>
                                <a:pt x="0" y="4990211"/>
                              </a:lnTo>
                              <a:lnTo>
                                <a:pt x="5981065" y="4990211"/>
                              </a:lnTo>
                              <a:lnTo>
                                <a:pt x="5981065" y="4523867"/>
                              </a:lnTo>
                              <a:lnTo>
                                <a:pt x="5981065" y="4057535"/>
                              </a:lnTo>
                              <a:close/>
                            </a:path>
                            <a:path w="5981065" h="5925185">
                              <a:moveTo>
                                <a:pt x="5981065" y="728548"/>
                              </a:moveTo>
                              <a:lnTo>
                                <a:pt x="0" y="728548"/>
                              </a:lnTo>
                              <a:lnTo>
                                <a:pt x="0" y="1094613"/>
                              </a:lnTo>
                              <a:lnTo>
                                <a:pt x="0" y="1560957"/>
                              </a:lnTo>
                              <a:lnTo>
                                <a:pt x="0" y="4057523"/>
                              </a:lnTo>
                              <a:lnTo>
                                <a:pt x="5981065" y="4057523"/>
                              </a:lnTo>
                              <a:lnTo>
                                <a:pt x="5981065" y="1094613"/>
                              </a:lnTo>
                              <a:lnTo>
                                <a:pt x="5981065" y="728548"/>
                              </a:lnTo>
                              <a:close/>
                            </a:path>
                            <a:path w="5981065" h="5925185">
                              <a:moveTo>
                                <a:pt x="5981065" y="364248"/>
                              </a:moveTo>
                              <a:lnTo>
                                <a:pt x="0" y="364248"/>
                              </a:lnTo>
                              <a:lnTo>
                                <a:pt x="0" y="728472"/>
                              </a:lnTo>
                              <a:lnTo>
                                <a:pt x="5981065" y="728472"/>
                              </a:lnTo>
                              <a:lnTo>
                                <a:pt x="5981065" y="364248"/>
                              </a:lnTo>
                              <a:close/>
                            </a:path>
                            <a:path w="5981065" h="5925185">
                              <a:moveTo>
                                <a:pt x="5981065" y="0"/>
                              </a:moveTo>
                              <a:lnTo>
                                <a:pt x="0" y="0"/>
                              </a:lnTo>
                              <a:lnTo>
                                <a:pt x="0" y="364236"/>
                              </a:lnTo>
                              <a:lnTo>
                                <a:pt x="5981065" y="364236"/>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8.097295pt;width:470.95pt;height:466.55pt;mso-position-horizontal-relative:page;mso-position-vertical-relative:paragraph;z-index:-25294848" id="docshape41" coordorigin="1412,162" coordsize="9419,9331" path="m10831,8021l1412,8021,1412,8756,1412,9492,10831,9492,10831,8756,10831,8021xm10831,6552l1412,6552,1412,7286,1412,8021,10831,8021,10831,7286,10831,6552xm10831,1309l1412,1309,1412,1886,1412,2620,1412,3196,1412,3770,1412,4346,1412,5080,1412,5080,1412,5815,1412,6552,10831,6552,10831,5815,10831,5080,10831,5080,10831,4346,10831,3770,10831,3196,10831,2620,10831,1886,10831,1309xm10831,736l1412,736,1412,1309,10831,1309,10831,736xm10831,162l1412,162,1412,736,10831,736,10831,162xe" filled="true" fillcolor="#ffffff" stroked="false">
                <v:path arrowok="t"/>
                <v:fill type="solid"/>
                <w10:wrap type="none"/>
              </v:shape>
            </w:pict>
          </mc:Fallback>
        </mc:AlternateContent>
      </w:r>
      <w:r>
        <w:rPr>
          <w:b/>
          <w:sz w:val="25"/>
        </w:rPr>
        <w:t>Official</w:t>
      </w:r>
      <w:r>
        <w:rPr>
          <w:b/>
          <w:spacing w:val="34"/>
          <w:sz w:val="25"/>
        </w:rPr>
        <w:t> </w:t>
      </w:r>
      <w:r>
        <w:rPr>
          <w:b/>
          <w:sz w:val="25"/>
        </w:rPr>
        <w:t>Development</w:t>
      </w:r>
      <w:r>
        <w:rPr>
          <w:b/>
          <w:spacing w:val="34"/>
          <w:sz w:val="25"/>
        </w:rPr>
        <w:t> </w:t>
      </w:r>
      <w:r>
        <w:rPr>
          <w:b/>
          <w:sz w:val="25"/>
        </w:rPr>
        <w:t>Assistance</w:t>
      </w:r>
      <w:r>
        <w:rPr>
          <w:b/>
          <w:spacing w:val="34"/>
          <w:sz w:val="25"/>
        </w:rPr>
        <w:t> </w:t>
      </w:r>
      <w:r>
        <w:rPr>
          <w:b/>
          <w:sz w:val="25"/>
        </w:rPr>
        <w:t>(ODA):</w:t>
      </w:r>
      <w:r>
        <w:rPr>
          <w:b/>
          <w:spacing w:val="38"/>
          <w:sz w:val="25"/>
        </w:rPr>
        <w:t> </w:t>
      </w:r>
      <w:r>
        <w:rPr>
          <w:sz w:val="25"/>
        </w:rPr>
        <w:t>It</w:t>
      </w:r>
      <w:r>
        <w:rPr>
          <w:spacing w:val="34"/>
          <w:sz w:val="25"/>
        </w:rPr>
        <w:t> </w:t>
      </w:r>
      <w:r>
        <w:rPr>
          <w:sz w:val="25"/>
        </w:rPr>
        <w:t>is</w:t>
      </w:r>
      <w:r>
        <w:rPr>
          <w:spacing w:val="35"/>
          <w:sz w:val="25"/>
        </w:rPr>
        <w:t> </w:t>
      </w:r>
      <w:r>
        <w:rPr>
          <w:sz w:val="25"/>
        </w:rPr>
        <w:t>an</w:t>
      </w:r>
      <w:r>
        <w:rPr>
          <w:spacing w:val="33"/>
          <w:sz w:val="25"/>
        </w:rPr>
        <w:t> </w:t>
      </w:r>
      <w:r>
        <w:rPr>
          <w:sz w:val="25"/>
        </w:rPr>
        <w:t>international</w:t>
      </w:r>
      <w:r>
        <w:rPr>
          <w:spacing w:val="34"/>
          <w:sz w:val="25"/>
        </w:rPr>
        <w:t> </w:t>
      </w:r>
      <w:r>
        <w:rPr>
          <w:sz w:val="25"/>
        </w:rPr>
        <w:t>transferof</w:t>
      </w:r>
      <w:r>
        <w:rPr>
          <w:spacing w:val="35"/>
          <w:sz w:val="25"/>
        </w:rPr>
        <w:t> </w:t>
      </w:r>
      <w:r>
        <w:rPr>
          <w:sz w:val="25"/>
        </w:rPr>
        <w:t>capital,</w:t>
      </w:r>
      <w:r>
        <w:rPr>
          <w:spacing w:val="34"/>
          <w:sz w:val="25"/>
        </w:rPr>
        <w:t> </w:t>
      </w:r>
      <w:r>
        <w:rPr>
          <w:spacing w:val="-2"/>
          <w:sz w:val="25"/>
        </w:rPr>
        <w:t>goods,</w:t>
      </w:r>
    </w:p>
    <w:p>
      <w:pPr>
        <w:pStyle w:val="BodyText"/>
        <w:spacing w:before="286"/>
      </w:pPr>
      <w:r>
        <w:rPr/>
        <w:t>orservices</w:t>
      </w:r>
      <w:r>
        <w:rPr>
          <w:spacing w:val="-3"/>
        </w:rPr>
        <w:t> </w:t>
      </w:r>
      <w:r>
        <w:rPr/>
        <w:t>for</w:t>
      </w:r>
      <w:r>
        <w:rPr>
          <w:spacing w:val="-3"/>
        </w:rPr>
        <w:t> </w:t>
      </w:r>
      <w:r>
        <w:rPr/>
        <w:t>the</w:t>
      </w:r>
      <w:r>
        <w:rPr>
          <w:spacing w:val="-4"/>
        </w:rPr>
        <w:t> </w:t>
      </w:r>
      <w:r>
        <w:rPr/>
        <w:t>benefitof</w:t>
      </w:r>
      <w:r>
        <w:rPr>
          <w:spacing w:val="-3"/>
        </w:rPr>
        <w:t> </w:t>
      </w:r>
      <w:r>
        <w:rPr/>
        <w:t>other</w:t>
      </w:r>
      <w:r>
        <w:rPr>
          <w:spacing w:val="-3"/>
        </w:rPr>
        <w:t> </w:t>
      </w:r>
      <w:r>
        <w:rPr/>
        <w:t>nations.</w:t>
      </w:r>
      <w:r>
        <w:rPr>
          <w:spacing w:val="-3"/>
        </w:rPr>
        <w:t> </w:t>
      </w:r>
      <w:r>
        <w:rPr/>
        <w:t>These</w:t>
      </w:r>
      <w:r>
        <w:rPr>
          <w:spacing w:val="-1"/>
        </w:rPr>
        <w:t> </w:t>
      </w:r>
      <w:r>
        <w:rPr/>
        <w:t>aids</w:t>
      </w:r>
      <w:r>
        <w:rPr>
          <w:spacing w:val="-3"/>
        </w:rPr>
        <w:t> </w:t>
      </w:r>
      <w:r>
        <w:rPr/>
        <w:t>come</w:t>
      </w:r>
      <w:r>
        <w:rPr>
          <w:spacing w:val="-5"/>
        </w:rPr>
        <w:t> </w:t>
      </w:r>
      <w:r>
        <w:rPr/>
        <w:t>informs</w:t>
      </w:r>
      <w:r>
        <w:rPr>
          <w:spacing w:val="-2"/>
        </w:rPr>
        <w:t> </w:t>
      </w:r>
      <w:r>
        <w:rPr/>
        <w:t>of</w:t>
      </w:r>
      <w:r>
        <w:rPr>
          <w:spacing w:val="-2"/>
        </w:rPr>
        <w:t> </w:t>
      </w:r>
      <w:r>
        <w:rPr/>
        <w:t>capital</w:t>
      </w:r>
      <w:r>
        <w:rPr>
          <w:spacing w:val="-3"/>
        </w:rPr>
        <w:t> </w:t>
      </w:r>
      <w:r>
        <w:rPr/>
        <w:t>transfersin</w:t>
      </w:r>
      <w:r>
        <w:rPr>
          <w:spacing w:val="-3"/>
        </w:rPr>
        <w:t> </w:t>
      </w:r>
      <w:r>
        <w:rPr>
          <w:spacing w:val="-4"/>
        </w:rPr>
        <w:t>cash</w:t>
      </w:r>
    </w:p>
    <w:p>
      <w:pPr>
        <w:pStyle w:val="BodyText"/>
        <w:spacing w:before="286"/>
      </w:pPr>
      <w:r>
        <w:rPr/>
        <w:t>or</w:t>
      </w:r>
      <w:r>
        <w:rPr>
          <w:spacing w:val="-5"/>
        </w:rPr>
        <w:t> </w:t>
      </w:r>
      <w:r>
        <w:rPr/>
        <w:t>kind,</w:t>
      </w:r>
      <w:r>
        <w:rPr>
          <w:spacing w:val="-5"/>
        </w:rPr>
        <w:t> </w:t>
      </w:r>
      <w:r>
        <w:rPr/>
        <w:t>either</w:t>
      </w:r>
      <w:r>
        <w:rPr>
          <w:spacing w:val="-6"/>
        </w:rPr>
        <w:t> </w:t>
      </w:r>
      <w:r>
        <w:rPr/>
        <w:t>asgrants</w:t>
      </w:r>
      <w:r>
        <w:rPr>
          <w:spacing w:val="-4"/>
        </w:rPr>
        <w:t> </w:t>
      </w:r>
      <w:r>
        <w:rPr/>
        <w:t>or</w:t>
      </w:r>
      <w:r>
        <w:rPr>
          <w:spacing w:val="-5"/>
        </w:rPr>
        <w:t> </w:t>
      </w:r>
      <w:r>
        <w:rPr>
          <w:spacing w:val="-2"/>
        </w:rPr>
        <w:t>loans.</w:t>
      </w:r>
    </w:p>
    <w:p>
      <w:pPr>
        <w:pStyle w:val="BodyText"/>
        <w:spacing w:before="163"/>
        <w:ind w:left="0"/>
      </w:pPr>
    </w:p>
    <w:p>
      <w:pPr>
        <w:spacing w:before="0"/>
        <w:ind w:left="220" w:right="0" w:firstLine="0"/>
        <w:jc w:val="left"/>
        <w:rPr>
          <w:sz w:val="25"/>
        </w:rPr>
      </w:pPr>
      <w:r>
        <w:rPr>
          <w:b/>
          <w:sz w:val="25"/>
        </w:rPr>
        <w:t>Foreign</w:t>
      </w:r>
      <w:r>
        <w:rPr>
          <w:b/>
          <w:spacing w:val="-1"/>
          <w:sz w:val="25"/>
        </w:rPr>
        <w:t> </w:t>
      </w:r>
      <w:r>
        <w:rPr>
          <w:b/>
          <w:sz w:val="25"/>
        </w:rPr>
        <w:t>Portfolio</w:t>
      </w:r>
      <w:r>
        <w:rPr>
          <w:b/>
          <w:spacing w:val="-1"/>
          <w:sz w:val="25"/>
        </w:rPr>
        <w:t> </w:t>
      </w:r>
      <w:r>
        <w:rPr>
          <w:b/>
          <w:sz w:val="25"/>
        </w:rPr>
        <w:t>Investment</w:t>
      </w:r>
      <w:r>
        <w:rPr>
          <w:sz w:val="25"/>
        </w:rPr>
        <w:t>:</w:t>
      </w:r>
      <w:r>
        <w:rPr>
          <w:spacing w:val="-4"/>
          <w:sz w:val="25"/>
        </w:rPr>
        <w:t> </w:t>
      </w:r>
      <w:r>
        <w:rPr>
          <w:sz w:val="25"/>
        </w:rPr>
        <w:t>It</w:t>
      </w:r>
      <w:r>
        <w:rPr>
          <w:spacing w:val="-1"/>
          <w:sz w:val="25"/>
        </w:rPr>
        <w:t> </w:t>
      </w:r>
      <w:r>
        <w:rPr>
          <w:sz w:val="25"/>
        </w:rPr>
        <w:t>involves</w:t>
      </w:r>
      <w:r>
        <w:rPr>
          <w:spacing w:val="-1"/>
          <w:sz w:val="25"/>
        </w:rPr>
        <w:t> </w:t>
      </w:r>
      <w:r>
        <w:rPr>
          <w:sz w:val="25"/>
        </w:rPr>
        <w:t>thecommitment of</w:t>
      </w:r>
      <w:r>
        <w:rPr>
          <w:spacing w:val="-1"/>
          <w:sz w:val="25"/>
        </w:rPr>
        <w:t> </w:t>
      </w:r>
      <w:r>
        <w:rPr>
          <w:sz w:val="25"/>
        </w:rPr>
        <w:t>funds</w:t>
      </w:r>
      <w:r>
        <w:rPr>
          <w:spacing w:val="-1"/>
          <w:sz w:val="25"/>
        </w:rPr>
        <w:t> </w:t>
      </w:r>
      <w:r>
        <w:rPr>
          <w:sz w:val="25"/>
        </w:rPr>
        <w:t>to</w:t>
      </w:r>
      <w:r>
        <w:rPr>
          <w:spacing w:val="-4"/>
          <w:sz w:val="25"/>
        </w:rPr>
        <w:t> </w:t>
      </w:r>
      <w:r>
        <w:rPr>
          <w:sz w:val="25"/>
        </w:rPr>
        <w:t>domesticsecurities</w:t>
      </w:r>
      <w:r>
        <w:rPr>
          <w:spacing w:val="-1"/>
          <w:sz w:val="25"/>
        </w:rPr>
        <w:t> </w:t>
      </w:r>
      <w:r>
        <w:rPr>
          <w:spacing w:val="-5"/>
          <w:sz w:val="25"/>
        </w:rPr>
        <w:t>by</w:t>
      </w:r>
    </w:p>
    <w:p>
      <w:pPr>
        <w:pStyle w:val="BodyText"/>
        <w:spacing w:before="286"/>
      </w:pPr>
      <w:r>
        <w:rPr/>
        <w:t>a</w:t>
      </w:r>
      <w:r>
        <w:rPr>
          <w:spacing w:val="64"/>
        </w:rPr>
        <w:t> </w:t>
      </w:r>
      <w:r>
        <w:rPr/>
        <w:t>foreign</w:t>
      </w:r>
      <w:r>
        <w:rPr>
          <w:spacing w:val="66"/>
        </w:rPr>
        <w:t> </w:t>
      </w:r>
      <w:r>
        <w:rPr/>
        <w:t>nation</w:t>
      </w:r>
      <w:r>
        <w:rPr>
          <w:spacing w:val="68"/>
        </w:rPr>
        <w:t> </w:t>
      </w:r>
      <w:r>
        <w:rPr/>
        <w:t>or</w:t>
      </w:r>
      <w:r>
        <w:rPr>
          <w:spacing w:val="66"/>
        </w:rPr>
        <w:t> </w:t>
      </w:r>
      <w:r>
        <w:rPr/>
        <w:t>thepurchase</w:t>
      </w:r>
      <w:r>
        <w:rPr>
          <w:spacing w:val="65"/>
        </w:rPr>
        <w:t> </w:t>
      </w:r>
      <w:r>
        <w:rPr/>
        <w:t>of</w:t>
      </w:r>
      <w:r>
        <w:rPr>
          <w:spacing w:val="66"/>
        </w:rPr>
        <w:t> </w:t>
      </w:r>
      <w:r>
        <w:rPr/>
        <w:t>foreign</w:t>
      </w:r>
      <w:r>
        <w:rPr>
          <w:spacing w:val="68"/>
        </w:rPr>
        <w:t> </w:t>
      </w:r>
      <w:r>
        <w:rPr/>
        <w:t>securitiesby</w:t>
      </w:r>
      <w:r>
        <w:rPr>
          <w:spacing w:val="66"/>
        </w:rPr>
        <w:t> </w:t>
      </w:r>
      <w:r>
        <w:rPr/>
        <w:t>a</w:t>
      </w:r>
      <w:r>
        <w:rPr>
          <w:spacing w:val="64"/>
        </w:rPr>
        <w:t> </w:t>
      </w:r>
      <w:r>
        <w:rPr/>
        <w:t>resident.</w:t>
      </w:r>
      <w:r>
        <w:rPr>
          <w:spacing w:val="68"/>
        </w:rPr>
        <w:t> </w:t>
      </w:r>
      <w:r>
        <w:rPr/>
        <w:t>In</w:t>
      </w:r>
      <w:r>
        <w:rPr>
          <w:spacing w:val="66"/>
        </w:rPr>
        <w:t> </w:t>
      </w:r>
      <w:r>
        <w:rPr/>
        <w:t>finance,</w:t>
      </w:r>
      <w:r>
        <w:rPr>
          <w:spacing w:val="68"/>
        </w:rPr>
        <w:t> </w:t>
      </w:r>
      <w:r>
        <w:rPr>
          <w:spacing w:val="-2"/>
        </w:rPr>
        <w:t>Foreign</w:t>
      </w:r>
    </w:p>
    <w:p>
      <w:pPr>
        <w:pStyle w:val="BodyText"/>
        <w:spacing w:before="1"/>
        <w:ind w:left="0"/>
      </w:pPr>
    </w:p>
    <w:p>
      <w:pPr>
        <w:pStyle w:val="BodyText"/>
      </w:pPr>
      <w:r>
        <w:rPr/>
        <w:t>Portfolio</w:t>
      </w:r>
      <w:r>
        <w:rPr>
          <w:spacing w:val="-4"/>
        </w:rPr>
        <w:t> </w:t>
      </w:r>
      <w:r>
        <w:rPr/>
        <w:t>Investment</w:t>
      </w:r>
      <w:r>
        <w:rPr>
          <w:spacing w:val="-5"/>
        </w:rPr>
        <w:t> </w:t>
      </w:r>
      <w:r>
        <w:rPr/>
        <w:t>is</w:t>
      </w:r>
      <w:r>
        <w:rPr>
          <w:spacing w:val="-4"/>
        </w:rPr>
        <w:t> </w:t>
      </w:r>
      <w:r>
        <w:rPr/>
        <w:t>theentry</w:t>
      </w:r>
      <w:r>
        <w:rPr>
          <w:spacing w:val="-3"/>
        </w:rPr>
        <w:t> </w:t>
      </w:r>
      <w:r>
        <w:rPr/>
        <w:t>of</w:t>
      </w:r>
      <w:r>
        <w:rPr>
          <w:spacing w:val="-2"/>
        </w:rPr>
        <w:t> </w:t>
      </w:r>
      <w:r>
        <w:rPr/>
        <w:t>funds</w:t>
      </w:r>
      <w:r>
        <w:rPr>
          <w:spacing w:val="-4"/>
        </w:rPr>
        <w:t> </w:t>
      </w:r>
      <w:r>
        <w:rPr/>
        <w:t>into</w:t>
      </w:r>
      <w:r>
        <w:rPr>
          <w:spacing w:val="-3"/>
        </w:rPr>
        <w:t> </w:t>
      </w:r>
      <w:r>
        <w:rPr/>
        <w:t>acountry</w:t>
      </w:r>
      <w:r>
        <w:rPr>
          <w:spacing w:val="-2"/>
        </w:rPr>
        <w:t> </w:t>
      </w:r>
      <w:r>
        <w:rPr/>
        <w:t>where</w:t>
      </w:r>
      <w:r>
        <w:rPr>
          <w:spacing w:val="-3"/>
        </w:rPr>
        <w:t> </w:t>
      </w:r>
      <w:r>
        <w:rPr/>
        <w:t>foreigners</w:t>
      </w:r>
      <w:r>
        <w:rPr>
          <w:spacing w:val="-6"/>
        </w:rPr>
        <w:t> </w:t>
      </w:r>
      <w:r>
        <w:rPr/>
        <w:t>make</w:t>
      </w:r>
      <w:r>
        <w:rPr>
          <w:spacing w:val="-4"/>
        </w:rPr>
        <w:t> </w:t>
      </w:r>
      <w:r>
        <w:rPr/>
        <w:t>purchasein</w:t>
      </w:r>
      <w:r>
        <w:rPr>
          <w:spacing w:val="-5"/>
        </w:rPr>
        <w:t> the</w:t>
      </w:r>
    </w:p>
    <w:p>
      <w:pPr>
        <w:pStyle w:val="BodyText"/>
        <w:spacing w:before="286"/>
      </w:pPr>
      <w:r>
        <w:rPr/>
        <w:t>country’s</w:t>
      </w:r>
      <w:r>
        <w:rPr>
          <w:spacing w:val="-8"/>
        </w:rPr>
        <w:t> </w:t>
      </w:r>
      <w:r>
        <w:rPr/>
        <w:t>stock</w:t>
      </w:r>
      <w:r>
        <w:rPr>
          <w:spacing w:val="-8"/>
        </w:rPr>
        <w:t> </w:t>
      </w:r>
      <w:r>
        <w:rPr/>
        <w:t>andbond</w:t>
      </w:r>
      <w:r>
        <w:rPr>
          <w:spacing w:val="-9"/>
        </w:rPr>
        <w:t> </w:t>
      </w:r>
      <w:r>
        <w:rPr/>
        <w:t>markets,</w:t>
      </w:r>
      <w:r>
        <w:rPr>
          <w:spacing w:val="-9"/>
        </w:rPr>
        <w:t> </w:t>
      </w:r>
      <w:r>
        <w:rPr/>
        <w:t>sometimes</w:t>
      </w:r>
      <w:r>
        <w:rPr>
          <w:spacing w:val="-8"/>
        </w:rPr>
        <w:t> </w:t>
      </w:r>
      <w:r>
        <w:rPr>
          <w:spacing w:val="-2"/>
        </w:rPr>
        <w:t>forspeculation.</w:t>
      </w:r>
    </w:p>
    <w:p>
      <w:pPr>
        <w:spacing w:after="0"/>
        <w:sectPr>
          <w:pgSz w:w="12240" w:h="15840"/>
          <w:pgMar w:header="0" w:footer="1012" w:top="1380" w:bottom="1200" w:left="1220" w:right="700"/>
        </w:sectPr>
      </w:pPr>
    </w:p>
    <w:p>
      <w:pPr>
        <w:pStyle w:val="Heading1"/>
        <w:spacing w:line="480" w:lineRule="auto"/>
        <w:ind w:left="3521" w:right="4043" w:firstLine="4"/>
      </w:pPr>
      <w:bookmarkStart w:name="_TOC_250059" w:id="16"/>
      <w:r>
        <w:rPr/>
        <w:t>CHAPTER TWO LITERATURE</w:t>
      </w:r>
      <w:r>
        <w:rPr>
          <w:spacing w:val="-16"/>
        </w:rPr>
        <w:t> </w:t>
      </w:r>
      <w:bookmarkEnd w:id="16"/>
      <w:r>
        <w:rPr/>
        <w:t>REVIEW</w:t>
      </w:r>
    </w:p>
    <w:p>
      <w:pPr>
        <w:pStyle w:val="Heading2"/>
        <w:numPr>
          <w:ilvl w:val="1"/>
          <w:numId w:val="13"/>
        </w:numPr>
        <w:tabs>
          <w:tab w:pos="593" w:val="left" w:leader="none"/>
        </w:tabs>
        <w:spacing w:line="287" w:lineRule="exact" w:before="0" w:after="0"/>
        <w:ind w:left="593" w:right="0" w:hanging="373"/>
        <w:jc w:val="left"/>
      </w:pPr>
      <w:bookmarkStart w:name="_TOC_250058" w:id="17"/>
      <w:bookmarkEnd w:id="17"/>
      <w:r>
        <w:rPr>
          <w:spacing w:val="-2"/>
        </w:rPr>
        <w:t>Introduction</w:t>
      </w:r>
    </w:p>
    <w:p>
      <w:pPr>
        <w:pStyle w:val="BodyText"/>
        <w:spacing w:before="161"/>
        <w:ind w:left="0"/>
        <w:rPr>
          <w:b/>
        </w:rPr>
      </w:pPr>
    </w:p>
    <w:p>
      <w:pPr>
        <w:pStyle w:val="BodyText"/>
        <w:spacing w:before="1"/>
      </w:pPr>
      <w:r>
        <w:rPr/>
        <mc:AlternateContent>
          <mc:Choice Requires="wps">
            <w:drawing>
              <wp:anchor distT="0" distB="0" distL="0" distR="0" allowOverlap="1" layoutInCell="1" locked="0" behindDoc="1" simplePos="0" relativeHeight="478022144">
                <wp:simplePos x="0" y="0"/>
                <wp:positionH relativeFrom="page">
                  <wp:posOffset>950112</wp:posOffset>
                </wp:positionH>
                <wp:positionV relativeFrom="paragraph">
                  <wp:posOffset>85754</wp:posOffset>
                </wp:positionV>
                <wp:extent cx="5505450" cy="5661025"/>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6.752319pt;width:433.5pt;height:445.75pt;mso-position-horizontal-relative:page;mso-position-vertical-relative:paragraph;z-index:-25294336" id="docshape42" coordorigin="1496,135" coordsize="8670,8915" path="m2562,8855l1691,7984,1496,8179,2367,9050,2562,8855xm3154,8179l3153,8139,3148,8096,3139,8053,3125,8009,3106,7965,3083,7922,3055,7880,3025,7838,2991,7798,2954,7759,2435,7240,2241,7434,2772,7966,2805,8002,2829,8037,2846,8072,2856,8106,2858,8139,2851,8169,2837,8198,2816,8224,2790,8246,2761,8260,2730,8266,2697,8263,2663,8254,2628,8237,2593,8213,2557,8181,2026,7649,1831,7843,2351,8363,2385,8395,2424,8427,2468,8460,2516,8492,2548,8511,2583,8527,2620,8540,2658,8551,2697,8559,2733,8562,2767,8563,2800,8559,2831,8552,2863,8541,2895,8524,2926,8504,2957,8481,2985,8458,3011,8435,3035,8412,3071,8372,3102,8331,3125,8290,3142,8247,3150,8215,3154,8179xm3882,7395l3876,7331,3860,7266,3834,7199,3806,7145,3771,7089,3728,7031,3678,6972,3661,6953,3621,6912,3597,6889,3597,7383,3592,7424,3577,7460,3551,7493,3518,7519,3481,7534,3441,7538,3396,7532,3347,7514,3294,7482,3235,7437,3171,7378,3112,7314,3066,7255,3035,7201,3016,7152,3010,7107,3014,7067,3029,7031,3053,6999,3086,6974,3122,6958,3163,6953,3207,6958,3255,6976,3307,7006,3363,7048,3423,7103,3488,7173,3538,7235,3572,7291,3591,7340,3597,7383,3597,6889,3551,6847,3482,6792,3413,6746,3344,6711,3276,6685,3209,6669,3130,6664,3055,6674,2983,6699,2914,6740,2850,6795,2796,6859,2756,6926,2732,6998,2723,7074,2729,7153,2746,7222,2772,7291,2808,7360,2854,7430,2910,7501,2976,7572,3036,7629,3096,7678,3156,7720,3215,7755,3273,7782,3344,7807,3411,7820,3475,7824,3535,7818,3593,7801,3649,7774,3705,7737,3758,7688,3805,7635,3841,7578,3858,7538,3866,7520,3879,7458,3882,7395xm4153,6816l3966,6629,3712,6883,3899,7070,4153,6816xm4664,6753l3793,5882,3598,6077,4469,6948,4664,6753xm4998,6419l4675,6096,4781,5989,4832,5929,4837,5919,4866,5868,4883,5804,4882,5740,4866,5674,4843,5623,4836,5608,4792,5542,4733,5476,4670,5419,4607,5376,4598,5372,4598,5765,4597,5791,4587,5817,4570,5844,4546,5872,4498,5919,4304,5725,4359,5669,4386,5646,4412,5631,4438,5623,4462,5624,4486,5630,4509,5641,4531,5655,4552,5673,4570,5695,4584,5717,4593,5741,4598,5765,4598,5372,4544,5347,4483,5331,4423,5330,4365,5344,4309,5375,4255,5420,3931,5743,4803,6614,4998,6419xm5788,5629l5132,4973,5330,4775,5115,4560,4524,5151,4739,5366,4937,5168,5593,5824,5788,5629xm6423,4994l5767,4338,5966,4139,5751,3924,5159,4516,5374,4731,5573,4532,6229,5188,6423,4994xm7157,4121l7151,4056,7135,3991,7109,3924,7081,3870,7046,3814,7003,3756,6953,3697,6935,3679,6896,3637,6872,3615,6872,4108,6867,4149,6851,4185,6825,4219,6793,4244,6756,4259,6716,4263,6671,4257,6622,4239,6569,4207,6510,4162,6446,4103,6387,4039,6341,3980,6309,3926,6291,3877,6285,3832,6289,3792,6304,3756,6328,3725,6361,3699,6397,3684,6438,3679,6482,3684,6530,3701,6582,3731,6638,3773,6698,3828,6763,3898,6813,3961,6847,4016,6866,4065,6872,4108,6872,3615,6826,3572,6756,3517,6687,3472,6619,3436,6551,3411,6483,3395,6405,3389,6329,3399,6258,3424,6189,3465,6125,3520,6071,3584,6031,3652,6007,3723,5998,3799,6004,3879,6021,3947,6047,4016,6083,4085,6129,4155,6184,4226,6250,4297,6311,4354,6371,4403,6431,4446,6490,4480,6548,4508,6619,4532,6686,4546,6750,4549,6810,4543,6868,4527,6924,4499,6979,4462,7033,4414,7080,4360,7116,4304,7133,4263,7141,4245,7154,4184,7157,4121xm8170,3125l8165,3076,8153,3026,8134,2973,8109,2919,8079,2863,8041,2806,7980,2830,7799,2905,7831,2951,7855,2994,7873,3035,7884,3072,7887,3107,7881,3140,7866,3171,7843,3200,7812,3224,7778,3238,7740,3242,7700,3236,7653,3217,7600,3183,7538,3134,7469,3069,7417,3013,7375,2961,7344,2914,7324,2871,7311,2819,7312,2773,7325,2732,7352,2696,7367,2683,7384,2672,7402,2664,7422,2660,7442,2658,7464,2658,7486,2661,7509,2667,7524,2673,7542,2681,7563,2693,7586,2707,7705,2482,7622,2436,7543,2404,7469,2385,7400,2378,7333,2386,7269,2409,7206,2447,7146,2499,7092,2562,7054,2628,7030,2699,7021,2772,7027,2850,7044,2917,7070,2985,7106,3054,7153,3124,7209,3194,7276,3266,7341,3327,7404,3379,7467,3422,7529,3458,7590,3485,7662,3509,7730,3522,7791,3525,7847,3518,7900,3501,7952,3474,8004,3437,8056,3391,8094,3348,8125,3305,8147,3262,8161,3217,8169,3172,8170,3125xm8868,2410l8861,2346,8846,2280,8820,2213,8792,2159,8757,2103,8714,2045,8664,1986,8646,1968,8607,1926,8583,1904,8583,2398,8578,2438,8562,2475,8536,2508,8504,2533,8467,2548,8427,2553,8382,2546,8333,2528,8279,2497,8221,2451,8157,2392,8098,2328,8052,2269,8020,2215,8002,2166,7996,2122,8000,2081,8014,2045,8039,2014,8071,1988,8108,1973,8149,1968,8193,1973,8241,1990,8293,2020,8349,2062,8409,2117,8474,2187,8524,2250,8558,2305,8577,2354,8583,2398,8583,1904,8537,1861,8467,1806,8398,1761,8330,1725,8262,1700,8194,1684,8116,1678,8040,1688,7968,1714,7900,1754,7835,1810,7781,1873,7742,1941,7718,2012,7709,2088,7715,2168,7731,2236,7758,2305,7794,2375,7839,2445,7895,2515,7961,2586,8022,2643,8082,2693,8142,2735,8201,2769,8259,2797,8329,2821,8397,2835,8461,2838,8521,2832,8579,2816,8635,2789,8690,2751,8744,2703,8791,2649,8827,2593,8844,2553,8852,2534,8865,2473,8868,2410xm9348,2069l9025,1745,9132,1639,9182,1579,9188,1569,9216,1517,9233,1454,9233,1389,9217,1324,9194,1273,9187,1258,9142,1192,9084,1126,9020,1069,8957,1026,8948,1022,8948,1415,8947,1440,8938,1467,8921,1494,8896,1521,8849,1569,8654,1375,8710,1319,8737,1296,8763,1280,8788,1273,8812,1273,8836,1280,8859,1290,8881,1305,8902,1323,8920,1345,8934,1367,8943,1391,8948,1415,8948,1022,8895,996,8833,980,8773,979,8715,994,8659,1024,8605,1069,8282,1393,9153,2264,9348,2069xm10166,1251l9801,886,9748,736,9593,285,9540,135,9325,350,9353,420,9436,631,9492,772,9422,743,9211,660,9071,604,8854,820,9005,873,9456,1029,9606,1081,9971,1446,10166,1251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022656">
                <wp:simplePos x="0" y="0"/>
                <wp:positionH relativeFrom="page">
                  <wp:posOffset>896416</wp:posOffset>
                </wp:positionH>
                <wp:positionV relativeFrom="paragraph">
                  <wp:posOffset>-101189</wp:posOffset>
                </wp:positionV>
                <wp:extent cx="5981065" cy="221170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5981065" cy="2211705"/>
                        </a:xfrm>
                        <a:custGeom>
                          <a:avLst/>
                          <a:gdLst/>
                          <a:ahLst/>
                          <a:cxnLst/>
                          <a:rect l="l" t="t" r="r" b="b"/>
                          <a:pathLst>
                            <a:path w="5981065" h="2211705">
                              <a:moveTo>
                                <a:pt x="5981065" y="1562493"/>
                              </a:moveTo>
                              <a:lnTo>
                                <a:pt x="0" y="1562493"/>
                              </a:lnTo>
                              <a:lnTo>
                                <a:pt x="0" y="1743837"/>
                              </a:lnTo>
                              <a:lnTo>
                                <a:pt x="0" y="2211705"/>
                              </a:lnTo>
                              <a:lnTo>
                                <a:pt x="5981065" y="2211705"/>
                              </a:lnTo>
                              <a:lnTo>
                                <a:pt x="5981065" y="1743837"/>
                              </a:lnTo>
                              <a:lnTo>
                                <a:pt x="5981065" y="1562493"/>
                              </a:lnTo>
                              <a:close/>
                            </a:path>
                            <a:path w="5981065" h="2211705">
                              <a:moveTo>
                                <a:pt x="5981065" y="830656"/>
                              </a:moveTo>
                              <a:lnTo>
                                <a:pt x="0" y="830656"/>
                              </a:lnTo>
                              <a:lnTo>
                                <a:pt x="0" y="1196721"/>
                              </a:lnTo>
                              <a:lnTo>
                                <a:pt x="0" y="1562481"/>
                              </a:lnTo>
                              <a:lnTo>
                                <a:pt x="5981065" y="1562481"/>
                              </a:lnTo>
                              <a:lnTo>
                                <a:pt x="5981065" y="1196721"/>
                              </a:lnTo>
                              <a:lnTo>
                                <a:pt x="5981065" y="830656"/>
                              </a:lnTo>
                              <a:close/>
                            </a:path>
                            <a:path w="5981065" h="2211705">
                              <a:moveTo>
                                <a:pt x="5981065" y="466356"/>
                              </a:moveTo>
                              <a:lnTo>
                                <a:pt x="0" y="466356"/>
                              </a:lnTo>
                              <a:lnTo>
                                <a:pt x="0" y="830580"/>
                              </a:lnTo>
                              <a:lnTo>
                                <a:pt x="5981065" y="830580"/>
                              </a:lnTo>
                              <a:lnTo>
                                <a:pt x="5981065" y="466356"/>
                              </a:lnTo>
                              <a:close/>
                            </a:path>
                            <a:path w="5981065" h="2211705">
                              <a:moveTo>
                                <a:pt x="5981065" y="0"/>
                              </a:moveTo>
                              <a:lnTo>
                                <a:pt x="0" y="0"/>
                              </a:lnTo>
                              <a:lnTo>
                                <a:pt x="0" y="466344"/>
                              </a:lnTo>
                              <a:lnTo>
                                <a:pt x="5981065" y="466344"/>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7.967681pt;width:470.95pt;height:174.15pt;mso-position-horizontal-relative:page;mso-position-vertical-relative:paragraph;z-index:-25293824" id="docshape43" coordorigin="1412,-159" coordsize="9419,3483" path="m10831,2301l1412,2301,1412,2587,1412,3324,10831,3324,10831,2587,10831,2301xm10831,1149l1412,1149,1412,1725,1412,2301,10831,2301,10831,1725,10831,1149xm10831,575l1412,575,1412,1149,10831,1149,10831,575xm10831,-159l1412,-159,1412,575,10831,575,10831,-159xe" filled="true" fillcolor="#ffffff" stroked="false">
                <v:path arrowok="t"/>
                <v:fill type="solid"/>
                <w10:wrap type="none"/>
              </v:shape>
            </w:pict>
          </mc:Fallback>
        </mc:AlternateContent>
      </w:r>
      <w:r>
        <w:rPr/>
        <w:t>In</w:t>
      </w:r>
      <w:r>
        <w:rPr>
          <w:spacing w:val="-4"/>
        </w:rPr>
        <w:t> </w:t>
      </w:r>
      <w:r>
        <w:rPr/>
        <w:t>this</w:t>
      </w:r>
      <w:r>
        <w:rPr>
          <w:spacing w:val="-5"/>
        </w:rPr>
        <w:t> </w:t>
      </w:r>
      <w:r>
        <w:rPr/>
        <w:t>section,</w:t>
      </w:r>
      <w:r>
        <w:rPr>
          <w:spacing w:val="-4"/>
        </w:rPr>
        <w:t> </w:t>
      </w:r>
      <w:r>
        <w:rPr/>
        <w:t>the</w:t>
      </w:r>
      <w:r>
        <w:rPr>
          <w:spacing w:val="-5"/>
        </w:rPr>
        <w:t> </w:t>
      </w:r>
      <w:r>
        <w:rPr/>
        <w:t>related</w:t>
      </w:r>
      <w:r>
        <w:rPr>
          <w:spacing w:val="-4"/>
        </w:rPr>
        <w:t> </w:t>
      </w:r>
      <w:r>
        <w:rPr/>
        <w:t>literatures</w:t>
      </w:r>
      <w:r>
        <w:rPr>
          <w:spacing w:val="-3"/>
        </w:rPr>
        <w:t> </w:t>
      </w:r>
      <w:r>
        <w:rPr/>
        <w:t>were</w:t>
      </w:r>
      <w:r>
        <w:rPr>
          <w:spacing w:val="-5"/>
        </w:rPr>
        <w:t> </w:t>
      </w:r>
      <w:r>
        <w:rPr/>
        <w:t>examined.</w:t>
      </w:r>
      <w:r>
        <w:rPr>
          <w:spacing w:val="-3"/>
        </w:rPr>
        <w:t> </w:t>
      </w:r>
      <w:r>
        <w:rPr/>
        <w:t>The</w:t>
      </w:r>
      <w:r>
        <w:rPr>
          <w:spacing w:val="-1"/>
        </w:rPr>
        <w:t> </w:t>
      </w:r>
      <w:r>
        <w:rPr/>
        <w:t>first</w:t>
      </w:r>
      <w:r>
        <w:rPr>
          <w:spacing w:val="-6"/>
        </w:rPr>
        <w:t> </w:t>
      </w:r>
      <w:r>
        <w:rPr/>
        <w:t>section</w:t>
      </w:r>
      <w:r>
        <w:rPr>
          <w:spacing w:val="-4"/>
        </w:rPr>
        <w:t> </w:t>
      </w:r>
      <w:r>
        <w:rPr/>
        <w:t>covered</w:t>
      </w:r>
      <w:r>
        <w:rPr>
          <w:spacing w:val="-5"/>
        </w:rPr>
        <w:t> </w:t>
      </w:r>
      <w:r>
        <w:rPr/>
        <w:t>the</w:t>
      </w:r>
      <w:r>
        <w:rPr>
          <w:spacing w:val="-5"/>
        </w:rPr>
        <w:t> </w:t>
      </w:r>
      <w:r>
        <w:rPr>
          <w:spacing w:val="-2"/>
        </w:rPr>
        <w:t>conceptual</w:t>
      </w:r>
    </w:p>
    <w:p>
      <w:pPr>
        <w:pStyle w:val="BodyText"/>
        <w:spacing w:before="286"/>
      </w:pPr>
      <w:r>
        <w:rPr/>
        <w:t>review</w:t>
      </w:r>
      <w:r>
        <w:rPr>
          <w:spacing w:val="-7"/>
        </w:rPr>
        <w:t> </w:t>
      </w:r>
      <w:r>
        <w:rPr/>
        <w:t>where</w:t>
      </w:r>
      <w:r>
        <w:rPr>
          <w:spacing w:val="-6"/>
        </w:rPr>
        <w:t> </w:t>
      </w:r>
      <w:r>
        <w:rPr/>
        <w:t>the</w:t>
      </w:r>
      <w:r>
        <w:rPr>
          <w:spacing w:val="-6"/>
        </w:rPr>
        <w:t> </w:t>
      </w:r>
      <w:r>
        <w:rPr/>
        <w:t>relevant</w:t>
      </w:r>
      <w:r>
        <w:rPr>
          <w:spacing w:val="-7"/>
        </w:rPr>
        <w:t> </w:t>
      </w:r>
      <w:r>
        <w:rPr/>
        <w:t>conceptsin</w:t>
      </w:r>
      <w:r>
        <w:rPr>
          <w:spacing w:val="-7"/>
        </w:rPr>
        <w:t> </w:t>
      </w:r>
      <w:r>
        <w:rPr/>
        <w:t>this</w:t>
      </w:r>
      <w:r>
        <w:rPr>
          <w:spacing w:val="-6"/>
        </w:rPr>
        <w:t> </w:t>
      </w:r>
      <w:r>
        <w:rPr/>
        <w:t>study</w:t>
      </w:r>
      <w:r>
        <w:rPr>
          <w:spacing w:val="-4"/>
        </w:rPr>
        <w:t> </w:t>
      </w:r>
      <w:r>
        <w:rPr/>
        <w:t>were</w:t>
      </w:r>
      <w:r>
        <w:rPr>
          <w:spacing w:val="-7"/>
        </w:rPr>
        <w:t> </w:t>
      </w:r>
      <w:r>
        <w:rPr/>
        <w:t>scholarly</w:t>
      </w:r>
      <w:r>
        <w:rPr>
          <w:spacing w:val="-7"/>
        </w:rPr>
        <w:t> </w:t>
      </w:r>
      <w:r>
        <w:rPr/>
        <w:t>examined.</w:t>
      </w:r>
      <w:r>
        <w:rPr>
          <w:spacing w:val="-7"/>
        </w:rPr>
        <w:t> </w:t>
      </w:r>
      <w:r>
        <w:rPr/>
        <w:t>The</w:t>
      </w:r>
      <w:r>
        <w:rPr>
          <w:spacing w:val="-6"/>
        </w:rPr>
        <w:t> </w:t>
      </w:r>
      <w:r>
        <w:rPr/>
        <w:t>second</w:t>
      </w:r>
      <w:r>
        <w:rPr>
          <w:spacing w:val="-7"/>
        </w:rPr>
        <w:t> </w:t>
      </w:r>
      <w:r>
        <w:rPr>
          <w:spacing w:val="-2"/>
        </w:rPr>
        <w:t>section</w:t>
      </w:r>
    </w:p>
    <w:p>
      <w:pPr>
        <w:pStyle w:val="BodyText"/>
        <w:spacing w:before="286"/>
      </w:pPr>
      <w:r>
        <w:rPr/>
        <w:t>covered</w:t>
      </w:r>
      <w:r>
        <w:rPr>
          <w:spacing w:val="37"/>
        </w:rPr>
        <w:t> </w:t>
      </w:r>
      <w:r>
        <w:rPr/>
        <w:t>the</w:t>
      </w:r>
      <w:r>
        <w:rPr>
          <w:spacing w:val="37"/>
        </w:rPr>
        <w:t> </w:t>
      </w:r>
      <w:r>
        <w:rPr/>
        <w:t>existing</w:t>
      </w:r>
      <w:r>
        <w:rPr>
          <w:spacing w:val="38"/>
        </w:rPr>
        <w:t> </w:t>
      </w:r>
      <w:r>
        <w:rPr/>
        <w:t>empirical</w:t>
      </w:r>
      <w:r>
        <w:rPr>
          <w:spacing w:val="38"/>
        </w:rPr>
        <w:t> </w:t>
      </w:r>
      <w:r>
        <w:rPr/>
        <w:t>studiesand</w:t>
      </w:r>
      <w:r>
        <w:rPr>
          <w:spacing w:val="37"/>
        </w:rPr>
        <w:t> </w:t>
      </w:r>
      <w:r>
        <w:rPr/>
        <w:t>their</w:t>
      </w:r>
      <w:r>
        <w:rPr>
          <w:spacing w:val="38"/>
        </w:rPr>
        <w:t> </w:t>
      </w:r>
      <w:r>
        <w:rPr/>
        <w:t>findings</w:t>
      </w:r>
      <w:r>
        <w:rPr>
          <w:spacing w:val="40"/>
        </w:rPr>
        <w:t> </w:t>
      </w:r>
      <w:r>
        <w:rPr/>
        <w:t>while</w:t>
      </w:r>
      <w:r>
        <w:rPr>
          <w:spacing w:val="37"/>
        </w:rPr>
        <w:t> </w:t>
      </w:r>
      <w:r>
        <w:rPr/>
        <w:t>the</w:t>
      </w:r>
      <w:r>
        <w:rPr>
          <w:spacing w:val="37"/>
        </w:rPr>
        <w:t> </w:t>
      </w:r>
      <w:r>
        <w:rPr/>
        <w:t>last</w:t>
      </w:r>
      <w:r>
        <w:rPr>
          <w:spacing w:val="38"/>
        </w:rPr>
        <w:t> </w:t>
      </w:r>
      <w:r>
        <w:rPr/>
        <w:t>sectioncovered</w:t>
      </w:r>
      <w:r>
        <w:rPr>
          <w:spacing w:val="38"/>
        </w:rPr>
        <w:t> </w:t>
      </w:r>
      <w:r>
        <w:rPr>
          <w:spacing w:val="-5"/>
        </w:rPr>
        <w:t>the</w:t>
      </w:r>
    </w:p>
    <w:p>
      <w:pPr>
        <w:pStyle w:val="BodyText"/>
        <w:spacing w:before="1"/>
        <w:ind w:left="0"/>
      </w:pPr>
    </w:p>
    <w:p>
      <w:pPr>
        <w:pStyle w:val="BodyText"/>
      </w:pPr>
      <w:r>
        <w:rPr/>
        <w:t>theoretical</w:t>
      </w:r>
      <w:r>
        <w:rPr>
          <w:spacing w:val="-8"/>
        </w:rPr>
        <w:t> </w:t>
      </w:r>
      <w:r>
        <w:rPr/>
        <w:t>framework</w:t>
      </w:r>
      <w:r>
        <w:rPr>
          <w:spacing w:val="-5"/>
        </w:rPr>
        <w:t> </w:t>
      </w:r>
      <w:r>
        <w:rPr/>
        <w:t>where</w:t>
      </w:r>
      <w:r>
        <w:rPr>
          <w:spacing w:val="-7"/>
        </w:rPr>
        <w:t> </w:t>
      </w:r>
      <w:r>
        <w:rPr/>
        <w:t>thetheory</w:t>
      </w:r>
      <w:r>
        <w:rPr>
          <w:spacing w:val="-7"/>
        </w:rPr>
        <w:t> </w:t>
      </w:r>
      <w:r>
        <w:rPr/>
        <w:t>relevant</w:t>
      </w:r>
      <w:r>
        <w:rPr>
          <w:spacing w:val="-8"/>
        </w:rPr>
        <w:t> </w:t>
      </w:r>
      <w:r>
        <w:rPr/>
        <w:t>to</w:t>
      </w:r>
      <w:r>
        <w:rPr>
          <w:spacing w:val="-7"/>
        </w:rPr>
        <w:t> </w:t>
      </w:r>
      <w:r>
        <w:rPr/>
        <w:t>this</w:t>
      </w:r>
      <w:r>
        <w:rPr>
          <w:spacing w:val="-7"/>
        </w:rPr>
        <w:t> </w:t>
      </w:r>
      <w:r>
        <w:rPr/>
        <w:t>study</w:t>
      </w:r>
      <w:r>
        <w:rPr>
          <w:spacing w:val="-7"/>
        </w:rPr>
        <w:t> </w:t>
      </w:r>
      <w:r>
        <w:rPr/>
        <w:t>was</w:t>
      </w:r>
      <w:r>
        <w:rPr>
          <w:spacing w:val="-6"/>
        </w:rPr>
        <w:t> </w:t>
      </w:r>
      <w:r>
        <w:rPr>
          <w:spacing w:val="-2"/>
        </w:rPr>
        <w:t>examined.</w:t>
      </w:r>
    </w:p>
    <w:p>
      <w:pPr>
        <w:pStyle w:val="BodyText"/>
        <w:ind w:left="0"/>
      </w:pPr>
    </w:p>
    <w:p>
      <w:pPr>
        <w:pStyle w:val="BodyText"/>
        <w:spacing w:before="160"/>
        <w:ind w:left="0"/>
      </w:pPr>
    </w:p>
    <w:p>
      <w:pPr>
        <w:pStyle w:val="Heading2"/>
        <w:numPr>
          <w:ilvl w:val="1"/>
          <w:numId w:val="13"/>
        </w:numPr>
        <w:tabs>
          <w:tab w:pos="593" w:val="left" w:leader="none"/>
        </w:tabs>
        <w:spacing w:line="240" w:lineRule="auto" w:before="0" w:after="0"/>
        <w:ind w:left="593" w:right="0" w:hanging="373"/>
        <w:jc w:val="left"/>
      </w:pPr>
      <w:bookmarkStart w:name="_TOC_250057" w:id="18"/>
      <w:r>
        <w:rPr/>
        <w:t>Conceptual</w:t>
      </w:r>
      <w:r>
        <w:rPr>
          <w:spacing w:val="-14"/>
        </w:rPr>
        <w:t> </w:t>
      </w:r>
      <w:bookmarkEnd w:id="18"/>
      <w:r>
        <w:rPr>
          <w:spacing w:val="-2"/>
        </w:rPr>
        <w:t>Review</w:t>
      </w:r>
    </w:p>
    <w:p>
      <w:pPr>
        <w:pStyle w:val="BodyText"/>
        <w:spacing w:before="162"/>
        <w:ind w:left="0"/>
        <w:rPr>
          <w:b/>
        </w:rPr>
      </w:pPr>
    </w:p>
    <w:p>
      <w:pPr>
        <w:pStyle w:val="Heading2"/>
        <w:numPr>
          <w:ilvl w:val="2"/>
          <w:numId w:val="13"/>
        </w:numPr>
        <w:tabs>
          <w:tab w:pos="780" w:val="left" w:leader="none"/>
        </w:tabs>
        <w:spacing w:line="240" w:lineRule="auto" w:before="0" w:after="0"/>
        <w:ind w:left="780" w:right="0" w:hanging="560"/>
        <w:jc w:val="left"/>
      </w:pPr>
      <w:bookmarkStart w:name="_TOC_250056" w:id="19"/>
      <w:r>
        <w:rPr/>
        <w:t>Financial</w:t>
      </w:r>
      <w:r>
        <w:rPr>
          <w:spacing w:val="-13"/>
        </w:rPr>
        <w:t> </w:t>
      </w:r>
      <w:bookmarkEnd w:id="19"/>
      <w:r>
        <w:rPr>
          <w:spacing w:val="-2"/>
        </w:rPr>
        <w:t>Integration</w:t>
      </w:r>
    </w:p>
    <w:p>
      <w:pPr>
        <w:pStyle w:val="BodyText"/>
        <w:spacing w:before="160"/>
        <w:ind w:left="0"/>
        <w:rPr>
          <w:b/>
        </w:rPr>
      </w:pPr>
    </w:p>
    <w:p>
      <w:pPr>
        <w:pStyle w:val="BodyText"/>
        <w:spacing w:line="480" w:lineRule="auto"/>
        <w:ind w:right="734"/>
        <w:jc w:val="both"/>
      </w:pPr>
      <w:r>
        <w:rPr/>
        <w:t>Financial</w:t>
      </w:r>
      <w:r>
        <w:rPr>
          <w:spacing w:val="-3"/>
        </w:rPr>
        <w:t> </w:t>
      </w:r>
      <w:r>
        <w:rPr/>
        <w:t>integration</w:t>
      </w:r>
      <w:r>
        <w:rPr>
          <w:spacing w:val="-2"/>
        </w:rPr>
        <w:t> </w:t>
      </w:r>
      <w:r>
        <w:rPr/>
        <w:t>encompasses</w:t>
      </w:r>
      <w:r>
        <w:rPr>
          <w:spacing w:val="-2"/>
        </w:rPr>
        <w:t> </w:t>
      </w:r>
      <w:r>
        <w:rPr/>
        <w:t>domestic</w:t>
      </w:r>
      <w:r>
        <w:rPr>
          <w:spacing w:val="-3"/>
        </w:rPr>
        <w:t> </w:t>
      </w:r>
      <w:r>
        <w:rPr/>
        <w:t>financial</w:t>
      </w:r>
      <w:r>
        <w:rPr>
          <w:spacing w:val="-2"/>
        </w:rPr>
        <w:t> </w:t>
      </w:r>
      <w:r>
        <w:rPr/>
        <w:t>market</w:t>
      </w:r>
      <w:r>
        <w:rPr>
          <w:spacing w:val="-2"/>
        </w:rPr>
        <w:t> </w:t>
      </w:r>
      <w:r>
        <w:rPr/>
        <w:t>deregulationand</w:t>
      </w:r>
      <w:r>
        <w:rPr>
          <w:spacing w:val="-3"/>
        </w:rPr>
        <w:t> </w:t>
      </w:r>
      <w:r>
        <w:rPr/>
        <w:t>capital</w:t>
      </w:r>
      <w:r>
        <w:rPr>
          <w:spacing w:val="-2"/>
        </w:rPr>
        <w:t> </w:t>
      </w:r>
      <w:r>
        <w:rPr/>
        <w:t>account liberalization. Financial integration is definedas the integration of acountry’s local financial system withinternational financial markets. It usually requires liberalizationof domestic financial sector and thecapital account. Financial integration, thus, entails increase incross- country capital movement, which involves anactive participation of local borrowersand lenders ininternational markets and a widespread useof international financial intermediaries andinstruments (Bussiere, 2004). Eyraud, Singhand Sutton (2017) gave the definitionof financial</w:t>
      </w:r>
      <w:r>
        <w:rPr>
          <w:spacing w:val="-4"/>
        </w:rPr>
        <w:t> </w:t>
      </w:r>
      <w:r>
        <w:rPr/>
        <w:t>integration</w:t>
      </w:r>
      <w:r>
        <w:rPr>
          <w:spacing w:val="-1"/>
        </w:rPr>
        <w:t> </w:t>
      </w:r>
      <w:r>
        <w:rPr/>
        <w:t>as</w:t>
      </w:r>
      <w:r>
        <w:rPr>
          <w:spacing w:val="-3"/>
        </w:rPr>
        <w:t> </w:t>
      </w:r>
      <w:r>
        <w:rPr/>
        <w:t>theprocess</w:t>
      </w:r>
      <w:r>
        <w:rPr>
          <w:spacing w:val="-3"/>
        </w:rPr>
        <w:t> </w:t>
      </w:r>
      <w:r>
        <w:rPr/>
        <w:t>of</w:t>
      </w:r>
      <w:r>
        <w:rPr>
          <w:spacing w:val="-3"/>
        </w:rPr>
        <w:t> </w:t>
      </w:r>
      <w:r>
        <w:rPr/>
        <w:t>financial</w:t>
      </w:r>
      <w:r>
        <w:rPr>
          <w:spacing w:val="-4"/>
        </w:rPr>
        <w:t> </w:t>
      </w:r>
      <w:r>
        <w:rPr/>
        <w:t>markets</w:t>
      </w:r>
      <w:r>
        <w:rPr>
          <w:spacing w:val="-2"/>
        </w:rPr>
        <w:t> </w:t>
      </w:r>
      <w:r>
        <w:rPr/>
        <w:t>wheretwo</w:t>
      </w:r>
      <w:r>
        <w:rPr>
          <w:spacing w:val="-4"/>
        </w:rPr>
        <w:t> </w:t>
      </w:r>
      <w:r>
        <w:rPr/>
        <w:t>or</w:t>
      </w:r>
      <w:r>
        <w:rPr>
          <w:spacing w:val="-4"/>
        </w:rPr>
        <w:t> </w:t>
      </w:r>
      <w:r>
        <w:rPr/>
        <w:t>more</w:t>
      </w:r>
      <w:r>
        <w:rPr>
          <w:spacing w:val="-4"/>
        </w:rPr>
        <w:t> </w:t>
      </w:r>
      <w:r>
        <w:rPr/>
        <w:t>countriesor</w:t>
      </w:r>
      <w:r>
        <w:rPr>
          <w:spacing w:val="-3"/>
        </w:rPr>
        <w:t> </w:t>
      </w:r>
      <w:r>
        <w:rPr/>
        <w:t>regions establishes further relationsto one another. They also indicated that financial integration is amultifaceted concept with nouniversally agreed definition. They highlight two main financial integration indicators which are thelevel of cross border financial flowand the stagesof consolidation and convergenceacross financial markets.</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23168">
                <wp:simplePos x="0" y="0"/>
                <wp:positionH relativeFrom="page">
                  <wp:posOffset>950112</wp:posOffset>
                </wp:positionH>
                <wp:positionV relativeFrom="paragraph">
                  <wp:posOffset>1321053</wp:posOffset>
                </wp:positionV>
                <wp:extent cx="5505450" cy="5661025"/>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93312" id="docshape44"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IMF (2016) defined financial integration as theprocess where the financial marketsof two or more countries orregions become more connected throughestablishing further relationsto one another infinancial services andinternational trade. Financial integration has variousforms which are cross-bordercapital flows, foreign engagement indomestic markets, sharingof information among financial institutions,or merger offinancial market infrastructures. Financial integration can be regardedas a regional orglobal, depending on acountry’s financial market association orlinkage to neighboring countriesor to global financial centers orinstitutions. Asian Development Bank (2013) defines financial integration as aprocess of financial market that is motivated byliberalization of domestic financialmarket and capital </w:t>
      </w:r>
      <w:r>
        <w:rPr>
          <w:spacing w:val="-2"/>
        </w:rPr>
        <w:t>accountrelaxation.</w:t>
      </w:r>
    </w:p>
    <w:p>
      <w:pPr>
        <w:pStyle w:val="BodyText"/>
        <w:spacing w:line="480" w:lineRule="auto" w:before="162"/>
        <w:ind w:right="734"/>
        <w:jc w:val="both"/>
      </w:pPr>
      <w:r>
        <w:rPr/>
        <w:t>Prasad, Rogoff, Wei and Kose (2003) defined financial integrationas an individual economy’s linkagesto the global capitalmarkets. That is, the degree to which aneconomy’s capital market is connectedto that of other economiesand the international communityas a whole. Their definitionlies within the contextof the existence oflegal restrictions orother country-specificfactors (be it governance, institutional or macroeconomic) which may promote orretard capital flowsacross country’s borders. McKinnon-Shaw (1973) hypothesis posits</w:t>
      </w:r>
      <w:r>
        <w:rPr>
          <w:spacing w:val="-2"/>
        </w:rPr>
        <w:t> </w:t>
      </w:r>
      <w:r>
        <w:rPr/>
        <w:t>that</w:t>
      </w:r>
      <w:r>
        <w:rPr>
          <w:spacing w:val="-4"/>
        </w:rPr>
        <w:t> </w:t>
      </w:r>
      <w:r>
        <w:rPr/>
        <w:t>theelimination</w:t>
      </w:r>
      <w:r>
        <w:rPr>
          <w:spacing w:val="-2"/>
        </w:rPr>
        <w:t> </w:t>
      </w:r>
      <w:r>
        <w:rPr/>
        <w:t>of</w:t>
      </w:r>
      <w:r>
        <w:rPr>
          <w:spacing w:val="-3"/>
        </w:rPr>
        <w:t> </w:t>
      </w:r>
      <w:r>
        <w:rPr/>
        <w:t>credit</w:t>
      </w:r>
      <w:r>
        <w:rPr>
          <w:spacing w:val="-4"/>
        </w:rPr>
        <w:t> </w:t>
      </w:r>
      <w:r>
        <w:rPr/>
        <w:t>ceilingsand</w:t>
      </w:r>
      <w:r>
        <w:rPr>
          <w:spacing w:val="-4"/>
        </w:rPr>
        <w:t> </w:t>
      </w:r>
      <w:r>
        <w:rPr/>
        <w:t>restrictions</w:t>
      </w:r>
      <w:r>
        <w:rPr>
          <w:spacing w:val="-2"/>
        </w:rPr>
        <w:t> </w:t>
      </w:r>
      <w:r>
        <w:rPr/>
        <w:t>by</w:t>
      </w:r>
      <w:r>
        <w:rPr>
          <w:spacing w:val="-4"/>
        </w:rPr>
        <w:t> </w:t>
      </w:r>
      <w:r>
        <w:rPr/>
        <w:t>thegovernment</w:t>
      </w:r>
      <w:r>
        <w:rPr>
          <w:spacing w:val="-4"/>
        </w:rPr>
        <w:t> </w:t>
      </w:r>
      <w:r>
        <w:rPr/>
        <w:t>results</w:t>
      </w:r>
      <w:r>
        <w:rPr>
          <w:spacing w:val="-2"/>
        </w:rPr>
        <w:t> </w:t>
      </w:r>
      <w:r>
        <w:rPr/>
        <w:t>in</w:t>
      </w:r>
      <w:r>
        <w:rPr>
          <w:spacing w:val="-4"/>
        </w:rPr>
        <w:t> </w:t>
      </w:r>
      <w:r>
        <w:rPr/>
        <w:t>higher real interest ratewhich raises savings, therebymaking funds available for investingand promotingeconomic growth. The concept offinancial integration comesabout when the domestic financialmarket is liberalized toallow foreigners to partake inactivities on the domestic</w:t>
      </w:r>
      <w:r>
        <w:rPr>
          <w:spacing w:val="49"/>
        </w:rPr>
        <w:t> </w:t>
      </w:r>
      <w:r>
        <w:rPr/>
        <w:t>financialmarket.</w:t>
      </w:r>
      <w:r>
        <w:rPr>
          <w:spacing w:val="49"/>
        </w:rPr>
        <w:t> </w:t>
      </w:r>
      <w:r>
        <w:rPr/>
        <w:t>Furthermore,</w:t>
      </w:r>
      <w:r>
        <w:rPr>
          <w:spacing w:val="49"/>
        </w:rPr>
        <w:t> </w:t>
      </w:r>
      <w:r>
        <w:rPr/>
        <w:t>financial</w:t>
      </w:r>
      <w:r>
        <w:rPr>
          <w:spacing w:val="49"/>
        </w:rPr>
        <w:t> </w:t>
      </w:r>
      <w:r>
        <w:rPr/>
        <w:t>integration</w:t>
      </w:r>
      <w:r>
        <w:rPr>
          <w:spacing w:val="49"/>
        </w:rPr>
        <w:t> </w:t>
      </w:r>
      <w:r>
        <w:rPr/>
        <w:t>also</w:t>
      </w:r>
      <w:r>
        <w:rPr>
          <w:spacing w:val="49"/>
        </w:rPr>
        <w:t> </w:t>
      </w:r>
      <w:r>
        <w:rPr/>
        <w:t>arises</w:t>
      </w:r>
      <w:r>
        <w:rPr>
          <w:spacing w:val="50"/>
        </w:rPr>
        <w:t> </w:t>
      </w:r>
      <w:r>
        <w:rPr>
          <w:spacing w:val="-2"/>
        </w:rPr>
        <w:t>whengovernment</w:t>
      </w:r>
    </w:p>
    <w:p>
      <w:pPr>
        <w:spacing w:after="0" w:line="480" w:lineRule="auto"/>
        <w:jc w:val="both"/>
        <w:sectPr>
          <w:pgSz w:w="12240" w:h="15840"/>
          <w:pgMar w:header="0" w:footer="1012" w:top="1380" w:bottom="1200" w:left="1220" w:right="700"/>
        </w:sectPr>
      </w:pPr>
    </w:p>
    <w:p>
      <w:pPr>
        <w:pStyle w:val="BodyText"/>
        <w:spacing w:line="480" w:lineRule="auto" w:before="60"/>
        <w:ind w:right="736"/>
        <w:jc w:val="both"/>
      </w:pPr>
      <w:r>
        <w:rPr/>
        <w:t>removes barriers tocapital mobility so as not todiscriminate against foreign creditorsin the domesticfinancial market.</w:t>
      </w:r>
    </w:p>
    <w:p>
      <w:pPr>
        <w:pStyle w:val="BodyText"/>
        <w:spacing w:line="480" w:lineRule="auto" w:before="160"/>
        <w:ind w:right="733"/>
        <w:jc w:val="both"/>
      </w:pPr>
      <w:r>
        <w:rPr/>
        <mc:AlternateContent>
          <mc:Choice Requires="wps">
            <w:drawing>
              <wp:anchor distT="0" distB="0" distL="0" distR="0" allowOverlap="1" layoutInCell="1" locked="0" behindDoc="1" simplePos="0" relativeHeight="478023680">
                <wp:simplePos x="0" y="0"/>
                <wp:positionH relativeFrom="page">
                  <wp:posOffset>950112</wp:posOffset>
                </wp:positionH>
                <wp:positionV relativeFrom="paragraph">
                  <wp:posOffset>552765</wp:posOffset>
                </wp:positionV>
                <wp:extent cx="5505450" cy="5661025"/>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92800" id="docshape45"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Wambugu (2018) defined financial integrationas an individual country’s removalof the existing market-based restrictionsand administrative barriers oncapital movement across borders. It also includes measures toattract foreign capital thus creating afinancial market structure and productssimilar to those of theoverseas markets and therefore becomes partof the globalmarket. The study used FDI and portfolio inflowsas the measures offinancial integration. Yabara (2012) defined financial integration in thecontext of the lawof one price where perfectly integrated financialmarkets have no restrictions oncross-border transactions, returns onidentical assets are equalized acrosscountries, as long as there is nodifference in country risksand exchangerisk. Yabara (2012) believed that financial integrationin this context can</w:t>
      </w:r>
      <w:r>
        <w:rPr>
          <w:spacing w:val="3"/>
        </w:rPr>
        <w:t> </w:t>
      </w:r>
      <w:r>
        <w:rPr/>
        <w:t>be achieved</w:t>
      </w:r>
      <w:r>
        <w:rPr>
          <w:spacing w:val="3"/>
        </w:rPr>
        <w:t> </w:t>
      </w:r>
      <w:r>
        <w:rPr/>
        <w:t>withoutnecessarily</w:t>
      </w:r>
      <w:r>
        <w:rPr>
          <w:spacing w:val="1"/>
        </w:rPr>
        <w:t> </w:t>
      </w:r>
      <w:r>
        <w:rPr/>
        <w:t>unifying</w:t>
      </w:r>
      <w:r>
        <w:rPr>
          <w:spacing w:val="1"/>
        </w:rPr>
        <w:t> </w:t>
      </w:r>
      <w:r>
        <w:rPr/>
        <w:t>institutionsor</w:t>
      </w:r>
      <w:r>
        <w:rPr>
          <w:spacing w:val="1"/>
        </w:rPr>
        <w:t> </w:t>
      </w:r>
      <w:r>
        <w:rPr/>
        <w:t>markets.</w:t>
      </w:r>
      <w:r>
        <w:rPr>
          <w:spacing w:val="2"/>
        </w:rPr>
        <w:t> </w:t>
      </w:r>
      <w:r>
        <w:rPr/>
        <w:t>For</w:t>
      </w:r>
      <w:r>
        <w:rPr>
          <w:spacing w:val="2"/>
        </w:rPr>
        <w:t> </w:t>
      </w:r>
      <w:r>
        <w:rPr/>
        <w:t>instance,</w:t>
      </w:r>
      <w:r>
        <w:rPr>
          <w:spacing w:val="1"/>
        </w:rPr>
        <w:t> </w:t>
      </w:r>
      <w:r>
        <w:rPr>
          <w:spacing w:val="-5"/>
        </w:rPr>
        <w:t>the</w:t>
      </w:r>
    </w:p>
    <w:p>
      <w:pPr>
        <w:pStyle w:val="BodyText"/>
        <w:spacing w:line="480" w:lineRule="auto"/>
        <w:ind w:right="735"/>
        <w:jc w:val="both"/>
      </w:pPr>
      <w:r>
        <w:rPr/>
        <w:t>U.K and U.S.A. and are said to behighly integrated eventhough these markets have different institutionaland legal frameworks. Domestic financial market can be strengthened through financial integrationwith efficient capital allocation, more investmentsand growth opportunities. It also facilitates theflows of capital fromnations with rich capital tocountries with scarcecapital. This movement of capital can lowerthe cost of capital incapital scarce economies leading toincreased investments which is amajor engine forgrowth.</w:t>
      </w:r>
    </w:p>
    <w:p>
      <w:pPr>
        <w:pStyle w:val="BodyText"/>
        <w:spacing w:line="480" w:lineRule="auto" w:before="162"/>
        <w:ind w:right="734"/>
        <w:jc w:val="both"/>
      </w:pPr>
      <w:r>
        <w:rPr/>
        <w:t>Based on the abovedefinitions, financial integration is theprocedure where thefinancial markets of two or morecountries or regions establishfurther relations in financial servicesand international tradeto create a well-integrated regionalor global regulated financial system.</w:t>
      </w:r>
      <w:r>
        <w:rPr>
          <w:spacing w:val="40"/>
        </w:rPr>
        <w:t> </w:t>
      </w:r>
      <w:r>
        <w:rPr/>
        <w:t>The</w:t>
      </w:r>
      <w:r>
        <w:rPr>
          <w:spacing w:val="21"/>
        </w:rPr>
        <w:t> </w:t>
      </w:r>
      <w:r>
        <w:rPr/>
        <w:t>process</w:t>
      </w:r>
      <w:r>
        <w:rPr>
          <w:spacing w:val="23"/>
        </w:rPr>
        <w:t> </w:t>
      </w:r>
      <w:r>
        <w:rPr/>
        <w:t>could</w:t>
      </w:r>
      <w:r>
        <w:rPr>
          <w:spacing w:val="22"/>
        </w:rPr>
        <w:t> </w:t>
      </w:r>
      <w:r>
        <w:rPr/>
        <w:t>bethrough</w:t>
      </w:r>
      <w:r>
        <w:rPr>
          <w:spacing w:val="22"/>
        </w:rPr>
        <w:t> </w:t>
      </w:r>
      <w:r>
        <w:rPr/>
        <w:t>cross-border</w:t>
      </w:r>
      <w:r>
        <w:rPr>
          <w:spacing w:val="21"/>
        </w:rPr>
        <w:t> </w:t>
      </w:r>
      <w:r>
        <w:rPr/>
        <w:t>flowsof</w:t>
      </w:r>
      <w:r>
        <w:rPr>
          <w:spacing w:val="22"/>
        </w:rPr>
        <w:t> </w:t>
      </w:r>
      <w:r>
        <w:rPr/>
        <w:t>capital,</w:t>
      </w:r>
      <w:r>
        <w:rPr>
          <w:spacing w:val="23"/>
        </w:rPr>
        <w:t> </w:t>
      </w:r>
      <w:r>
        <w:rPr/>
        <w:t>foreign</w:t>
      </w:r>
      <w:r>
        <w:rPr>
          <w:spacing w:val="22"/>
        </w:rPr>
        <w:t> </w:t>
      </w:r>
      <w:r>
        <w:rPr/>
        <w:t>involvement</w:t>
      </w:r>
      <w:r>
        <w:rPr>
          <w:spacing w:val="22"/>
        </w:rPr>
        <w:t> </w:t>
      </w:r>
      <w:r>
        <w:rPr>
          <w:spacing w:val="-2"/>
        </w:rPr>
        <w:t>indomestic</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24192">
                <wp:simplePos x="0" y="0"/>
                <wp:positionH relativeFrom="page">
                  <wp:posOffset>950112</wp:posOffset>
                </wp:positionH>
                <wp:positionV relativeFrom="paragraph">
                  <wp:posOffset>1321053</wp:posOffset>
                </wp:positionV>
                <wp:extent cx="5505450" cy="5661025"/>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92288" id="docshape46"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markets, sharingof information among financial institutions, orharmonization ofmarket infrastructures. Based on acountry’s connection of financialsystem to region orglobal financial institutions, thefinancial integration can beconsidered as regional orglobal integration.</w:t>
      </w:r>
      <w:r>
        <w:rPr>
          <w:spacing w:val="-1"/>
        </w:rPr>
        <w:t> </w:t>
      </w:r>
      <w:r>
        <w:rPr/>
        <w:t>Theoretically,</w:t>
      </w:r>
      <w:r>
        <w:rPr>
          <w:spacing w:val="-1"/>
        </w:rPr>
        <w:t> </w:t>
      </w:r>
      <w:r>
        <w:rPr/>
        <w:t>integration</w:t>
      </w:r>
      <w:r>
        <w:rPr>
          <w:spacing w:val="-1"/>
        </w:rPr>
        <w:t> </w:t>
      </w:r>
      <w:r>
        <w:rPr/>
        <w:t>could</w:t>
      </w:r>
      <w:r>
        <w:rPr>
          <w:spacing w:val="-2"/>
        </w:rPr>
        <w:t> </w:t>
      </w:r>
      <w:r>
        <w:rPr/>
        <w:t>be</w:t>
      </w:r>
      <w:r>
        <w:rPr>
          <w:spacing w:val="-2"/>
        </w:rPr>
        <w:t> </w:t>
      </w:r>
      <w:r>
        <w:rPr/>
        <w:t>seenby</w:t>
      </w:r>
      <w:r>
        <w:rPr>
          <w:spacing w:val="-1"/>
        </w:rPr>
        <w:t> </w:t>
      </w:r>
      <w:r>
        <w:rPr/>
        <w:t>the</w:t>
      </w:r>
      <w:r>
        <w:rPr>
          <w:spacing w:val="-2"/>
        </w:rPr>
        <w:t> </w:t>
      </w:r>
      <w:r>
        <w:rPr/>
        <w:t>convergence of</w:t>
      </w:r>
      <w:r>
        <w:rPr>
          <w:spacing w:val="-1"/>
        </w:rPr>
        <w:t> </w:t>
      </w:r>
      <w:r>
        <w:rPr/>
        <w:t>pricesof goods and services with similarrisk and returns irrespectiveof their location (Ezeaku, Anyalechi, Onwumere &amp; Okereke</w:t>
      </w:r>
      <w:r>
        <w:rPr>
          <w:b/>
        </w:rPr>
        <w:t>, </w:t>
      </w:r>
      <w:r>
        <w:rPr/>
        <w:t>2018). Financial integration can be mainly determinedby the cross- border flowof financial capital and thestages of convergenceof asset prices. The convergenceof financial market structures facilitates and produces inducement for cross- border capital flows, whilefinancial openness offersopportunities to import financial institutions alleviating for greater unificationacross markets (Abdulaziz, 2020).</w:t>
      </w:r>
    </w:p>
    <w:p>
      <w:pPr>
        <w:pStyle w:val="BodyText"/>
        <w:spacing w:line="480" w:lineRule="auto" w:before="162"/>
        <w:ind w:right="734"/>
        <w:jc w:val="both"/>
      </w:pPr>
      <w:r>
        <w:rPr/>
        <w:t>In other words, financial integration is asituation where there is nodiscrimination of</w:t>
      </w:r>
      <w:r>
        <w:rPr>
          <w:spacing w:val="40"/>
        </w:rPr>
        <w:t> </w:t>
      </w:r>
      <w:r>
        <w:rPr/>
        <w:t>economic participantsin their access tocapital resources or investmentof capital. i.e. financial integration is attained whenthere is equal accessof financial market (Kouki &amp; Rezgui, 2017). Therefore, one would anticipate seeinga substantial cross border portfolioof financial assets and a convergenceof asset prices andyields across borders. Financial integration follows the lawof one price, on condition that theassets have the samecashflows and are affected byidentical risk factors. However, when differentiationof yields across borders is detected, thenoticed differentiation may not beadequate prove ofmarket fragmentation, it may just mean thatmarkets are pricingdifferent risks differently. Similarly, different interestrates on loans to smalland medium enterprises located indifferent countries may showdifferent productive</w:t>
      </w:r>
      <w:r>
        <w:rPr>
          <w:spacing w:val="13"/>
        </w:rPr>
        <w:t> </w:t>
      </w:r>
      <w:r>
        <w:rPr/>
        <w:t>capacity.</w:t>
      </w:r>
      <w:r>
        <w:rPr>
          <w:spacing w:val="14"/>
        </w:rPr>
        <w:t> </w:t>
      </w:r>
      <w:r>
        <w:rPr/>
        <w:t>On</w:t>
      </w:r>
      <w:r>
        <w:rPr>
          <w:spacing w:val="16"/>
        </w:rPr>
        <w:t> </w:t>
      </w:r>
      <w:r>
        <w:rPr/>
        <w:t>the</w:t>
      </w:r>
      <w:r>
        <w:rPr>
          <w:spacing w:val="14"/>
        </w:rPr>
        <w:t> </w:t>
      </w:r>
      <w:r>
        <w:rPr/>
        <w:t>other</w:t>
      </w:r>
      <w:r>
        <w:rPr>
          <w:spacing w:val="14"/>
        </w:rPr>
        <w:t> </w:t>
      </w:r>
      <w:r>
        <w:rPr/>
        <w:t>hand,</w:t>
      </w:r>
      <w:r>
        <w:rPr>
          <w:spacing w:val="13"/>
        </w:rPr>
        <w:t> </w:t>
      </w:r>
      <w:r>
        <w:rPr/>
        <w:t>theconvergence</w:t>
      </w:r>
      <w:r>
        <w:rPr>
          <w:spacing w:val="13"/>
        </w:rPr>
        <w:t> </w:t>
      </w:r>
      <w:r>
        <w:rPr/>
        <w:t>of</w:t>
      </w:r>
      <w:r>
        <w:rPr>
          <w:spacing w:val="15"/>
        </w:rPr>
        <w:t> </w:t>
      </w:r>
      <w:r>
        <w:rPr/>
        <w:t>sovereignyields</w:t>
      </w:r>
      <w:r>
        <w:rPr>
          <w:spacing w:val="15"/>
        </w:rPr>
        <w:t> </w:t>
      </w:r>
      <w:r>
        <w:rPr/>
        <w:t>across</w:t>
      </w:r>
      <w:r>
        <w:rPr>
          <w:spacing w:val="15"/>
        </w:rPr>
        <w:t> </w:t>
      </w:r>
      <w:r>
        <w:rPr>
          <w:spacing w:val="-2"/>
        </w:rPr>
        <w:t>countries</w:t>
      </w:r>
    </w:p>
    <w:p>
      <w:pPr>
        <w:spacing w:after="0" w:line="480" w:lineRule="auto"/>
        <w:jc w:val="both"/>
        <w:sectPr>
          <w:pgSz w:w="12240" w:h="15840"/>
          <w:pgMar w:header="0" w:footer="1012" w:top="1380" w:bottom="1200" w:left="1220" w:right="700"/>
        </w:sectPr>
      </w:pPr>
    </w:p>
    <w:p>
      <w:pPr>
        <w:pStyle w:val="BodyText"/>
        <w:spacing w:line="480" w:lineRule="auto" w:before="60"/>
        <w:ind w:right="738"/>
        <w:jc w:val="both"/>
      </w:pPr>
      <w:r>
        <w:rPr/>
        <w:t>before the financialcrisis may not implymarket integration. In other words, convergenceof prices may not necessarilymean integration (Arash &amp; Aidin, 2016).</w:t>
      </w:r>
    </w:p>
    <w:p>
      <w:pPr>
        <w:pStyle w:val="BodyText"/>
        <w:spacing w:line="480" w:lineRule="auto" w:before="160"/>
        <w:ind w:right="733"/>
        <w:jc w:val="both"/>
      </w:pPr>
      <w:r>
        <w:rPr/>
        <mc:AlternateContent>
          <mc:Choice Requires="wps">
            <w:drawing>
              <wp:anchor distT="0" distB="0" distL="0" distR="0" allowOverlap="1" layoutInCell="1" locked="0" behindDoc="1" simplePos="0" relativeHeight="478024704">
                <wp:simplePos x="0" y="0"/>
                <wp:positionH relativeFrom="page">
                  <wp:posOffset>950112</wp:posOffset>
                </wp:positionH>
                <wp:positionV relativeFrom="paragraph">
                  <wp:posOffset>552765</wp:posOffset>
                </wp:positionV>
                <wp:extent cx="5505450" cy="566102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91776" id="docshape47"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Financial integration is theprocess through which financial markets in aneconomy become more closely integratedwith those in other economiesor with those in the restof the world. This implies anincrease in capital flowsand a tendency for pricesand returns on traded financial assets in differentcountries to equalise (Brouwer, 2015). Financial integration could proceed withenforcement of a formalinternational treaty. This refers to twodistinct elements. One is the provision forconcerted or cooperative policyresponses to financial disturbances. The other is theelimination of restrictions on cross-borderfinancial operations bymember economies, as well asharmonization of regulations of financial systemsto achieve full unification ofregional financial markets, and taxes andregulations between member economies (Wambugu, 2018).</w:t>
      </w:r>
    </w:p>
    <w:p>
      <w:pPr>
        <w:pStyle w:val="BodyText"/>
        <w:spacing w:line="480" w:lineRule="auto" w:before="160"/>
        <w:ind w:right="733"/>
        <w:jc w:val="both"/>
      </w:pPr>
      <w:r>
        <w:rPr/>
        <w:t>Brouwer (2005) argues that financial market integration is theprocess through which</w:t>
      </w:r>
      <w:r>
        <w:rPr>
          <w:spacing w:val="40"/>
        </w:rPr>
        <w:t> </w:t>
      </w:r>
      <w:r>
        <w:rPr/>
        <w:t>financial markets in aneconomy become moreclosely integrated with those inother</w:t>
      </w:r>
      <w:r>
        <w:rPr>
          <w:spacing w:val="40"/>
        </w:rPr>
        <w:t> </w:t>
      </w:r>
      <w:r>
        <w:rPr/>
        <w:t>economies orwith those in the restof the world. This implies an increase incapital flows and atendency for prices and returnson traded financial assets indifferent countries toequalise. Economic Commissionfor Africa (2008) confirm that this requires the eliminationof some or all restrictions onforeign financial institutions fromsome (or all) countries. Ideally, financial institutionswould be able to operate or offercross-border financial services, aswell as establish links betweenbanking, equity andother types of financialmarkets. Financial integration could also arise evenin the absence ofexplicit agreements. Such forms ofintegration</w:t>
      </w:r>
      <w:r>
        <w:rPr>
          <w:spacing w:val="-2"/>
        </w:rPr>
        <w:t> </w:t>
      </w:r>
      <w:r>
        <w:rPr/>
        <w:t>could</w:t>
      </w:r>
      <w:r>
        <w:rPr>
          <w:spacing w:val="-2"/>
        </w:rPr>
        <w:t> </w:t>
      </w:r>
      <w:r>
        <w:rPr/>
        <w:t>include</w:t>
      </w:r>
      <w:r>
        <w:rPr>
          <w:spacing w:val="-2"/>
        </w:rPr>
        <w:t> </w:t>
      </w:r>
      <w:r>
        <w:rPr/>
        <w:t>entryof</w:t>
      </w:r>
      <w:r>
        <w:rPr>
          <w:spacing w:val="-1"/>
        </w:rPr>
        <w:t> </w:t>
      </w:r>
      <w:r>
        <w:rPr/>
        <w:t>foreign</w:t>
      </w:r>
      <w:r>
        <w:rPr>
          <w:spacing w:val="-2"/>
        </w:rPr>
        <w:t> </w:t>
      </w:r>
      <w:r>
        <w:rPr/>
        <w:t>banks</w:t>
      </w:r>
      <w:r>
        <w:rPr>
          <w:spacing w:val="-1"/>
        </w:rPr>
        <w:t> </w:t>
      </w:r>
      <w:r>
        <w:rPr/>
        <w:t>intodomestic</w:t>
      </w:r>
      <w:r>
        <w:rPr>
          <w:spacing w:val="-2"/>
        </w:rPr>
        <w:t> </w:t>
      </w:r>
      <w:r>
        <w:rPr/>
        <w:t>markets,</w:t>
      </w:r>
      <w:r>
        <w:rPr>
          <w:spacing w:val="-1"/>
        </w:rPr>
        <w:t> </w:t>
      </w:r>
      <w:r>
        <w:rPr/>
        <w:t>foreign</w:t>
      </w:r>
      <w:r>
        <w:rPr>
          <w:spacing w:val="-2"/>
        </w:rPr>
        <w:t> participation</w:t>
      </w:r>
    </w:p>
    <w:p>
      <w:pPr>
        <w:spacing w:after="0" w:line="480" w:lineRule="auto"/>
        <w:jc w:val="both"/>
        <w:sectPr>
          <w:pgSz w:w="12240" w:h="15840"/>
          <w:pgMar w:header="0" w:footer="1012" w:top="1380" w:bottom="1200" w:left="1220" w:right="700"/>
        </w:sectPr>
      </w:pPr>
    </w:p>
    <w:p>
      <w:pPr>
        <w:pStyle w:val="BodyText"/>
        <w:spacing w:line="480" w:lineRule="auto" w:before="60"/>
        <w:ind w:right="744"/>
        <w:jc w:val="both"/>
      </w:pPr>
      <w:r>
        <w:rPr/>
        <w:t>in insurance marketsand pension funds, securitiestrading abroad and directborrowing by domesticfirms in international markets.</w:t>
      </w:r>
    </w:p>
    <w:p>
      <w:pPr>
        <w:pStyle w:val="BodyText"/>
        <w:spacing w:line="480" w:lineRule="auto" w:before="160"/>
        <w:ind w:right="734"/>
        <w:jc w:val="both"/>
      </w:pPr>
      <w:r>
        <w:rPr/>
        <mc:AlternateContent>
          <mc:Choice Requires="wps">
            <w:drawing>
              <wp:anchor distT="0" distB="0" distL="0" distR="0" allowOverlap="1" layoutInCell="1" locked="0" behindDoc="1" simplePos="0" relativeHeight="478025216">
                <wp:simplePos x="0" y="0"/>
                <wp:positionH relativeFrom="page">
                  <wp:posOffset>950112</wp:posOffset>
                </wp:positionH>
                <wp:positionV relativeFrom="paragraph">
                  <wp:posOffset>552765</wp:posOffset>
                </wp:positionV>
                <wp:extent cx="5505450" cy="566102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91264" id="docshape48"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Ho</w:t>
      </w:r>
      <w:r>
        <w:rPr>
          <w:spacing w:val="-2"/>
        </w:rPr>
        <w:t> </w:t>
      </w:r>
      <w:r>
        <w:rPr/>
        <w:t>(2009)</w:t>
      </w:r>
      <w:r>
        <w:rPr>
          <w:spacing w:val="-1"/>
        </w:rPr>
        <w:t> </w:t>
      </w:r>
      <w:r>
        <w:rPr/>
        <w:t>shows</w:t>
      </w:r>
      <w:r>
        <w:rPr>
          <w:spacing w:val="-1"/>
        </w:rPr>
        <w:t> </w:t>
      </w:r>
      <w:r>
        <w:rPr/>
        <w:t>thatfinancial</w:t>
      </w:r>
      <w:r>
        <w:rPr>
          <w:spacing w:val="-1"/>
        </w:rPr>
        <w:t> </w:t>
      </w:r>
      <w:r>
        <w:rPr/>
        <w:t>market</w:t>
      </w:r>
      <w:r>
        <w:rPr>
          <w:spacing w:val="-1"/>
        </w:rPr>
        <w:t> </w:t>
      </w:r>
      <w:r>
        <w:rPr/>
        <w:t>integration</w:t>
      </w:r>
      <w:r>
        <w:rPr>
          <w:spacing w:val="-1"/>
        </w:rPr>
        <w:t> </w:t>
      </w:r>
      <w:r>
        <w:rPr/>
        <w:t>could</w:t>
      </w:r>
      <w:r>
        <w:rPr>
          <w:spacing w:val="-2"/>
        </w:rPr>
        <w:t> </w:t>
      </w:r>
      <w:r>
        <w:rPr/>
        <w:t>proceed</w:t>
      </w:r>
      <w:r>
        <w:rPr>
          <w:spacing w:val="-2"/>
        </w:rPr>
        <w:t> </w:t>
      </w:r>
      <w:r>
        <w:rPr/>
        <w:t>withenforcement</w:t>
      </w:r>
      <w:r>
        <w:rPr>
          <w:spacing w:val="-2"/>
        </w:rPr>
        <w:t> </w:t>
      </w:r>
      <w:r>
        <w:rPr/>
        <w:t>of</w:t>
      </w:r>
      <w:r>
        <w:rPr>
          <w:spacing w:val="-1"/>
        </w:rPr>
        <w:t> </w:t>
      </w:r>
      <w:r>
        <w:rPr/>
        <w:t>a</w:t>
      </w:r>
      <w:r>
        <w:rPr>
          <w:spacing w:val="-2"/>
        </w:rPr>
        <w:t> </w:t>
      </w:r>
      <w:r>
        <w:rPr/>
        <w:t>formal internationaltreaty. This refers to twodistinct elements. One is the provisionfor concerted or cooperativepolicy responses tofinancial disturbances. The other is theelimination of restrictions oncross-border financial operations bymember economies including harmonisation ofregulations offinancial systems. Both elements are necessary toachieve full unification ofregional financial markets, andtaxes and regulations betweenmember </w:t>
      </w:r>
      <w:r>
        <w:rPr>
          <w:spacing w:val="-2"/>
        </w:rPr>
        <w:t>economies.</w:t>
      </w:r>
    </w:p>
    <w:p>
      <w:pPr>
        <w:pStyle w:val="BodyText"/>
        <w:spacing w:line="480" w:lineRule="auto" w:before="162"/>
        <w:ind w:right="733"/>
        <w:jc w:val="both"/>
      </w:pPr>
      <w:r>
        <w:rPr/>
        <w:t>There are several advantagesof integrating financial systems throughformal agreements. The foremost is theexploitation of economiesof scale that can allow firms, inparticular those</w:t>
      </w:r>
      <w:r>
        <w:rPr>
          <w:spacing w:val="40"/>
        </w:rPr>
        <w:t> </w:t>
      </w:r>
      <w:r>
        <w:rPr/>
        <w:t>small and medium-sizedones that face creditconstraints, to have better accessto broader financial orcapital markets (Ho, 2016). Individual risks could also beminimised by integrating into alarger market and, at thesame time, enhancing portfoliodiversification. In addition, regulatoryindependence could be enhanced throughformal integration, which widens the scope forparticipation in governing thefinancial system. Financial institutions operating under theinfluence of integration arrangements fordifferent economies should adhere to astandardised</w:t>
      </w:r>
      <w:r>
        <w:rPr>
          <w:spacing w:val="-3"/>
        </w:rPr>
        <w:t> </w:t>
      </w:r>
      <w:r>
        <w:rPr/>
        <w:t>valuationrule, which not only increases thetransparency of individual financial sectors, but also improves theoverall stability of involved financialsystems. On the other hand, financialintegration could emerge withoutformal agreements. It might take various</w:t>
      </w:r>
      <w:r>
        <w:rPr>
          <w:spacing w:val="-8"/>
        </w:rPr>
        <w:t> </w:t>
      </w:r>
      <w:r>
        <w:rPr/>
        <w:t>forms,</w:t>
      </w:r>
      <w:r>
        <w:rPr>
          <w:spacing w:val="-10"/>
        </w:rPr>
        <w:t> </w:t>
      </w:r>
      <w:r>
        <w:rPr/>
        <w:t>suchas</w:t>
      </w:r>
      <w:r>
        <w:rPr>
          <w:spacing w:val="-9"/>
        </w:rPr>
        <w:t> </w:t>
      </w:r>
      <w:r>
        <w:rPr/>
        <w:t>financial</w:t>
      </w:r>
      <w:r>
        <w:rPr>
          <w:spacing w:val="-10"/>
        </w:rPr>
        <w:t> </w:t>
      </w:r>
      <w:r>
        <w:rPr/>
        <w:t>information</w:t>
      </w:r>
      <w:r>
        <w:rPr>
          <w:spacing w:val="-7"/>
        </w:rPr>
        <w:t> </w:t>
      </w:r>
      <w:r>
        <w:rPr/>
        <w:t>sharing,</w:t>
      </w:r>
      <w:r>
        <w:rPr>
          <w:spacing w:val="-10"/>
        </w:rPr>
        <w:t> </w:t>
      </w:r>
      <w:r>
        <w:rPr/>
        <w:t>foreignparticipation</w:t>
      </w:r>
      <w:r>
        <w:rPr>
          <w:spacing w:val="-7"/>
        </w:rPr>
        <w:t> </w:t>
      </w:r>
      <w:r>
        <w:rPr/>
        <w:t>indomestic</w:t>
      </w:r>
      <w:r>
        <w:rPr>
          <w:spacing w:val="-9"/>
        </w:rPr>
        <w:t> </w:t>
      </w:r>
      <w:r>
        <w:rPr>
          <w:spacing w:val="-2"/>
        </w:rPr>
        <w:t>banking,</w:t>
      </w:r>
    </w:p>
    <w:p>
      <w:pPr>
        <w:spacing w:after="0" w:line="480" w:lineRule="auto"/>
        <w:jc w:val="both"/>
        <w:sectPr>
          <w:pgSz w:w="12240" w:h="15840"/>
          <w:pgMar w:header="0" w:footer="1012" w:top="1380" w:bottom="1200" w:left="1220" w:right="700"/>
        </w:sectPr>
      </w:pPr>
    </w:p>
    <w:p>
      <w:pPr>
        <w:pStyle w:val="BodyText"/>
        <w:spacing w:line="480" w:lineRule="auto" w:before="60"/>
        <w:ind w:right="742"/>
        <w:jc w:val="both"/>
      </w:pPr>
      <w:r>
        <w:rPr/>
        <w:t>insurance and pensionfund businesses, direct borrowingof domestic firms ininternational financialmarkets, etc (Sami, Meriem &amp; Makram, 2016).</w:t>
      </w:r>
    </w:p>
    <w:p>
      <w:pPr>
        <w:pStyle w:val="BodyText"/>
        <w:spacing w:line="480" w:lineRule="auto" w:before="160"/>
        <w:ind w:right="735"/>
        <w:jc w:val="both"/>
      </w:pPr>
      <w:r>
        <w:rPr/>
        <mc:AlternateContent>
          <mc:Choice Requires="wps">
            <w:drawing>
              <wp:anchor distT="0" distB="0" distL="0" distR="0" allowOverlap="1" layoutInCell="1" locked="0" behindDoc="1" simplePos="0" relativeHeight="478025728">
                <wp:simplePos x="0" y="0"/>
                <wp:positionH relativeFrom="page">
                  <wp:posOffset>950112</wp:posOffset>
                </wp:positionH>
                <wp:positionV relativeFrom="paragraph">
                  <wp:posOffset>552765</wp:posOffset>
                </wp:positionV>
                <wp:extent cx="5505450" cy="566102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90752" id="docshape49"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Baele, Ferrando, Hördahl, Krylova and Monnet (2014) assume that themarket for a givenset of financial instrumentsand/or services is fullyintegrated if all potentialmarket participants have the samerelevant characteristics:</w:t>
      </w:r>
    </w:p>
    <w:p>
      <w:pPr>
        <w:pStyle w:val="ListParagraph"/>
        <w:numPr>
          <w:ilvl w:val="0"/>
          <w:numId w:val="14"/>
        </w:numPr>
        <w:tabs>
          <w:tab w:pos="580" w:val="left" w:leader="none"/>
        </w:tabs>
        <w:spacing w:line="482" w:lineRule="auto" w:before="159" w:after="0"/>
        <w:ind w:left="580" w:right="1066" w:hanging="360"/>
        <w:jc w:val="both"/>
        <w:rPr>
          <w:sz w:val="25"/>
        </w:rPr>
      </w:pPr>
      <w:r>
        <w:rPr>
          <w:sz w:val="25"/>
        </w:rPr>
        <w:t>They</w:t>
      </w:r>
      <w:r>
        <w:rPr>
          <w:spacing w:val="-4"/>
          <w:sz w:val="25"/>
        </w:rPr>
        <w:t> </w:t>
      </w:r>
      <w:r>
        <w:rPr>
          <w:sz w:val="25"/>
        </w:rPr>
        <w:t>face</w:t>
      </w:r>
      <w:r>
        <w:rPr>
          <w:spacing w:val="-4"/>
          <w:sz w:val="25"/>
        </w:rPr>
        <w:t> </w:t>
      </w:r>
      <w:r>
        <w:rPr>
          <w:sz w:val="25"/>
        </w:rPr>
        <w:t>a</w:t>
      </w:r>
      <w:r>
        <w:rPr>
          <w:spacing w:val="-4"/>
          <w:sz w:val="25"/>
        </w:rPr>
        <w:t> </w:t>
      </w:r>
      <w:r>
        <w:rPr>
          <w:sz w:val="25"/>
        </w:rPr>
        <w:t>single</w:t>
      </w:r>
      <w:r>
        <w:rPr>
          <w:spacing w:val="-4"/>
          <w:sz w:val="25"/>
        </w:rPr>
        <w:t> </w:t>
      </w:r>
      <w:r>
        <w:rPr>
          <w:sz w:val="25"/>
        </w:rPr>
        <w:t>setof</w:t>
      </w:r>
      <w:r>
        <w:rPr>
          <w:spacing w:val="-3"/>
          <w:sz w:val="25"/>
        </w:rPr>
        <w:t> </w:t>
      </w:r>
      <w:r>
        <w:rPr>
          <w:sz w:val="25"/>
        </w:rPr>
        <w:t>rules</w:t>
      </w:r>
      <w:r>
        <w:rPr>
          <w:spacing w:val="-3"/>
          <w:sz w:val="25"/>
        </w:rPr>
        <w:t> </w:t>
      </w:r>
      <w:r>
        <w:rPr>
          <w:sz w:val="25"/>
        </w:rPr>
        <w:t>when</w:t>
      </w:r>
      <w:r>
        <w:rPr>
          <w:spacing w:val="-4"/>
          <w:sz w:val="25"/>
        </w:rPr>
        <w:t> </w:t>
      </w:r>
      <w:r>
        <w:rPr>
          <w:sz w:val="25"/>
        </w:rPr>
        <w:t>they</w:t>
      </w:r>
      <w:r>
        <w:rPr>
          <w:spacing w:val="-4"/>
          <w:sz w:val="25"/>
        </w:rPr>
        <w:t> </w:t>
      </w:r>
      <w:r>
        <w:rPr>
          <w:sz w:val="25"/>
        </w:rPr>
        <w:t>decide</w:t>
      </w:r>
      <w:r>
        <w:rPr>
          <w:spacing w:val="-2"/>
          <w:sz w:val="25"/>
        </w:rPr>
        <w:t> </w:t>
      </w:r>
      <w:r>
        <w:rPr>
          <w:sz w:val="25"/>
        </w:rPr>
        <w:t>to</w:t>
      </w:r>
      <w:r>
        <w:rPr>
          <w:spacing w:val="-4"/>
          <w:sz w:val="25"/>
        </w:rPr>
        <w:t> </w:t>
      </w:r>
      <w:r>
        <w:rPr>
          <w:sz w:val="25"/>
        </w:rPr>
        <w:t>dealwith</w:t>
      </w:r>
      <w:r>
        <w:rPr>
          <w:spacing w:val="-4"/>
          <w:sz w:val="25"/>
        </w:rPr>
        <w:t> </w:t>
      </w:r>
      <w:r>
        <w:rPr>
          <w:sz w:val="25"/>
        </w:rPr>
        <w:t>those</w:t>
      </w:r>
      <w:r>
        <w:rPr>
          <w:spacing w:val="-4"/>
          <w:sz w:val="25"/>
        </w:rPr>
        <w:t> </w:t>
      </w:r>
      <w:r>
        <w:rPr>
          <w:sz w:val="25"/>
        </w:rPr>
        <w:t>financial</w:t>
      </w:r>
      <w:r>
        <w:rPr>
          <w:spacing w:val="-4"/>
          <w:sz w:val="25"/>
        </w:rPr>
        <w:t> </w:t>
      </w:r>
      <w:r>
        <w:rPr>
          <w:sz w:val="25"/>
        </w:rPr>
        <w:t>instruments </w:t>
      </w:r>
      <w:r>
        <w:rPr>
          <w:spacing w:val="-2"/>
          <w:sz w:val="25"/>
        </w:rPr>
        <w:t>and/orservices.</w:t>
      </w:r>
    </w:p>
    <w:p>
      <w:pPr>
        <w:pStyle w:val="ListParagraph"/>
        <w:numPr>
          <w:ilvl w:val="0"/>
          <w:numId w:val="14"/>
        </w:numPr>
        <w:tabs>
          <w:tab w:pos="579" w:val="left" w:leader="none"/>
        </w:tabs>
        <w:spacing w:line="282" w:lineRule="exact" w:before="0" w:after="0"/>
        <w:ind w:left="579" w:right="0" w:hanging="359"/>
        <w:jc w:val="left"/>
        <w:rPr>
          <w:sz w:val="25"/>
        </w:rPr>
      </w:pPr>
      <w:r>
        <w:rPr>
          <w:sz w:val="25"/>
        </w:rPr>
        <w:t>They</w:t>
      </w:r>
      <w:r>
        <w:rPr>
          <w:spacing w:val="-8"/>
          <w:sz w:val="25"/>
        </w:rPr>
        <w:t> </w:t>
      </w:r>
      <w:r>
        <w:rPr>
          <w:sz w:val="25"/>
        </w:rPr>
        <w:t>have</w:t>
      </w:r>
      <w:r>
        <w:rPr>
          <w:spacing w:val="-7"/>
          <w:sz w:val="25"/>
        </w:rPr>
        <w:t> </w:t>
      </w:r>
      <w:r>
        <w:rPr>
          <w:sz w:val="25"/>
        </w:rPr>
        <w:t>equal</w:t>
      </w:r>
      <w:r>
        <w:rPr>
          <w:spacing w:val="-5"/>
          <w:sz w:val="25"/>
        </w:rPr>
        <w:t> </w:t>
      </w:r>
      <w:r>
        <w:rPr>
          <w:sz w:val="25"/>
        </w:rPr>
        <w:t>access</w:t>
      </w:r>
      <w:r>
        <w:rPr>
          <w:spacing w:val="-7"/>
          <w:sz w:val="25"/>
        </w:rPr>
        <w:t> </w:t>
      </w:r>
      <w:r>
        <w:rPr>
          <w:sz w:val="25"/>
        </w:rPr>
        <w:t>to</w:t>
      </w:r>
      <w:r>
        <w:rPr>
          <w:spacing w:val="-7"/>
          <w:sz w:val="25"/>
        </w:rPr>
        <w:t> </w:t>
      </w:r>
      <w:r>
        <w:rPr>
          <w:sz w:val="25"/>
        </w:rPr>
        <w:t>thesame</w:t>
      </w:r>
      <w:r>
        <w:rPr>
          <w:spacing w:val="-7"/>
          <w:sz w:val="25"/>
        </w:rPr>
        <w:t> </w:t>
      </w:r>
      <w:r>
        <w:rPr>
          <w:sz w:val="25"/>
        </w:rPr>
        <w:t>set</w:t>
      </w:r>
      <w:r>
        <w:rPr>
          <w:spacing w:val="-7"/>
          <w:sz w:val="25"/>
        </w:rPr>
        <w:t> </w:t>
      </w:r>
      <w:r>
        <w:rPr>
          <w:sz w:val="25"/>
        </w:rPr>
        <w:t>offinancial</w:t>
      </w:r>
      <w:r>
        <w:rPr>
          <w:spacing w:val="-7"/>
          <w:sz w:val="25"/>
        </w:rPr>
        <w:t> </w:t>
      </w:r>
      <w:r>
        <w:rPr>
          <w:sz w:val="25"/>
        </w:rPr>
        <w:t>instruments</w:t>
      </w:r>
      <w:r>
        <w:rPr>
          <w:spacing w:val="-7"/>
          <w:sz w:val="25"/>
        </w:rPr>
        <w:t> </w:t>
      </w:r>
      <w:r>
        <w:rPr>
          <w:spacing w:val="-2"/>
          <w:sz w:val="25"/>
        </w:rPr>
        <w:t>and/orservices.</w:t>
      </w:r>
    </w:p>
    <w:p>
      <w:pPr>
        <w:pStyle w:val="BodyText"/>
        <w:spacing w:before="1"/>
        <w:ind w:left="0"/>
      </w:pPr>
    </w:p>
    <w:p>
      <w:pPr>
        <w:pStyle w:val="ListParagraph"/>
        <w:numPr>
          <w:ilvl w:val="0"/>
          <w:numId w:val="14"/>
        </w:numPr>
        <w:tabs>
          <w:tab w:pos="579" w:val="left" w:leader="none"/>
        </w:tabs>
        <w:spacing w:line="240" w:lineRule="auto" w:before="0" w:after="0"/>
        <w:ind w:left="579" w:right="0" w:hanging="359"/>
        <w:jc w:val="left"/>
        <w:rPr>
          <w:sz w:val="25"/>
        </w:rPr>
      </w:pPr>
      <w:r>
        <w:rPr>
          <w:sz w:val="25"/>
        </w:rPr>
        <w:t>They</w:t>
      </w:r>
      <w:r>
        <w:rPr>
          <w:spacing w:val="-7"/>
          <w:sz w:val="25"/>
        </w:rPr>
        <w:t> </w:t>
      </w:r>
      <w:r>
        <w:rPr>
          <w:sz w:val="25"/>
        </w:rPr>
        <w:t>are</w:t>
      </w:r>
      <w:r>
        <w:rPr>
          <w:spacing w:val="-7"/>
          <w:sz w:val="25"/>
        </w:rPr>
        <w:t> </w:t>
      </w:r>
      <w:r>
        <w:rPr>
          <w:sz w:val="25"/>
        </w:rPr>
        <w:t>treatedequally</w:t>
      </w:r>
      <w:r>
        <w:rPr>
          <w:spacing w:val="-4"/>
          <w:sz w:val="25"/>
        </w:rPr>
        <w:t> </w:t>
      </w:r>
      <w:r>
        <w:rPr>
          <w:sz w:val="25"/>
        </w:rPr>
        <w:t>when</w:t>
      </w:r>
      <w:r>
        <w:rPr>
          <w:spacing w:val="-7"/>
          <w:sz w:val="25"/>
        </w:rPr>
        <w:t> </w:t>
      </w:r>
      <w:r>
        <w:rPr>
          <w:sz w:val="25"/>
        </w:rPr>
        <w:t>they</w:t>
      </w:r>
      <w:r>
        <w:rPr>
          <w:spacing w:val="-7"/>
          <w:sz w:val="25"/>
        </w:rPr>
        <w:t> </w:t>
      </w:r>
      <w:r>
        <w:rPr>
          <w:sz w:val="25"/>
        </w:rPr>
        <w:t>are</w:t>
      </w:r>
      <w:r>
        <w:rPr>
          <w:spacing w:val="-4"/>
          <w:sz w:val="25"/>
        </w:rPr>
        <w:t> </w:t>
      </w:r>
      <w:r>
        <w:rPr>
          <w:sz w:val="25"/>
        </w:rPr>
        <w:t>activein</w:t>
      </w:r>
      <w:r>
        <w:rPr>
          <w:spacing w:val="-7"/>
          <w:sz w:val="25"/>
        </w:rPr>
        <w:t> </w:t>
      </w:r>
      <w:r>
        <w:rPr>
          <w:sz w:val="25"/>
        </w:rPr>
        <w:t>the</w:t>
      </w:r>
      <w:r>
        <w:rPr>
          <w:spacing w:val="-7"/>
          <w:sz w:val="25"/>
        </w:rPr>
        <w:t> </w:t>
      </w:r>
      <w:r>
        <w:rPr>
          <w:spacing w:val="-2"/>
          <w:sz w:val="25"/>
        </w:rPr>
        <w:t>market.</w:t>
      </w:r>
    </w:p>
    <w:p>
      <w:pPr>
        <w:pStyle w:val="BodyText"/>
        <w:spacing w:before="159"/>
        <w:ind w:left="0"/>
      </w:pPr>
    </w:p>
    <w:p>
      <w:pPr>
        <w:pStyle w:val="BodyText"/>
        <w:spacing w:line="480" w:lineRule="auto" w:before="1"/>
        <w:ind w:right="737"/>
        <w:jc w:val="both"/>
      </w:pPr>
      <w:r>
        <w:rPr/>
        <w:t>This definition of financial marketintegration contains three importantfeatures. First, it is independentof the financial structureswithin regions. Financial structures encompass </w:t>
      </w:r>
      <w:r>
        <w:rPr/>
        <w:t>all financial intermediaries – institutions or markets – and how they relate toeach other with respect to the flowof funds to and fromhouseholds, governments and corporations. Second, frictions in theprocess of intermediation – i.e. the accessto or investment ofcapital either through institutionsor markets – can persist afterfinancial integration is completed. Financial integration is concernedwith the symmetricor asymmetric effects ofexisting frictions on differentareas. Even in the presenceof frictions, several areas can befinancially integrated as long asfrictions affect these areassymmetrically.</w:t>
      </w:r>
    </w:p>
    <w:p>
      <w:pPr>
        <w:pStyle w:val="BodyText"/>
        <w:spacing w:line="480" w:lineRule="auto" w:before="161"/>
        <w:ind w:right="736"/>
        <w:jc w:val="both"/>
      </w:pPr>
      <w:r>
        <w:rPr/>
        <w:t>However, if the frictions have asymmetric effectson the areas, the process offinancial integration cannot reachthe completion point. Third, definition offinancial integration separates</w:t>
      </w:r>
      <w:r>
        <w:rPr>
          <w:spacing w:val="5"/>
        </w:rPr>
        <w:t> </w:t>
      </w:r>
      <w:r>
        <w:rPr/>
        <w:t>the</w:t>
      </w:r>
      <w:r>
        <w:rPr>
          <w:spacing w:val="5"/>
        </w:rPr>
        <w:t> </w:t>
      </w:r>
      <w:r>
        <w:rPr/>
        <w:t>two</w:t>
      </w:r>
      <w:r>
        <w:rPr>
          <w:spacing w:val="5"/>
        </w:rPr>
        <w:t> </w:t>
      </w:r>
      <w:r>
        <w:rPr/>
        <w:t>constituentsof</w:t>
      </w:r>
      <w:r>
        <w:rPr>
          <w:spacing w:val="6"/>
        </w:rPr>
        <w:t> </w:t>
      </w:r>
      <w:r>
        <w:rPr/>
        <w:t>a</w:t>
      </w:r>
      <w:r>
        <w:rPr>
          <w:spacing w:val="5"/>
        </w:rPr>
        <w:t> </w:t>
      </w:r>
      <w:r>
        <w:rPr/>
        <w:t>financial</w:t>
      </w:r>
      <w:r>
        <w:rPr>
          <w:spacing w:val="4"/>
        </w:rPr>
        <w:t> </w:t>
      </w:r>
      <w:r>
        <w:rPr/>
        <w:t>market,</w:t>
      </w:r>
      <w:r>
        <w:rPr>
          <w:spacing w:val="5"/>
        </w:rPr>
        <w:t> </w:t>
      </w:r>
      <w:r>
        <w:rPr/>
        <w:t>namely</w:t>
      </w:r>
      <w:r>
        <w:rPr>
          <w:spacing w:val="5"/>
        </w:rPr>
        <w:t> </w:t>
      </w:r>
      <w:r>
        <w:rPr/>
        <w:t>thesupply</w:t>
      </w:r>
      <w:r>
        <w:rPr>
          <w:spacing w:val="5"/>
        </w:rPr>
        <w:t> </w:t>
      </w:r>
      <w:r>
        <w:rPr/>
        <w:t>of</w:t>
      </w:r>
      <w:r>
        <w:rPr>
          <w:spacing w:val="6"/>
        </w:rPr>
        <w:t> </w:t>
      </w:r>
      <w:r>
        <w:rPr/>
        <w:t>and</w:t>
      </w:r>
      <w:r>
        <w:rPr>
          <w:spacing w:val="5"/>
        </w:rPr>
        <w:t> </w:t>
      </w:r>
      <w:r>
        <w:rPr/>
        <w:t>the</w:t>
      </w:r>
      <w:r>
        <w:rPr>
          <w:spacing w:val="5"/>
        </w:rPr>
        <w:t> </w:t>
      </w:r>
      <w:r>
        <w:rPr/>
        <w:t>demand</w:t>
      </w:r>
      <w:r>
        <w:rPr>
          <w:spacing w:val="4"/>
        </w:rPr>
        <w:t> </w:t>
      </w:r>
      <w:r>
        <w:rPr>
          <w:spacing w:val="-5"/>
        </w:rPr>
        <w:t>for</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26240">
                <wp:simplePos x="0" y="0"/>
                <wp:positionH relativeFrom="page">
                  <wp:posOffset>950112</wp:posOffset>
                </wp:positionH>
                <wp:positionV relativeFrom="paragraph">
                  <wp:posOffset>1321053</wp:posOffset>
                </wp:positionV>
                <wp:extent cx="5505450" cy="5661025"/>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90240" id="docshape50"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investmentopportunities.</w:t>
      </w:r>
      <w:r>
        <w:rPr>
          <w:spacing w:val="-4"/>
        </w:rPr>
        <w:t> </w:t>
      </w:r>
      <w:r>
        <w:rPr/>
        <w:t>Full</w:t>
      </w:r>
      <w:r>
        <w:rPr>
          <w:spacing w:val="-1"/>
        </w:rPr>
        <w:t> </w:t>
      </w:r>
      <w:r>
        <w:rPr/>
        <w:t>integration</w:t>
      </w:r>
      <w:r>
        <w:rPr>
          <w:spacing w:val="-1"/>
        </w:rPr>
        <w:t> </w:t>
      </w:r>
      <w:r>
        <w:rPr/>
        <w:t>requires</w:t>
      </w:r>
      <w:r>
        <w:rPr>
          <w:spacing w:val="-3"/>
        </w:rPr>
        <w:t> </w:t>
      </w:r>
      <w:r>
        <w:rPr/>
        <w:t>thesame</w:t>
      </w:r>
      <w:r>
        <w:rPr>
          <w:spacing w:val="-4"/>
        </w:rPr>
        <w:t> </w:t>
      </w:r>
      <w:r>
        <w:rPr/>
        <w:t>access</w:t>
      </w:r>
      <w:r>
        <w:rPr>
          <w:spacing w:val="-3"/>
        </w:rPr>
        <w:t> </w:t>
      </w:r>
      <w:r>
        <w:rPr/>
        <w:t>to</w:t>
      </w:r>
      <w:r>
        <w:rPr>
          <w:spacing w:val="-4"/>
        </w:rPr>
        <w:t> </w:t>
      </w:r>
      <w:r>
        <w:rPr/>
        <w:t>banks</w:t>
      </w:r>
      <w:r>
        <w:rPr>
          <w:spacing w:val="-3"/>
        </w:rPr>
        <w:t> </w:t>
      </w:r>
      <w:r>
        <w:rPr/>
        <w:t>ortrading,</w:t>
      </w:r>
      <w:r>
        <w:rPr>
          <w:spacing w:val="-4"/>
        </w:rPr>
        <w:t> </w:t>
      </w:r>
      <w:r>
        <w:rPr/>
        <w:t>clearing and settlement platformsfor both investors (demand for investmentopportunities) and firms (supply of investmentopportunities, e.g. listings), regardless of theirregion of origin. In addition, onceaccess has been granted, full integrationrequires that there is nodiscrimination among comparablemarket participants based solelyon their location oforigin. When </w:t>
      </w:r>
      <w:r>
        <w:rPr/>
        <w:t>a structure</w:t>
      </w:r>
      <w:r>
        <w:rPr>
          <w:spacing w:val="-3"/>
        </w:rPr>
        <w:t> </w:t>
      </w:r>
      <w:r>
        <w:rPr/>
        <w:t>systematically discriminates</w:t>
      </w:r>
      <w:r>
        <w:rPr>
          <w:spacing w:val="-3"/>
        </w:rPr>
        <w:t> </w:t>
      </w:r>
      <w:r>
        <w:rPr/>
        <w:t>against</w:t>
      </w:r>
      <w:r>
        <w:rPr>
          <w:spacing w:val="-3"/>
        </w:rPr>
        <w:t> </w:t>
      </w:r>
      <w:r>
        <w:rPr/>
        <w:t>foreigninvestment</w:t>
      </w:r>
      <w:r>
        <w:rPr>
          <w:spacing w:val="-1"/>
        </w:rPr>
        <w:t> </w:t>
      </w:r>
      <w:r>
        <w:rPr/>
        <w:t>opportunities</w:t>
      </w:r>
      <w:r>
        <w:rPr>
          <w:spacing w:val="-3"/>
        </w:rPr>
        <w:t> </w:t>
      </w:r>
      <w:r>
        <w:rPr/>
        <w:t>due</w:t>
      </w:r>
      <w:r>
        <w:rPr>
          <w:spacing w:val="-4"/>
        </w:rPr>
        <w:t> </w:t>
      </w:r>
      <w:r>
        <w:rPr/>
        <w:t>to</w:t>
      </w:r>
      <w:r>
        <w:rPr>
          <w:spacing w:val="-3"/>
        </w:rPr>
        <w:t> </w:t>
      </w:r>
      <w:r>
        <w:rPr/>
        <w:t>national legal restrictions, then thearea is not financiallyintegrated. An area can also bepartially financially integrated (Saafi, Mohamed &amp; Doudou, 2016).</w:t>
      </w:r>
    </w:p>
    <w:p>
      <w:pPr>
        <w:pStyle w:val="BodyText"/>
        <w:spacing w:line="480" w:lineRule="auto" w:before="162"/>
        <w:ind w:right="733"/>
        <w:jc w:val="both"/>
      </w:pPr>
      <w:r>
        <w:rPr/>
        <w:t>The</w:t>
      </w:r>
      <w:r>
        <w:rPr>
          <w:spacing w:val="-2"/>
        </w:rPr>
        <w:t> </w:t>
      </w:r>
      <w:r>
        <w:rPr/>
        <w:t>definition</w:t>
      </w:r>
      <w:r>
        <w:rPr>
          <w:spacing w:val="-1"/>
        </w:rPr>
        <w:t> </w:t>
      </w:r>
      <w:r>
        <w:rPr/>
        <w:t>of</w:t>
      </w:r>
      <w:r>
        <w:rPr>
          <w:spacing w:val="-1"/>
        </w:rPr>
        <w:t> </w:t>
      </w:r>
      <w:r>
        <w:rPr/>
        <w:t>financialmarket</w:t>
      </w:r>
      <w:r>
        <w:rPr>
          <w:spacing w:val="-1"/>
        </w:rPr>
        <w:t> </w:t>
      </w:r>
      <w:r>
        <w:rPr/>
        <w:t>integration</w:t>
      </w:r>
      <w:r>
        <w:rPr>
          <w:spacing w:val="-1"/>
        </w:rPr>
        <w:t> </w:t>
      </w:r>
      <w:r>
        <w:rPr/>
        <w:t>is closely</w:t>
      </w:r>
      <w:r>
        <w:rPr>
          <w:spacing w:val="-2"/>
        </w:rPr>
        <w:t> </w:t>
      </w:r>
      <w:r>
        <w:rPr/>
        <w:t>linked</w:t>
      </w:r>
      <w:r>
        <w:rPr>
          <w:spacing w:val="-1"/>
        </w:rPr>
        <w:t> </w:t>
      </w:r>
      <w:r>
        <w:rPr/>
        <w:t>to</w:t>
      </w:r>
      <w:r>
        <w:rPr>
          <w:spacing w:val="-1"/>
        </w:rPr>
        <w:t> </w:t>
      </w:r>
      <w:r>
        <w:rPr/>
        <w:t>thelaw</w:t>
      </w:r>
      <w:r>
        <w:rPr>
          <w:spacing w:val="-2"/>
        </w:rPr>
        <w:t> </w:t>
      </w:r>
      <w:r>
        <w:rPr/>
        <w:t>of</w:t>
      </w:r>
      <w:r>
        <w:rPr>
          <w:spacing w:val="-1"/>
        </w:rPr>
        <w:t> </w:t>
      </w:r>
      <w:r>
        <w:rPr/>
        <w:t>one price.</w:t>
      </w:r>
      <w:r>
        <w:rPr>
          <w:spacing w:val="-2"/>
        </w:rPr>
        <w:t> </w:t>
      </w:r>
      <w:r>
        <w:rPr/>
        <w:t>The</w:t>
      </w:r>
      <w:r>
        <w:rPr>
          <w:spacing w:val="-2"/>
        </w:rPr>
        <w:t> </w:t>
      </w:r>
      <w:r>
        <w:rPr/>
        <w:t>law of oneprice states that if assets have identicalrisks and returns, then they should bepriced identically regardlessof where they are transacted. In other words, if a firmissues bonds in two</w:t>
      </w:r>
      <w:r>
        <w:rPr>
          <w:spacing w:val="-3"/>
        </w:rPr>
        <w:t> </w:t>
      </w:r>
      <w:r>
        <w:rPr/>
        <w:t>countriesor</w:t>
      </w:r>
      <w:r>
        <w:rPr>
          <w:spacing w:val="-2"/>
        </w:rPr>
        <w:t> </w:t>
      </w:r>
      <w:r>
        <w:rPr/>
        <w:t>regions, it</w:t>
      </w:r>
      <w:r>
        <w:rPr>
          <w:spacing w:val="-3"/>
        </w:rPr>
        <w:t> </w:t>
      </w:r>
      <w:r>
        <w:rPr/>
        <w:t>must</w:t>
      </w:r>
      <w:r>
        <w:rPr>
          <w:spacing w:val="-3"/>
        </w:rPr>
        <w:t> </w:t>
      </w:r>
      <w:r>
        <w:rPr/>
        <w:t>pay</w:t>
      </w:r>
      <w:r>
        <w:rPr>
          <w:spacing w:val="-1"/>
        </w:rPr>
        <w:t> </w:t>
      </w:r>
      <w:r>
        <w:rPr/>
        <w:t>thesame</w:t>
      </w:r>
      <w:r>
        <w:rPr>
          <w:spacing w:val="-1"/>
        </w:rPr>
        <w:t> </w:t>
      </w:r>
      <w:r>
        <w:rPr/>
        <w:t>interest</w:t>
      </w:r>
      <w:r>
        <w:rPr>
          <w:spacing w:val="-3"/>
        </w:rPr>
        <w:t> </w:t>
      </w:r>
      <w:r>
        <w:rPr/>
        <w:t>rate</w:t>
      </w:r>
      <w:r>
        <w:rPr>
          <w:spacing w:val="-3"/>
        </w:rPr>
        <w:t> </w:t>
      </w:r>
      <w:r>
        <w:rPr/>
        <w:t>to</w:t>
      </w:r>
      <w:r>
        <w:rPr>
          <w:spacing w:val="-3"/>
        </w:rPr>
        <w:t> </w:t>
      </w:r>
      <w:r>
        <w:rPr/>
        <w:t>both</w:t>
      </w:r>
      <w:r>
        <w:rPr>
          <w:spacing w:val="-3"/>
        </w:rPr>
        <w:t> </w:t>
      </w:r>
      <w:r>
        <w:rPr/>
        <w:t>setsof bondholders</w:t>
      </w:r>
      <w:r>
        <w:rPr>
          <w:spacing w:val="-1"/>
        </w:rPr>
        <w:t> </w:t>
      </w:r>
      <w:r>
        <w:rPr/>
        <w:t>(Jappelli &amp; Pagano, 2008). If the law of oneprice does not hold, then there is room for arbitrage opportunities. However, if the investmentof capital is non-discriminatory, then anyinvestors will be free toexploit any arbitrageopportunities, which will thencease to exist, thereby restoring thevalidity of the law ofone price.</w:t>
      </w:r>
    </w:p>
    <w:p>
      <w:pPr>
        <w:pStyle w:val="BodyText"/>
        <w:spacing w:line="480" w:lineRule="auto" w:before="160"/>
        <w:ind w:right="736"/>
        <w:jc w:val="both"/>
      </w:pPr>
      <w:r>
        <w:rPr/>
        <w:t>Baltzer, Cappiello, De Santis and Manganelli (2018) show it is easyto see that the lawof one price is in fact animplication of the abovedefinition. If all agents face the samerules, have equal accessand are treated equally, any pricedifference between two identicalassets will be immediately arbitragedaway. Still, there are cases where the lawof one price is notdirectly applicable. For instance, anasset may not beallowed to be listed onanother region’s</w:t>
      </w:r>
      <w:r>
        <w:rPr>
          <w:spacing w:val="40"/>
        </w:rPr>
        <w:t> </w:t>
      </w:r>
      <w:r>
        <w:rPr/>
        <w:t>exchange,</w:t>
      </w:r>
      <w:r>
        <w:rPr>
          <w:spacing w:val="31"/>
        </w:rPr>
        <w:t>  </w:t>
      </w:r>
      <w:r>
        <w:rPr/>
        <w:t>whichaccording</w:t>
      </w:r>
      <w:r>
        <w:rPr>
          <w:spacing w:val="30"/>
        </w:rPr>
        <w:t>  </w:t>
      </w:r>
      <w:r>
        <w:rPr/>
        <w:t>to</w:t>
      </w:r>
      <w:r>
        <w:rPr>
          <w:spacing w:val="30"/>
        </w:rPr>
        <w:t>  </w:t>
      </w:r>
      <w:r>
        <w:rPr/>
        <w:t>the</w:t>
      </w:r>
      <w:r>
        <w:rPr>
          <w:spacing w:val="31"/>
        </w:rPr>
        <w:t>  </w:t>
      </w:r>
      <w:r>
        <w:rPr/>
        <w:t>definitionwould</w:t>
      </w:r>
      <w:r>
        <w:rPr>
          <w:spacing w:val="31"/>
        </w:rPr>
        <w:t>  </w:t>
      </w:r>
      <w:r>
        <w:rPr/>
        <w:t>constitute</w:t>
      </w:r>
      <w:r>
        <w:rPr>
          <w:spacing w:val="31"/>
        </w:rPr>
        <w:t>  </w:t>
      </w:r>
      <w:r>
        <w:rPr/>
        <w:t>an</w:t>
      </w:r>
      <w:r>
        <w:rPr>
          <w:spacing w:val="31"/>
        </w:rPr>
        <w:t>  </w:t>
      </w:r>
      <w:r>
        <w:rPr/>
        <w:t>obstacle</w:t>
      </w:r>
      <w:r>
        <w:rPr>
          <w:spacing w:val="30"/>
        </w:rPr>
        <w:t>  </w:t>
      </w:r>
      <w:r>
        <w:rPr>
          <w:spacing w:val="-2"/>
        </w:rPr>
        <w:t>tofinancial</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26752">
                <wp:simplePos x="0" y="0"/>
                <wp:positionH relativeFrom="page">
                  <wp:posOffset>950112</wp:posOffset>
                </wp:positionH>
                <wp:positionV relativeFrom="paragraph">
                  <wp:posOffset>1321053</wp:posOffset>
                </wp:positionV>
                <wp:extent cx="5505450" cy="5661025"/>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9728" id="docshape51"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integration. Another example is representedby assets such as equitiesor corporate bonds. These securities are characterizedby different cash flows and veryheterogeneous sources of risk, and as suchtheir prices are notdirectly comparable. Therefore, alternative measures based onstocks and flows ofassets (quantity-based measures) as well as thoseinvestigating</w:t>
      </w:r>
      <w:r>
        <w:rPr>
          <w:spacing w:val="40"/>
        </w:rPr>
        <w:t> </w:t>
      </w:r>
      <w:r>
        <w:rPr/>
        <w:t>the impact of commonshocks on prices (news-basedmeasures) may usefully complement measures relying onprice comparisons (price-basedmeasures).</w:t>
      </w:r>
    </w:p>
    <w:p>
      <w:pPr>
        <w:pStyle w:val="BodyText"/>
        <w:spacing w:line="480" w:lineRule="auto" w:before="160"/>
        <w:ind w:right="733"/>
        <w:jc w:val="both"/>
      </w:pPr>
      <w:r>
        <w:rPr/>
        <w:t>Guha, Daga, Gulati, Bhupal and Oak (2014), distinguishes between total, directand indirect financial integration. The total financial integrationthus embraces direct andindirect integration. Total (perfect) integration means thatexpected real interestrates are the same on the marketsconcerned. Where total financial integration is notperfect, the reason may be imperfectdirect and/or indirect financial integration. Direct financial integration, which is</w:t>
      </w:r>
      <w:r>
        <w:rPr>
          <w:spacing w:val="40"/>
        </w:rPr>
        <w:t> </w:t>
      </w:r>
      <w:r>
        <w:rPr/>
        <w:t>also calledcapital market integration, is expressed indeviations from the lawof one price for financialsecurities. Under perfect direct financial integrationthis law obtains, and aninvestor can</w:t>
      </w:r>
      <w:r>
        <w:rPr>
          <w:spacing w:val="-4"/>
        </w:rPr>
        <w:t> </w:t>
      </w:r>
      <w:r>
        <w:rPr/>
        <w:t>expect,</w:t>
      </w:r>
      <w:r>
        <w:rPr>
          <w:spacing w:val="-3"/>
        </w:rPr>
        <w:t> </w:t>
      </w:r>
      <w:r>
        <w:rPr/>
        <w:t>the</w:t>
      </w:r>
      <w:r>
        <w:rPr>
          <w:spacing w:val="-4"/>
        </w:rPr>
        <w:t> </w:t>
      </w:r>
      <w:r>
        <w:rPr/>
        <w:t>samereturn</w:t>
      </w:r>
      <w:r>
        <w:rPr>
          <w:spacing w:val="-4"/>
        </w:rPr>
        <w:t> </w:t>
      </w:r>
      <w:r>
        <w:rPr/>
        <w:t>on</w:t>
      </w:r>
      <w:r>
        <w:rPr>
          <w:spacing w:val="-4"/>
        </w:rPr>
        <w:t> </w:t>
      </w:r>
      <w:r>
        <w:rPr/>
        <w:t>investments</w:t>
      </w:r>
      <w:r>
        <w:rPr>
          <w:spacing w:val="-2"/>
        </w:rPr>
        <w:t> </w:t>
      </w:r>
      <w:r>
        <w:rPr/>
        <w:t>fromdifferent</w:t>
      </w:r>
      <w:r>
        <w:rPr>
          <w:spacing w:val="-4"/>
        </w:rPr>
        <w:t> </w:t>
      </w:r>
      <w:r>
        <w:rPr/>
        <w:t>markets</w:t>
      </w:r>
      <w:r>
        <w:rPr>
          <w:spacing w:val="-3"/>
        </w:rPr>
        <w:t> </w:t>
      </w:r>
      <w:r>
        <w:rPr/>
        <w:t>(and</w:t>
      </w:r>
      <w:r>
        <w:rPr>
          <w:spacing w:val="-4"/>
        </w:rPr>
        <w:t> </w:t>
      </w:r>
      <w:r>
        <w:rPr/>
        <w:t>borrower</w:t>
      </w:r>
      <w:r>
        <w:rPr>
          <w:spacing w:val="-4"/>
        </w:rPr>
        <w:t> </w:t>
      </w:r>
      <w:r>
        <w:rPr/>
        <w:t>thesame</w:t>
      </w:r>
      <w:r>
        <w:rPr>
          <w:spacing w:val="-4"/>
        </w:rPr>
        <w:t> </w:t>
      </w:r>
      <w:r>
        <w:rPr/>
        <w:t>loan costs), after therequisite</w:t>
      </w:r>
      <w:r>
        <w:rPr>
          <w:spacing w:val="-2"/>
        </w:rPr>
        <w:t> </w:t>
      </w:r>
      <w:r>
        <w:rPr/>
        <w:t>adjustment has beenmade for risk. If the differential inexpected risk- adjusted returns is greaterthan zero but less thanor the same as the transactioncost (Oyeniran &amp; Temitope, 2015), we can say thatmarkets are disintegrated but are nonethelessefficient.</w:t>
      </w:r>
    </w:p>
    <w:p>
      <w:pPr>
        <w:pStyle w:val="BodyText"/>
        <w:spacing w:line="480" w:lineRule="auto" w:before="161"/>
        <w:ind w:right="735"/>
        <w:jc w:val="both"/>
      </w:pPr>
      <w:r>
        <w:rPr/>
        <w:t>Financial</w:t>
      </w:r>
      <w:r>
        <w:rPr>
          <w:spacing w:val="-4"/>
        </w:rPr>
        <w:t> </w:t>
      </w:r>
      <w:r>
        <w:rPr/>
        <w:t>integration</w:t>
      </w:r>
      <w:r>
        <w:rPr>
          <w:spacing w:val="-4"/>
        </w:rPr>
        <w:t> </w:t>
      </w:r>
      <w:r>
        <w:rPr/>
        <w:t>can</w:t>
      </w:r>
      <w:r>
        <w:rPr>
          <w:spacing w:val="-4"/>
        </w:rPr>
        <w:t> </w:t>
      </w:r>
      <w:r>
        <w:rPr/>
        <w:t>alsovary</w:t>
      </w:r>
      <w:r>
        <w:rPr>
          <w:spacing w:val="-4"/>
        </w:rPr>
        <w:t> </w:t>
      </w:r>
      <w:r>
        <w:rPr/>
        <w:t>in</w:t>
      </w:r>
      <w:r>
        <w:rPr>
          <w:spacing w:val="-4"/>
        </w:rPr>
        <w:t> </w:t>
      </w:r>
      <w:r>
        <w:rPr/>
        <w:t>strength</w:t>
      </w:r>
      <w:r>
        <w:rPr>
          <w:spacing w:val="-4"/>
        </w:rPr>
        <w:t> </w:t>
      </w:r>
      <w:r>
        <w:rPr/>
        <w:t>from</w:t>
      </w:r>
      <w:r>
        <w:rPr>
          <w:spacing w:val="-4"/>
        </w:rPr>
        <w:t> </w:t>
      </w:r>
      <w:r>
        <w:rPr/>
        <w:t>perfect</w:t>
      </w:r>
      <w:r>
        <w:rPr>
          <w:spacing w:val="-4"/>
        </w:rPr>
        <w:t> </w:t>
      </w:r>
      <w:r>
        <w:rPr/>
        <w:t>integrationto</w:t>
      </w:r>
      <w:r>
        <w:rPr>
          <w:spacing w:val="-1"/>
        </w:rPr>
        <w:t> </w:t>
      </w:r>
      <w:r>
        <w:rPr/>
        <w:t>perfect</w:t>
      </w:r>
      <w:r>
        <w:rPr>
          <w:spacing w:val="-4"/>
        </w:rPr>
        <w:t> </w:t>
      </w:r>
      <w:r>
        <w:rPr/>
        <w:t>disintegration or segmentation (Oxelheim, 1990). When expectedreal interest rates are not the samein the markets in question (not perfect integration), then themarkets are said to besegmented. Segmentation</w:t>
      </w:r>
      <w:r>
        <w:rPr>
          <w:spacing w:val="-1"/>
        </w:rPr>
        <w:t> </w:t>
      </w:r>
      <w:r>
        <w:rPr/>
        <w:t>is aresult of</w:t>
      </w:r>
      <w:r>
        <w:rPr>
          <w:spacing w:val="-1"/>
        </w:rPr>
        <w:t> </w:t>
      </w:r>
      <w:r>
        <w:rPr/>
        <w:t>lack</w:t>
      </w:r>
      <w:r>
        <w:rPr>
          <w:spacing w:val="-2"/>
        </w:rPr>
        <w:t> </w:t>
      </w:r>
      <w:r>
        <w:rPr/>
        <w:t>of</w:t>
      </w:r>
      <w:r>
        <w:rPr>
          <w:spacing w:val="-1"/>
        </w:rPr>
        <w:t> </w:t>
      </w:r>
      <w:r>
        <w:rPr/>
        <w:t>integrationand</w:t>
      </w:r>
      <w:r>
        <w:rPr>
          <w:spacing w:val="-1"/>
        </w:rPr>
        <w:t> </w:t>
      </w:r>
      <w:r>
        <w:rPr/>
        <w:t>this can</w:t>
      </w:r>
      <w:r>
        <w:rPr>
          <w:spacing w:val="-1"/>
        </w:rPr>
        <w:t> </w:t>
      </w:r>
      <w:r>
        <w:rPr/>
        <w:t>happen</w:t>
      </w:r>
      <w:r>
        <w:rPr>
          <w:spacing w:val="-1"/>
        </w:rPr>
        <w:t> </w:t>
      </w:r>
      <w:r>
        <w:rPr/>
        <w:t>due</w:t>
      </w:r>
      <w:r>
        <w:rPr>
          <w:spacing w:val="-2"/>
        </w:rPr>
        <w:t> </w:t>
      </w:r>
      <w:r>
        <w:rPr/>
        <w:t>to hightransaction costs involved</w:t>
      </w:r>
      <w:r>
        <w:rPr>
          <w:spacing w:val="48"/>
        </w:rPr>
        <w:t> </w:t>
      </w:r>
      <w:r>
        <w:rPr/>
        <w:t>in</w:t>
      </w:r>
      <w:r>
        <w:rPr>
          <w:spacing w:val="49"/>
        </w:rPr>
        <w:t> </w:t>
      </w:r>
      <w:r>
        <w:rPr/>
        <w:t>arbitrage</w:t>
      </w:r>
      <w:r>
        <w:rPr>
          <w:spacing w:val="49"/>
        </w:rPr>
        <w:t> </w:t>
      </w:r>
      <w:r>
        <w:rPr/>
        <w:t>ormarket</w:t>
      </w:r>
      <w:r>
        <w:rPr>
          <w:spacing w:val="49"/>
        </w:rPr>
        <w:t> </w:t>
      </w:r>
      <w:r>
        <w:rPr/>
        <w:t>inefficiency</w:t>
      </w:r>
      <w:r>
        <w:rPr>
          <w:spacing w:val="48"/>
        </w:rPr>
        <w:t> </w:t>
      </w:r>
      <w:r>
        <w:rPr/>
        <w:t>(Guha,</w:t>
      </w:r>
      <w:r>
        <w:rPr>
          <w:spacing w:val="48"/>
        </w:rPr>
        <w:t> </w:t>
      </w:r>
      <w:r>
        <w:rPr/>
        <w:t>Daga,</w:t>
      </w:r>
      <w:r>
        <w:rPr>
          <w:spacing w:val="47"/>
        </w:rPr>
        <w:t> </w:t>
      </w:r>
      <w:r>
        <w:rPr/>
        <w:t>Gulati,</w:t>
      </w:r>
      <w:r>
        <w:rPr>
          <w:spacing w:val="49"/>
        </w:rPr>
        <w:t> </w:t>
      </w:r>
      <w:r>
        <w:rPr/>
        <w:t>Bhupal</w:t>
      </w:r>
      <w:r>
        <w:rPr>
          <w:spacing w:val="48"/>
        </w:rPr>
        <w:t> </w:t>
      </w:r>
      <w:r>
        <w:rPr/>
        <w:t>&amp;</w:t>
      </w:r>
      <w:r>
        <w:rPr>
          <w:spacing w:val="49"/>
        </w:rPr>
        <w:t> </w:t>
      </w:r>
      <w:r>
        <w:rPr/>
        <w:t>Oak,</w:t>
      </w:r>
      <w:r>
        <w:rPr>
          <w:spacing w:val="48"/>
        </w:rPr>
        <w:t> </w:t>
      </w:r>
      <w:r>
        <w:rPr>
          <w:spacing w:val="-2"/>
        </w:rPr>
        <w:t>2014).</w:t>
      </w:r>
    </w:p>
    <w:p>
      <w:pPr>
        <w:spacing w:after="0" w:line="480" w:lineRule="auto"/>
        <w:jc w:val="both"/>
        <w:sectPr>
          <w:pgSz w:w="12240" w:h="15840"/>
          <w:pgMar w:header="0" w:footer="1012" w:top="1380" w:bottom="1200" w:left="1220" w:right="700"/>
        </w:sectPr>
      </w:pPr>
    </w:p>
    <w:p>
      <w:pPr>
        <w:pStyle w:val="BodyText"/>
        <w:spacing w:line="480" w:lineRule="auto" w:before="60"/>
        <w:ind w:right="738"/>
        <w:jc w:val="both"/>
      </w:pPr>
      <w:r>
        <w:rPr/>
        <mc:AlternateContent>
          <mc:Choice Requires="wps">
            <w:drawing>
              <wp:anchor distT="0" distB="0" distL="0" distR="0" allowOverlap="1" layoutInCell="1" locked="0" behindDoc="1" simplePos="0" relativeHeight="478027264">
                <wp:simplePos x="0" y="0"/>
                <wp:positionH relativeFrom="page">
                  <wp:posOffset>950112</wp:posOffset>
                </wp:positionH>
                <wp:positionV relativeFrom="paragraph">
                  <wp:posOffset>1321053</wp:posOffset>
                </wp:positionV>
                <wp:extent cx="5505450" cy="5661025"/>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9216" id="docshape52"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Financial integration includes notonly integration of financialmarkets or services but cantake other forms aswell. These forms need not beinterconnected nor are they advancedforms (stages) of theintegration process. Liebscher, Christl, Mooslechnerand Ritzberger-Grünwald (2016) show thatintegration can take manyforms and present variousaspects:</w:t>
      </w:r>
    </w:p>
    <w:p>
      <w:pPr>
        <w:pStyle w:val="ListParagraph"/>
        <w:numPr>
          <w:ilvl w:val="0"/>
          <w:numId w:val="15"/>
        </w:numPr>
        <w:tabs>
          <w:tab w:pos="580" w:val="left" w:leader="none"/>
        </w:tabs>
        <w:spacing w:line="463" w:lineRule="auto" w:before="161" w:after="0"/>
        <w:ind w:left="580" w:right="1433" w:hanging="360"/>
        <w:jc w:val="both"/>
        <w:rPr>
          <w:sz w:val="25"/>
        </w:rPr>
      </w:pPr>
      <w:r>
        <w:rPr>
          <w:sz w:val="25"/>
        </w:rPr>
        <w:t>Monetary</w:t>
      </w:r>
      <w:r>
        <w:rPr>
          <w:spacing w:val="-5"/>
          <w:sz w:val="25"/>
        </w:rPr>
        <w:t> </w:t>
      </w:r>
      <w:r>
        <w:rPr>
          <w:sz w:val="25"/>
        </w:rPr>
        <w:t>integration,</w:t>
      </w:r>
      <w:r>
        <w:rPr>
          <w:spacing w:val="-5"/>
          <w:sz w:val="25"/>
        </w:rPr>
        <w:t> </w:t>
      </w:r>
      <w:r>
        <w:rPr>
          <w:sz w:val="25"/>
        </w:rPr>
        <w:t>either</w:t>
      </w:r>
      <w:r>
        <w:rPr>
          <w:spacing w:val="-5"/>
          <w:sz w:val="25"/>
        </w:rPr>
        <w:t> </w:t>
      </w:r>
      <w:r>
        <w:rPr>
          <w:sz w:val="25"/>
        </w:rPr>
        <w:t>throughcurrency</w:t>
      </w:r>
      <w:r>
        <w:rPr>
          <w:spacing w:val="-5"/>
          <w:sz w:val="25"/>
        </w:rPr>
        <w:t> </w:t>
      </w:r>
      <w:r>
        <w:rPr>
          <w:sz w:val="25"/>
        </w:rPr>
        <w:t>unions</w:t>
      </w:r>
      <w:r>
        <w:rPr>
          <w:spacing w:val="-4"/>
          <w:sz w:val="25"/>
        </w:rPr>
        <w:t> </w:t>
      </w:r>
      <w:r>
        <w:rPr>
          <w:sz w:val="25"/>
        </w:rPr>
        <w:t>(Europe,</w:t>
      </w:r>
      <w:r>
        <w:rPr>
          <w:spacing w:val="-4"/>
          <w:sz w:val="25"/>
        </w:rPr>
        <w:t> </w:t>
      </w:r>
      <w:r>
        <w:rPr>
          <w:sz w:val="25"/>
        </w:rPr>
        <w:t>Western</w:t>
      </w:r>
      <w:r>
        <w:rPr>
          <w:spacing w:val="-5"/>
          <w:sz w:val="25"/>
        </w:rPr>
        <w:t> </w:t>
      </w:r>
      <w:r>
        <w:rPr>
          <w:sz w:val="25"/>
        </w:rPr>
        <w:t>and</w:t>
      </w:r>
      <w:r>
        <w:rPr>
          <w:spacing w:val="-5"/>
          <w:sz w:val="25"/>
        </w:rPr>
        <w:t> </w:t>
      </w:r>
      <w:r>
        <w:rPr>
          <w:sz w:val="25"/>
        </w:rPr>
        <w:t>Central Africa) orthrough dollarization, such as inLatin America and theCaribbean.</w:t>
      </w:r>
    </w:p>
    <w:p>
      <w:pPr>
        <w:pStyle w:val="ListParagraph"/>
        <w:numPr>
          <w:ilvl w:val="0"/>
          <w:numId w:val="15"/>
        </w:numPr>
        <w:tabs>
          <w:tab w:pos="579" w:val="left" w:leader="none"/>
        </w:tabs>
        <w:spacing w:line="240" w:lineRule="auto" w:before="23" w:after="0"/>
        <w:ind w:left="579" w:right="0" w:hanging="359"/>
        <w:jc w:val="both"/>
        <w:rPr>
          <w:sz w:val="25"/>
        </w:rPr>
      </w:pPr>
      <w:r>
        <w:rPr>
          <w:sz w:val="25"/>
        </w:rPr>
        <w:t>Liberalizationof</w:t>
      </w:r>
      <w:r>
        <w:rPr>
          <w:spacing w:val="-10"/>
          <w:sz w:val="25"/>
        </w:rPr>
        <w:t> </w:t>
      </w:r>
      <w:r>
        <w:rPr>
          <w:sz w:val="25"/>
        </w:rPr>
        <w:t>the</w:t>
      </w:r>
      <w:r>
        <w:rPr>
          <w:spacing w:val="-11"/>
          <w:sz w:val="25"/>
        </w:rPr>
        <w:t> </w:t>
      </w:r>
      <w:r>
        <w:rPr>
          <w:spacing w:val="-2"/>
          <w:sz w:val="25"/>
        </w:rPr>
        <w:t>capitalaccount.</w:t>
      </w:r>
    </w:p>
    <w:p>
      <w:pPr>
        <w:pStyle w:val="ListParagraph"/>
        <w:numPr>
          <w:ilvl w:val="0"/>
          <w:numId w:val="15"/>
        </w:numPr>
        <w:tabs>
          <w:tab w:pos="580" w:val="left" w:leader="none"/>
        </w:tabs>
        <w:spacing w:line="463" w:lineRule="auto" w:before="287" w:after="0"/>
        <w:ind w:left="580" w:right="922" w:hanging="360"/>
        <w:jc w:val="left"/>
        <w:rPr>
          <w:sz w:val="25"/>
        </w:rPr>
      </w:pPr>
      <w:r>
        <w:rPr>
          <w:sz w:val="25"/>
        </w:rPr>
        <w:t>Subcontracting</w:t>
      </w:r>
      <w:r>
        <w:rPr>
          <w:spacing w:val="-4"/>
          <w:sz w:val="25"/>
        </w:rPr>
        <w:t> </w:t>
      </w:r>
      <w:r>
        <w:rPr>
          <w:sz w:val="25"/>
        </w:rPr>
        <w:t>abroad</w:t>
      </w:r>
      <w:r>
        <w:rPr>
          <w:spacing w:val="-4"/>
          <w:sz w:val="25"/>
        </w:rPr>
        <w:t> </w:t>
      </w:r>
      <w:r>
        <w:rPr>
          <w:sz w:val="25"/>
        </w:rPr>
        <w:t>offinancial</w:t>
      </w:r>
      <w:r>
        <w:rPr>
          <w:spacing w:val="-4"/>
          <w:sz w:val="25"/>
        </w:rPr>
        <w:t> </w:t>
      </w:r>
      <w:r>
        <w:rPr>
          <w:sz w:val="25"/>
        </w:rPr>
        <w:t>services</w:t>
      </w:r>
      <w:r>
        <w:rPr>
          <w:spacing w:val="-3"/>
          <w:sz w:val="25"/>
        </w:rPr>
        <w:t> </w:t>
      </w:r>
      <w:r>
        <w:rPr>
          <w:sz w:val="25"/>
        </w:rPr>
        <w:t>or</w:t>
      </w:r>
      <w:r>
        <w:rPr>
          <w:spacing w:val="-3"/>
          <w:sz w:val="25"/>
        </w:rPr>
        <w:t> </w:t>
      </w:r>
      <w:r>
        <w:rPr>
          <w:sz w:val="25"/>
        </w:rPr>
        <w:t>infrastructure,</w:t>
      </w:r>
      <w:r>
        <w:rPr>
          <w:spacing w:val="-4"/>
          <w:sz w:val="25"/>
        </w:rPr>
        <w:t> </w:t>
      </w:r>
      <w:r>
        <w:rPr>
          <w:sz w:val="25"/>
        </w:rPr>
        <w:t>such</w:t>
      </w:r>
      <w:r>
        <w:rPr>
          <w:spacing w:val="-4"/>
          <w:sz w:val="25"/>
        </w:rPr>
        <w:t> </w:t>
      </w:r>
      <w:r>
        <w:rPr>
          <w:sz w:val="25"/>
        </w:rPr>
        <w:t>as</w:t>
      </w:r>
      <w:r>
        <w:rPr>
          <w:spacing w:val="-3"/>
          <w:sz w:val="25"/>
        </w:rPr>
        <w:t> </w:t>
      </w:r>
      <w:r>
        <w:rPr>
          <w:sz w:val="25"/>
        </w:rPr>
        <w:t>in</w:t>
      </w:r>
      <w:r>
        <w:rPr>
          <w:spacing w:val="-4"/>
          <w:sz w:val="25"/>
        </w:rPr>
        <w:t> </w:t>
      </w:r>
      <w:r>
        <w:rPr>
          <w:sz w:val="25"/>
        </w:rPr>
        <w:t>the</w:t>
      </w:r>
      <w:r>
        <w:rPr>
          <w:spacing w:val="-4"/>
          <w:sz w:val="25"/>
        </w:rPr>
        <w:t> </w:t>
      </w:r>
      <w:r>
        <w:rPr>
          <w:sz w:val="25"/>
        </w:rPr>
        <w:t>caseof</w:t>
      </w:r>
      <w:r>
        <w:rPr>
          <w:spacing w:val="-4"/>
          <w:sz w:val="25"/>
        </w:rPr>
        <w:t> </w:t>
      </w:r>
      <w:r>
        <w:rPr>
          <w:sz w:val="25"/>
        </w:rPr>
        <w:t>listing of securities onforeign stock exchanges.</w:t>
      </w:r>
    </w:p>
    <w:p>
      <w:pPr>
        <w:pStyle w:val="ListParagraph"/>
        <w:numPr>
          <w:ilvl w:val="0"/>
          <w:numId w:val="15"/>
        </w:numPr>
        <w:tabs>
          <w:tab w:pos="579" w:val="left" w:leader="none"/>
        </w:tabs>
        <w:spacing w:line="240" w:lineRule="auto" w:before="20" w:after="0"/>
        <w:ind w:left="579" w:right="0" w:hanging="359"/>
        <w:jc w:val="both"/>
        <w:rPr>
          <w:sz w:val="25"/>
        </w:rPr>
      </w:pPr>
      <w:r>
        <w:rPr>
          <w:sz w:val="25"/>
        </w:rPr>
        <w:t>Foreign</w:t>
      </w:r>
      <w:r>
        <w:rPr>
          <w:spacing w:val="-8"/>
          <w:sz w:val="25"/>
        </w:rPr>
        <w:t> </w:t>
      </w:r>
      <w:r>
        <w:rPr>
          <w:spacing w:val="-2"/>
          <w:sz w:val="25"/>
        </w:rPr>
        <w:t>entry.</w:t>
      </w:r>
    </w:p>
    <w:p>
      <w:pPr>
        <w:pStyle w:val="ListParagraph"/>
        <w:numPr>
          <w:ilvl w:val="0"/>
          <w:numId w:val="15"/>
        </w:numPr>
        <w:tabs>
          <w:tab w:pos="580" w:val="left" w:leader="none"/>
        </w:tabs>
        <w:spacing w:line="240" w:lineRule="auto" w:before="287" w:after="0"/>
        <w:ind w:left="580" w:right="0" w:hanging="360"/>
        <w:jc w:val="left"/>
        <w:rPr>
          <w:sz w:val="25"/>
        </w:rPr>
      </w:pPr>
      <w:r>
        <w:rPr>
          <w:sz w:val="25"/>
        </w:rPr>
        <w:t>Regulatory</w:t>
      </w:r>
      <w:r>
        <w:rPr>
          <w:spacing w:val="-13"/>
          <w:sz w:val="25"/>
        </w:rPr>
        <w:t> </w:t>
      </w:r>
      <w:r>
        <w:rPr>
          <w:sz w:val="25"/>
        </w:rPr>
        <w:t>convergenceand</w:t>
      </w:r>
      <w:r>
        <w:rPr>
          <w:spacing w:val="-14"/>
          <w:sz w:val="25"/>
        </w:rPr>
        <w:t> </w:t>
      </w:r>
      <w:r>
        <w:rPr>
          <w:spacing w:val="-2"/>
          <w:sz w:val="25"/>
        </w:rPr>
        <w:t>harmonization.</w:t>
      </w:r>
    </w:p>
    <w:p>
      <w:pPr>
        <w:pStyle w:val="BodyText"/>
        <w:ind w:left="0"/>
      </w:pPr>
    </w:p>
    <w:p>
      <w:pPr>
        <w:pStyle w:val="BodyText"/>
        <w:spacing w:before="159"/>
        <w:ind w:left="0"/>
      </w:pPr>
    </w:p>
    <w:p>
      <w:pPr>
        <w:pStyle w:val="Heading2"/>
        <w:numPr>
          <w:ilvl w:val="2"/>
          <w:numId w:val="16"/>
        </w:numPr>
        <w:tabs>
          <w:tab w:pos="780" w:val="left" w:leader="none"/>
        </w:tabs>
        <w:spacing w:line="240" w:lineRule="auto" w:before="0" w:after="0"/>
        <w:ind w:left="780" w:right="0" w:hanging="560"/>
        <w:jc w:val="left"/>
      </w:pPr>
      <w:bookmarkStart w:name="_TOC_250055" w:id="20"/>
      <w:r>
        <w:rPr/>
        <w:t>Potential</w:t>
      </w:r>
      <w:r>
        <w:rPr>
          <w:spacing w:val="-9"/>
        </w:rPr>
        <w:t> </w:t>
      </w:r>
      <w:r>
        <w:rPr/>
        <w:t>Benefits</w:t>
      </w:r>
      <w:r>
        <w:rPr>
          <w:spacing w:val="-10"/>
        </w:rPr>
        <w:t> </w:t>
      </w:r>
      <w:r>
        <w:rPr/>
        <w:t>of</w:t>
      </w:r>
      <w:r>
        <w:rPr>
          <w:spacing w:val="-8"/>
        </w:rPr>
        <w:t> </w:t>
      </w:r>
      <w:r>
        <w:rPr/>
        <w:t>Financial</w:t>
      </w:r>
      <w:r>
        <w:rPr>
          <w:spacing w:val="-9"/>
        </w:rPr>
        <w:t> </w:t>
      </w:r>
      <w:bookmarkEnd w:id="20"/>
      <w:r>
        <w:rPr>
          <w:spacing w:val="-2"/>
        </w:rPr>
        <w:t>Integration</w:t>
      </w:r>
    </w:p>
    <w:p>
      <w:pPr>
        <w:pStyle w:val="BodyText"/>
        <w:spacing w:before="160"/>
        <w:ind w:left="0"/>
        <w:rPr>
          <w:b/>
        </w:rPr>
      </w:pPr>
    </w:p>
    <w:p>
      <w:pPr>
        <w:pStyle w:val="BodyText"/>
        <w:spacing w:line="480" w:lineRule="auto"/>
        <w:ind w:right="736"/>
        <w:jc w:val="both"/>
      </w:pPr>
      <w:r>
        <w:rPr/>
        <w:t>Theoretically, analytical arguments supportingfinancial integration revolve aroundboth the direct and indirectchannels through whichfinancial openness can help fostergrowth in developingcountries. Although thesechannels are related in oneway or the other, it is important toidentify the important contributionof each of them. Baele, FerrandoHördahl, Krylova</w:t>
      </w:r>
      <w:r>
        <w:rPr>
          <w:spacing w:val="-4"/>
        </w:rPr>
        <w:t> </w:t>
      </w:r>
      <w:r>
        <w:rPr/>
        <w:t>and</w:t>
      </w:r>
      <w:r>
        <w:rPr>
          <w:spacing w:val="-4"/>
        </w:rPr>
        <w:t> </w:t>
      </w:r>
      <w:r>
        <w:rPr/>
        <w:t>Monnet</w:t>
      </w:r>
      <w:r>
        <w:rPr>
          <w:spacing w:val="-4"/>
        </w:rPr>
        <w:t> </w:t>
      </w:r>
      <w:r>
        <w:rPr/>
        <w:t>(2014)</w:t>
      </w:r>
      <w:r>
        <w:rPr>
          <w:spacing w:val="-4"/>
        </w:rPr>
        <w:t> </w:t>
      </w:r>
      <w:r>
        <w:rPr/>
        <w:t>orEconomic</w:t>
      </w:r>
      <w:r>
        <w:rPr>
          <w:spacing w:val="-4"/>
        </w:rPr>
        <w:t> </w:t>
      </w:r>
      <w:r>
        <w:rPr/>
        <w:t>Commission</w:t>
      </w:r>
      <w:r>
        <w:rPr>
          <w:spacing w:val="-4"/>
        </w:rPr>
        <w:t> </w:t>
      </w:r>
      <w:r>
        <w:rPr/>
        <w:t>for</w:t>
      </w:r>
      <w:r>
        <w:rPr>
          <w:spacing w:val="-4"/>
        </w:rPr>
        <w:t> </w:t>
      </w:r>
      <w:r>
        <w:rPr/>
        <w:t>Africa</w:t>
      </w:r>
      <w:r>
        <w:rPr>
          <w:spacing w:val="-4"/>
        </w:rPr>
        <w:t> </w:t>
      </w:r>
      <w:r>
        <w:rPr/>
        <w:t>(2008)</w:t>
      </w:r>
      <w:r>
        <w:rPr>
          <w:spacing w:val="-2"/>
        </w:rPr>
        <w:t> </w:t>
      </w:r>
      <w:r>
        <w:rPr/>
        <w:t>considerthree</w:t>
      </w:r>
      <w:r>
        <w:rPr>
          <w:spacing w:val="-4"/>
        </w:rPr>
        <w:t> </w:t>
      </w:r>
      <w:r>
        <w:rPr/>
        <w:t>widely accepted interrelated benefitsof financial integration: more opportunitiesfor risk sharing and riskdiversification, better allocation ofcapital among investment opportunitiesand potential for highergrowth. The benefits are discussed below:</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27776">
                <wp:simplePos x="0" y="0"/>
                <wp:positionH relativeFrom="page">
                  <wp:posOffset>950112</wp:posOffset>
                </wp:positionH>
                <wp:positionV relativeFrom="paragraph">
                  <wp:posOffset>1321053</wp:posOffset>
                </wp:positionV>
                <wp:extent cx="5505450" cy="5661025"/>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8704" id="docshape53"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b/>
        </w:rPr>
        <w:t>Risk Sharing: </w:t>
      </w:r>
      <w:r>
        <w:rPr/>
        <w:t>Economic theory predicts thatfinancial integration should have aneffect on facilitating risksharing (Jappelli &amp; Pagano, 2008). The integration into largermarkets or even the formationof larger markets is beneficialto both firms andfinancial markets and institutions. According toBaele, Ferrando, Hördahl, Krylovaand Monnet (2014) financial integration provides additionalopportunities for firms andhouseholds to sharefinancial risk and to smooth outconsumption inter-temporally. Financial integration allows projectowners with low initial capitalto turn to an intermediarythat can mobilize savingsso as to cover the initial costs. Theseavenues indicate a strong linkbetween financial institutions andeconomic growth (Levine, 1997). Theexploitation of economies-of-scale can allow firms, inparticular those</w:t>
      </w:r>
      <w:r>
        <w:rPr>
          <w:spacing w:val="-2"/>
        </w:rPr>
        <w:t> </w:t>
      </w:r>
      <w:r>
        <w:rPr/>
        <w:t>small</w:t>
      </w:r>
      <w:r>
        <w:rPr>
          <w:spacing w:val="-1"/>
        </w:rPr>
        <w:t> </w:t>
      </w:r>
      <w:r>
        <w:rPr/>
        <w:t>andmedium-sized</w:t>
      </w:r>
      <w:r>
        <w:rPr>
          <w:spacing w:val="-2"/>
        </w:rPr>
        <w:t> </w:t>
      </w:r>
      <w:r>
        <w:rPr/>
        <w:t>ones</w:t>
      </w:r>
      <w:r>
        <w:rPr>
          <w:spacing w:val="-1"/>
        </w:rPr>
        <w:t> </w:t>
      </w:r>
      <w:r>
        <w:rPr/>
        <w:t>that</w:t>
      </w:r>
      <w:r>
        <w:rPr>
          <w:spacing w:val="-1"/>
        </w:rPr>
        <w:t> </w:t>
      </w:r>
      <w:r>
        <w:rPr/>
        <w:t>facecredit</w:t>
      </w:r>
      <w:r>
        <w:rPr>
          <w:spacing w:val="-1"/>
        </w:rPr>
        <w:t> </w:t>
      </w:r>
      <w:r>
        <w:rPr/>
        <w:t>constraints,</w:t>
      </w:r>
      <w:r>
        <w:rPr>
          <w:spacing w:val="-1"/>
        </w:rPr>
        <w:t> </w:t>
      </w:r>
      <w:r>
        <w:rPr/>
        <w:t>to</w:t>
      </w:r>
      <w:r>
        <w:rPr>
          <w:spacing w:val="-1"/>
        </w:rPr>
        <w:t> </w:t>
      </w:r>
      <w:r>
        <w:rPr/>
        <w:t>havebetter</w:t>
      </w:r>
      <w:r>
        <w:rPr>
          <w:spacing w:val="-1"/>
        </w:rPr>
        <w:t> </w:t>
      </w:r>
      <w:r>
        <w:rPr/>
        <w:t>access to</w:t>
      </w:r>
      <w:r>
        <w:rPr>
          <w:spacing w:val="-1"/>
        </w:rPr>
        <w:t> </w:t>
      </w:r>
      <w:r>
        <w:rPr/>
        <w:t>broader financial orcapital markets.</w:t>
      </w:r>
    </w:p>
    <w:p>
      <w:pPr>
        <w:pStyle w:val="BodyText"/>
        <w:spacing w:line="480" w:lineRule="auto" w:before="160"/>
        <w:ind w:right="734"/>
        <w:jc w:val="both"/>
      </w:pPr>
      <w:r>
        <w:rPr/>
        <w:t>Risk-sharing opportunities make itpossible to finance highly riskyprojects with potentially very high returns, as theavailability of risk-sharingopportunities enhances financialmarkets and permits risk-averseinvestors to hedge againstnegative shocks. Because financialmarkets and institutions can handlecredit risk better, integrationcould also remove certainforms of credit constraints facedby investors. The law of largenumbers guarantees less exposureto credit risk as thenumber of clients increases. Individual risks could also beminimised by integrating into alarger market and, at thesame time, enhancing portfoliodiversification (Osada &amp; Saito, 2007).</w:t>
      </w:r>
    </w:p>
    <w:p>
      <w:pPr>
        <w:pStyle w:val="BodyText"/>
        <w:spacing w:line="480" w:lineRule="auto" w:before="161"/>
        <w:ind w:right="736"/>
        <w:jc w:val="both"/>
      </w:pPr>
      <w:r>
        <w:rPr/>
        <w:t>Through the sharing ofrisk, financial integration leads to specializationin production across theregions. Furthermore, financial integration promotes portfolio diversificationand the sharingof</w:t>
      </w:r>
      <w:r>
        <w:rPr>
          <w:spacing w:val="76"/>
        </w:rPr>
        <w:t> </w:t>
      </w:r>
      <w:r>
        <w:rPr/>
        <w:t>idiosyncratic</w:t>
      </w:r>
      <w:r>
        <w:rPr>
          <w:spacing w:val="76"/>
        </w:rPr>
        <w:t> </w:t>
      </w:r>
      <w:r>
        <w:rPr/>
        <w:t>risk</w:t>
      </w:r>
      <w:r>
        <w:rPr>
          <w:spacing w:val="76"/>
        </w:rPr>
        <w:t> </w:t>
      </w:r>
      <w:r>
        <w:rPr/>
        <w:t>acrossregions</w:t>
      </w:r>
      <w:r>
        <w:rPr>
          <w:spacing w:val="77"/>
        </w:rPr>
        <w:t> </w:t>
      </w:r>
      <w:r>
        <w:rPr/>
        <w:t>due</w:t>
      </w:r>
      <w:r>
        <w:rPr>
          <w:spacing w:val="75"/>
        </w:rPr>
        <w:t> </w:t>
      </w:r>
      <w:r>
        <w:rPr/>
        <w:t>to</w:t>
      </w:r>
      <w:r>
        <w:rPr>
          <w:spacing w:val="76"/>
        </w:rPr>
        <w:t> </w:t>
      </w:r>
      <w:r>
        <w:rPr/>
        <w:t>the</w:t>
      </w:r>
      <w:r>
        <w:rPr>
          <w:spacing w:val="76"/>
        </w:rPr>
        <w:t> </w:t>
      </w:r>
      <w:r>
        <w:rPr/>
        <w:t>availabilityof</w:t>
      </w:r>
      <w:r>
        <w:rPr>
          <w:spacing w:val="77"/>
        </w:rPr>
        <w:t> </w:t>
      </w:r>
      <w:r>
        <w:rPr/>
        <w:t>additional</w:t>
      </w:r>
      <w:r>
        <w:rPr>
          <w:spacing w:val="76"/>
        </w:rPr>
        <w:t> </w:t>
      </w:r>
      <w:r>
        <w:rPr>
          <w:spacing w:val="-2"/>
        </w:rPr>
        <w:t>financial</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28288">
                <wp:simplePos x="0" y="0"/>
                <wp:positionH relativeFrom="page">
                  <wp:posOffset>950112</wp:posOffset>
                </wp:positionH>
                <wp:positionV relativeFrom="paragraph">
                  <wp:posOffset>1321053</wp:posOffset>
                </wp:positionV>
                <wp:extent cx="5505450" cy="566102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8192" id="docshape54"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instruments. It allows households tohold more diversifiedequity portfolios, and inparticular</w:t>
      </w:r>
      <w:r>
        <w:rPr>
          <w:spacing w:val="40"/>
        </w:rPr>
        <w:t> </w:t>
      </w:r>
      <w:r>
        <w:rPr/>
        <w:t>to diversify theportion of risk that arises fromcountry-specific shocks. Similarly, it allows banks todiversify their loanportfolios internationally. This diversification should help euroareahouseholds to buffercountry-specific income shocks, so thatshocks to domestic income should notaffect domestic consumption, but bediversified away byborrowing or investingabroad (Jappelli &amp; Pagano, 2008). Kalemli-Ozcan, Sorensen andYosha (2013) provide empirical evidence thatsharing risk acrossregions enhances specialisation in production, therebyresulting in well-knownbenefits.</w:t>
      </w:r>
    </w:p>
    <w:p>
      <w:pPr>
        <w:pStyle w:val="BodyText"/>
        <w:spacing w:line="480" w:lineRule="auto" w:before="162"/>
        <w:ind w:right="734"/>
        <w:jc w:val="both"/>
      </w:pPr>
      <w:r>
        <w:rPr/>
        <w:t>Kalemli-Ozcan and Manganelli (2008) analyzed banking integrationsince the banking system, especiallyin the euro area, is the mainfinancial channel for boththe corporate sector andhouseholds. They find that highercross-border banking integration increases consumption risksharing. Their findings have importantpolicy implications for theeuro. Asymmetric shocks in a currencyunion generate outputand inflation differentials. The impactof such shocks is considerablyreduced if cross-country risksharing is significant. To the extent that risk-sharingallows hedging ofconsumption, it represents akey counteracting mechanism against outputasymmetric shocks amongmembers of acurrency union. This mechanism reduces theneed for policy interventionin dealing with suchasymmetries (Kalemli-Ozcan, Sorensen &amp; Yosha, 2013).</w:t>
      </w:r>
    </w:p>
    <w:p>
      <w:pPr>
        <w:pStyle w:val="BodyText"/>
        <w:spacing w:line="480" w:lineRule="auto" w:before="160"/>
        <w:ind w:right="737"/>
        <w:jc w:val="both"/>
      </w:pPr>
      <w:r>
        <w:rPr>
          <w:b/>
        </w:rPr>
        <w:t>Improved Capital Allocation: </w:t>
      </w:r>
      <w:r>
        <w:rPr/>
        <w:t>It is a generallyaccepted view that greaterfinancial</w:t>
      </w:r>
      <w:r>
        <w:rPr>
          <w:spacing w:val="40"/>
        </w:rPr>
        <w:t> </w:t>
      </w:r>
      <w:r>
        <w:rPr/>
        <w:t>integration should allow abetter allocation ofcapital (Levine, 2001). An integratedfinancial market removes allforms of impedimentsto trading of financial assetsand flow of capital, allowing</w:t>
      </w:r>
      <w:r>
        <w:rPr>
          <w:spacing w:val="21"/>
        </w:rPr>
        <w:t> </w:t>
      </w:r>
      <w:r>
        <w:rPr/>
        <w:t>for</w:t>
      </w:r>
      <w:r>
        <w:rPr>
          <w:spacing w:val="22"/>
        </w:rPr>
        <w:t> </w:t>
      </w:r>
      <w:r>
        <w:rPr/>
        <w:t>theefficient</w:t>
      </w:r>
      <w:r>
        <w:rPr>
          <w:spacing w:val="22"/>
        </w:rPr>
        <w:t> </w:t>
      </w:r>
      <w:r>
        <w:rPr/>
        <w:t>allocation</w:t>
      </w:r>
      <w:r>
        <w:rPr>
          <w:spacing w:val="21"/>
        </w:rPr>
        <w:t> </w:t>
      </w:r>
      <w:r>
        <w:rPr/>
        <w:t>of</w:t>
      </w:r>
      <w:r>
        <w:rPr>
          <w:spacing w:val="22"/>
        </w:rPr>
        <w:t> </w:t>
      </w:r>
      <w:r>
        <w:rPr/>
        <w:t>financialresources</w:t>
      </w:r>
      <w:r>
        <w:rPr>
          <w:spacing w:val="22"/>
        </w:rPr>
        <w:t> </w:t>
      </w:r>
      <w:r>
        <w:rPr/>
        <w:t>for</w:t>
      </w:r>
      <w:r>
        <w:rPr>
          <w:spacing w:val="22"/>
        </w:rPr>
        <w:t> </w:t>
      </w:r>
      <w:r>
        <w:rPr/>
        <w:t>investmentsand</w:t>
      </w:r>
      <w:r>
        <w:rPr>
          <w:spacing w:val="21"/>
        </w:rPr>
        <w:t> </w:t>
      </w:r>
      <w:r>
        <w:rPr/>
        <w:t>production.</w:t>
      </w:r>
      <w:r>
        <w:rPr>
          <w:spacing w:val="21"/>
        </w:rPr>
        <w:t> </w:t>
      </w:r>
      <w:r>
        <w:rPr>
          <w:spacing w:val="-5"/>
        </w:rPr>
        <w:t>In</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28800">
                <wp:simplePos x="0" y="0"/>
                <wp:positionH relativeFrom="page">
                  <wp:posOffset>950112</wp:posOffset>
                </wp:positionH>
                <wp:positionV relativeFrom="paragraph">
                  <wp:posOffset>1321053</wp:posOffset>
                </wp:positionV>
                <wp:extent cx="5505450" cy="566102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7680" id="docshape55"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addition, investors will bepermitted to invest theirfunds wherever theybelieve these funds</w:t>
      </w:r>
      <w:r>
        <w:rPr>
          <w:spacing w:val="40"/>
        </w:rPr>
        <w:t> </w:t>
      </w:r>
      <w:r>
        <w:rPr/>
        <w:t>will be allocated to themost productiveuses. More productive investmentopportunities will therefore becomeavailable to some or allinvestors and a reallocationof funds to themost productive investmentopportunities will takeplace (Baele, Ferrando, Hördahl, Krylova, &amp; Monnet, 2014). Kalemli-Ozcan and Manganelli (2008) show that byopening access to</w:t>
      </w:r>
      <w:r>
        <w:rPr>
          <w:spacing w:val="40"/>
        </w:rPr>
        <w:t> </w:t>
      </w:r>
      <w:r>
        <w:rPr/>
        <w:t>foreign markets, financial integration will giveagents a wider rangeof financing sources and investmentopportunities, and permits thecreation of deeper and moreliquid markets. This allows more information to bepooled and processed moreeffectively, and capitalto be allocated in a more efficient way.</w:t>
      </w:r>
    </w:p>
    <w:p>
      <w:pPr>
        <w:pStyle w:val="BodyText"/>
        <w:spacing w:line="480" w:lineRule="auto" w:before="161"/>
        <w:ind w:right="733"/>
        <w:jc w:val="both"/>
      </w:pPr>
      <w:r>
        <w:rPr>
          <w:b/>
        </w:rPr>
        <w:t>Promotion of Specialization</w:t>
      </w:r>
      <w:r>
        <w:rPr/>
        <w:t>: Since capitalaccount liberalization offers countriesthe opportunity to tap intointernational pool of funds tosmoothing consumption andproduction, they tend to specialize in theproduction of goods andservices where they have comparative advantageover other countries. This therefore boosts aggregate productionand economic growth (Prasad et al., 2003).</w:t>
      </w:r>
    </w:p>
    <w:p>
      <w:pPr>
        <w:pStyle w:val="BodyText"/>
        <w:spacing w:line="480" w:lineRule="auto" w:before="161"/>
        <w:ind w:right="734"/>
        <w:jc w:val="both"/>
      </w:pPr>
      <w:r>
        <w:rPr>
          <w:b/>
        </w:rPr>
        <w:t>Enhanced Macroeconomic Discipline</w:t>
      </w:r>
      <w:r>
        <w:rPr/>
        <w:t>: Literature suggests capital accountliberalization can yield</w:t>
      </w:r>
      <w:r>
        <w:rPr>
          <w:spacing w:val="-5"/>
        </w:rPr>
        <w:t> </w:t>
      </w:r>
      <w:r>
        <w:rPr/>
        <w:t>itspotential</w:t>
      </w:r>
      <w:r>
        <w:rPr>
          <w:spacing w:val="-5"/>
        </w:rPr>
        <w:t> </w:t>
      </w:r>
      <w:r>
        <w:rPr/>
        <w:t>benefits</w:t>
      </w:r>
      <w:r>
        <w:rPr>
          <w:spacing w:val="-4"/>
        </w:rPr>
        <w:t> </w:t>
      </w:r>
      <w:r>
        <w:rPr/>
        <w:t>only</w:t>
      </w:r>
      <w:r>
        <w:rPr>
          <w:spacing w:val="-5"/>
        </w:rPr>
        <w:t> </w:t>
      </w:r>
      <w:r>
        <w:rPr/>
        <w:t>underprudent</w:t>
      </w:r>
      <w:r>
        <w:rPr>
          <w:spacing w:val="-5"/>
        </w:rPr>
        <w:t> </w:t>
      </w:r>
      <w:r>
        <w:rPr/>
        <w:t>macroeconomic</w:t>
      </w:r>
      <w:r>
        <w:rPr>
          <w:spacing w:val="-5"/>
        </w:rPr>
        <w:t> </w:t>
      </w:r>
      <w:r>
        <w:rPr/>
        <w:t>managementand</w:t>
      </w:r>
      <w:r>
        <w:rPr>
          <w:spacing w:val="-5"/>
        </w:rPr>
        <w:t> </w:t>
      </w:r>
      <w:r>
        <w:rPr/>
        <w:t>other</w:t>
      </w:r>
      <w:r>
        <w:rPr>
          <w:spacing w:val="-5"/>
        </w:rPr>
        <w:t> </w:t>
      </w:r>
      <w:r>
        <w:rPr/>
        <w:t>threshold factors. This puts pressure on thegovernment to follow moredisciplined macroeconomic policiesand reduce policy mistakes (Gourinchas &amp; Jeanne, 2003). Alsopotential costs such asfinancial crisis andmacroeconomic volatility keeps thegovernment in check, thereby leading to prudent economic managementand its associated growth. Furthermore, financial integration servesas a signal to the international community that acountry is willingto adopt and</w:t>
      </w:r>
      <w:r>
        <w:rPr>
          <w:spacing w:val="41"/>
        </w:rPr>
        <w:t> </w:t>
      </w:r>
      <w:r>
        <w:rPr/>
        <w:t>implementsound</w:t>
      </w:r>
      <w:r>
        <w:rPr>
          <w:spacing w:val="42"/>
        </w:rPr>
        <w:t> </w:t>
      </w:r>
      <w:r>
        <w:rPr/>
        <w:t>macroeconomic</w:t>
      </w:r>
      <w:r>
        <w:rPr>
          <w:spacing w:val="42"/>
        </w:rPr>
        <w:t> </w:t>
      </w:r>
      <w:r>
        <w:rPr/>
        <w:t>policies</w:t>
      </w:r>
      <w:r>
        <w:rPr>
          <w:spacing w:val="42"/>
        </w:rPr>
        <w:t> </w:t>
      </w:r>
      <w:r>
        <w:rPr/>
        <w:t>such</w:t>
      </w:r>
      <w:r>
        <w:rPr>
          <w:spacing w:val="42"/>
        </w:rPr>
        <w:t> </w:t>
      </w:r>
      <w:r>
        <w:rPr/>
        <w:t>asreducing</w:t>
      </w:r>
      <w:r>
        <w:rPr>
          <w:spacing w:val="42"/>
        </w:rPr>
        <w:t> </w:t>
      </w:r>
      <w:r>
        <w:rPr/>
        <w:t>government</w:t>
      </w:r>
      <w:r>
        <w:rPr>
          <w:spacing w:val="42"/>
        </w:rPr>
        <w:t> </w:t>
      </w:r>
      <w:r>
        <w:rPr>
          <w:spacing w:val="-2"/>
        </w:rPr>
        <w:t>budgetdeficits</w:t>
      </w:r>
    </w:p>
    <w:p>
      <w:pPr>
        <w:spacing w:after="0" w:line="480" w:lineRule="auto"/>
        <w:jc w:val="both"/>
        <w:sectPr>
          <w:pgSz w:w="12240" w:h="15840"/>
          <w:pgMar w:header="0" w:footer="1012" w:top="1380" w:bottom="1200" w:left="1220" w:right="700"/>
        </w:sectPr>
      </w:pPr>
    </w:p>
    <w:p>
      <w:pPr>
        <w:pStyle w:val="BodyText"/>
        <w:spacing w:line="480" w:lineRule="auto" w:before="60"/>
        <w:ind w:right="736"/>
        <w:jc w:val="both"/>
      </w:pPr>
      <w:r>
        <w:rPr/>
        <w:t>and eliminating inflationtax (financial loss of valueon cash and other financial assetsdue to the effects inflation).</w:t>
      </w:r>
    </w:p>
    <w:p>
      <w:pPr>
        <w:pStyle w:val="BodyText"/>
        <w:spacing w:line="480" w:lineRule="auto" w:before="160"/>
        <w:ind w:right="733"/>
        <w:jc w:val="both"/>
      </w:pPr>
      <w:r>
        <w:rPr/>
        <mc:AlternateContent>
          <mc:Choice Requires="wps">
            <w:drawing>
              <wp:anchor distT="0" distB="0" distL="0" distR="0" allowOverlap="1" layoutInCell="1" locked="0" behindDoc="1" simplePos="0" relativeHeight="478029312">
                <wp:simplePos x="0" y="0"/>
                <wp:positionH relativeFrom="page">
                  <wp:posOffset>950112</wp:posOffset>
                </wp:positionH>
                <wp:positionV relativeFrom="paragraph">
                  <wp:posOffset>552765</wp:posOffset>
                </wp:positionV>
                <wp:extent cx="5505450" cy="566102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87168" id="docshape56"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b/>
        </w:rPr>
        <w:t>Economic Growth: </w:t>
      </w:r>
      <w:r>
        <w:rPr/>
        <w:t>The theoretical literature proposes variousmechanisms through which financialintegration may affect economicgrowth. In the neoclassicalframework, all effects</w:t>
      </w:r>
      <w:r>
        <w:rPr>
          <w:spacing w:val="80"/>
        </w:rPr>
        <w:t> </w:t>
      </w:r>
      <w:r>
        <w:rPr/>
        <w:t>are generated throughcapital flows. In the standardmodel, opening internationalcapital markets generates flows fromcapital-abundant towards capital-scarcecountries, thereby accelerating convergence (henceshort term growth) in thepoorer countries. In amore sophisticated context, productivitymay also increase since capitalflows may relieve the economy fromcredit constraints and thus allowagents to undertake moreproductive investments (Bonfiglioli, 2008). Furthermore, in the standardneoclassical growth model, financial integration enhances the functioning ofdomestic financial systems throughthe intensification of competitionand the importation offinancial services, bringing about</w:t>
      </w:r>
      <w:r>
        <w:rPr>
          <w:spacing w:val="40"/>
        </w:rPr>
        <w:t> </w:t>
      </w:r>
      <w:r>
        <w:rPr/>
        <w:t>positive growtheffects (Levine, 2001). An alternativeview (Obstfeld, 2004) suggests that international capitalmobility may affect productivity independentlyof investment, by promoting internationalrisk diversification, which induces moredomestic risk taking in innovation activities, therebyfostering growth.</w:t>
      </w:r>
    </w:p>
    <w:p>
      <w:pPr>
        <w:pStyle w:val="BodyText"/>
        <w:spacing w:line="480" w:lineRule="auto" w:before="162"/>
        <w:ind w:right="734"/>
        <w:jc w:val="both"/>
      </w:pPr>
      <w:r>
        <w:rPr/>
        <w:t>There is ample evidence in the literature thatfinancial integration leads to highereconomic growth. Gianetti et al. (2002) demonstrate that financial integration facilitates accessto investment opportunitiesand an increase incompetition between domesticand foreign financial institutions. This in turn leads toimproved efficiency of financialinstitutions as financial resources are releasedfor productive activities. In addition financial integration</w:t>
      </w:r>
      <w:r>
        <w:rPr>
          <w:spacing w:val="40"/>
        </w:rPr>
        <w:t> </w:t>
      </w:r>
      <w:r>
        <w:rPr/>
        <w:t>leads</w:t>
      </w:r>
      <w:r>
        <w:rPr>
          <w:spacing w:val="57"/>
        </w:rPr>
        <w:t> </w:t>
      </w:r>
      <w:r>
        <w:rPr/>
        <w:t>to</w:t>
      </w:r>
      <w:r>
        <w:rPr>
          <w:spacing w:val="57"/>
        </w:rPr>
        <w:t> </w:t>
      </w:r>
      <w:r>
        <w:rPr/>
        <w:t>increased</w:t>
      </w:r>
      <w:r>
        <w:rPr>
          <w:spacing w:val="56"/>
        </w:rPr>
        <w:t> </w:t>
      </w:r>
      <w:r>
        <w:rPr/>
        <w:t>availabilityof</w:t>
      </w:r>
      <w:r>
        <w:rPr>
          <w:spacing w:val="58"/>
        </w:rPr>
        <w:t> </w:t>
      </w:r>
      <w:r>
        <w:rPr/>
        <w:t>intermediated</w:t>
      </w:r>
      <w:r>
        <w:rPr>
          <w:spacing w:val="56"/>
        </w:rPr>
        <w:t> </w:t>
      </w:r>
      <w:r>
        <w:rPr/>
        <w:t>investment</w:t>
      </w:r>
      <w:r>
        <w:rPr>
          <w:spacing w:val="57"/>
        </w:rPr>
        <w:t> </w:t>
      </w:r>
      <w:r>
        <w:rPr/>
        <w:t>opportunitiesand</w:t>
      </w:r>
      <w:r>
        <w:rPr>
          <w:spacing w:val="56"/>
        </w:rPr>
        <w:t> </w:t>
      </w:r>
      <w:r>
        <w:rPr>
          <w:spacing w:val="-2"/>
        </w:rPr>
        <w:t>consequently</w:t>
      </w:r>
    </w:p>
    <w:p>
      <w:pPr>
        <w:spacing w:after="0" w:line="480" w:lineRule="auto"/>
        <w:jc w:val="both"/>
        <w:sectPr>
          <w:pgSz w:w="12240" w:h="15840"/>
          <w:pgMar w:header="0" w:footer="1012" w:top="1380" w:bottom="1200" w:left="1220" w:right="700"/>
        </w:sectPr>
      </w:pPr>
    </w:p>
    <w:p>
      <w:pPr>
        <w:pStyle w:val="BodyText"/>
        <w:spacing w:line="472" w:lineRule="auto" w:before="60"/>
        <w:ind w:right="733"/>
        <w:jc w:val="both"/>
      </w:pPr>
      <w:r>
        <w:rPr/>
        <mc:AlternateContent>
          <mc:Choice Requires="wps">
            <w:drawing>
              <wp:anchor distT="0" distB="0" distL="0" distR="0" allowOverlap="1" layoutInCell="1" locked="0" behindDoc="1" simplePos="0" relativeHeight="478029824">
                <wp:simplePos x="0" y="0"/>
                <wp:positionH relativeFrom="page">
                  <wp:posOffset>950112</wp:posOffset>
                </wp:positionH>
                <wp:positionV relativeFrom="paragraph">
                  <wp:posOffset>1321053</wp:posOffset>
                </wp:positionV>
                <wp:extent cx="5505450" cy="5661025"/>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6656" id="docshape57"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higher economicgrowth. Authors also argue that theintegration process will increase competitionwithin less developed</w:t>
      </w:r>
      <w:r>
        <w:rPr>
          <w:spacing w:val="-1"/>
        </w:rPr>
        <w:t> </w:t>
      </w:r>
      <w:r>
        <w:rPr/>
        <w:t>regionsand</w:t>
      </w:r>
      <w:r>
        <w:rPr>
          <w:spacing w:val="-1"/>
        </w:rPr>
        <w:t> </w:t>
      </w:r>
      <w:r>
        <w:rPr/>
        <w:t>thereby</w:t>
      </w:r>
      <w:r>
        <w:rPr>
          <w:spacing w:val="-1"/>
        </w:rPr>
        <w:t> </w:t>
      </w:r>
      <w:r>
        <w:rPr/>
        <w:t>improve</w:t>
      </w:r>
      <w:r>
        <w:rPr>
          <w:spacing w:val="-1"/>
        </w:rPr>
        <w:t> </w:t>
      </w:r>
      <w:r>
        <w:rPr/>
        <w:t>the</w:t>
      </w:r>
      <w:r>
        <w:rPr>
          <w:spacing w:val="-1"/>
        </w:rPr>
        <w:t> </w:t>
      </w:r>
      <w:r>
        <w:rPr/>
        <w:t>efficiencyof their financial systems by, forinstance, reducing intermediationcosts. Moreover, this should renderthese regions</w:t>
      </w:r>
      <w:r>
        <w:rPr>
          <w:rFonts w:ascii="Yu Gothic" w:hAnsi="Yu Gothic"/>
        </w:rPr>
        <w:t>‟</w:t>
      </w:r>
      <w:r>
        <w:rPr>
          <w:rFonts w:ascii="Yu Gothic" w:hAnsi="Yu Gothic"/>
          <w:spacing w:val="-15"/>
        </w:rPr>
        <w:t> </w:t>
      </w:r>
      <w:r>
        <w:rPr/>
        <w:t>financial</w:t>
      </w:r>
      <w:r>
        <w:rPr>
          <w:spacing w:val="-6"/>
        </w:rPr>
        <w:t> </w:t>
      </w:r>
      <w:r>
        <w:rPr/>
        <w:t>systemsmore</w:t>
      </w:r>
      <w:r>
        <w:rPr>
          <w:spacing w:val="-8"/>
        </w:rPr>
        <w:t> </w:t>
      </w:r>
      <w:r>
        <w:rPr/>
        <w:t>attractive,</w:t>
      </w:r>
      <w:r>
        <w:rPr>
          <w:spacing w:val="-7"/>
        </w:rPr>
        <w:t> </w:t>
      </w:r>
      <w:r>
        <w:rPr/>
        <w:t>thus</w:t>
      </w:r>
      <w:r>
        <w:rPr>
          <w:spacing w:val="-6"/>
        </w:rPr>
        <w:t> </w:t>
      </w:r>
      <w:r>
        <w:rPr/>
        <w:t>enhancing</w:t>
      </w:r>
      <w:r>
        <w:rPr>
          <w:spacing w:val="-7"/>
        </w:rPr>
        <w:t> </w:t>
      </w:r>
      <w:r>
        <w:rPr/>
        <w:t>participationfrom</w:t>
      </w:r>
      <w:r>
        <w:rPr>
          <w:spacing w:val="-6"/>
        </w:rPr>
        <w:t> </w:t>
      </w:r>
      <w:r>
        <w:rPr/>
        <w:t>local</w:t>
      </w:r>
      <w:r>
        <w:rPr>
          <w:spacing w:val="-7"/>
        </w:rPr>
        <w:t> </w:t>
      </w:r>
      <w:r>
        <w:rPr/>
        <w:t>and</w:t>
      </w:r>
      <w:r>
        <w:rPr>
          <w:spacing w:val="-6"/>
        </w:rPr>
        <w:t> </w:t>
      </w:r>
      <w:r>
        <w:rPr>
          <w:spacing w:val="-2"/>
        </w:rPr>
        <w:t>foreign</w:t>
      </w:r>
    </w:p>
    <w:p>
      <w:pPr>
        <w:pStyle w:val="BodyText"/>
        <w:spacing w:line="218" w:lineRule="exact"/>
        <w:jc w:val="both"/>
      </w:pPr>
      <w:r>
        <w:rPr/>
        <w:t>agents</w:t>
      </w:r>
      <w:r>
        <w:rPr>
          <w:spacing w:val="41"/>
        </w:rPr>
        <w:t> </w:t>
      </w:r>
      <w:r>
        <w:rPr/>
        <w:t>and</w:t>
      </w:r>
      <w:r>
        <w:rPr>
          <w:spacing w:val="40"/>
        </w:rPr>
        <w:t> </w:t>
      </w:r>
      <w:r>
        <w:rPr/>
        <w:t>contributingto</w:t>
      </w:r>
      <w:r>
        <w:rPr>
          <w:spacing w:val="41"/>
        </w:rPr>
        <w:t> </w:t>
      </w:r>
      <w:r>
        <w:rPr/>
        <w:t>further</w:t>
      </w:r>
      <w:r>
        <w:rPr>
          <w:spacing w:val="42"/>
        </w:rPr>
        <w:t> </w:t>
      </w:r>
      <w:r>
        <w:rPr/>
        <w:t>development</w:t>
      </w:r>
      <w:r>
        <w:rPr>
          <w:spacing w:val="40"/>
        </w:rPr>
        <w:t> </w:t>
      </w:r>
      <w:r>
        <w:rPr/>
        <w:t>of</w:t>
      </w:r>
      <w:r>
        <w:rPr>
          <w:spacing w:val="41"/>
        </w:rPr>
        <w:t> </w:t>
      </w:r>
      <w:r>
        <w:rPr/>
        <w:t>thesefinancial</w:t>
      </w:r>
      <w:r>
        <w:rPr>
          <w:spacing w:val="41"/>
        </w:rPr>
        <w:t> </w:t>
      </w:r>
      <w:r>
        <w:rPr/>
        <w:t>systems.</w:t>
      </w:r>
      <w:r>
        <w:rPr>
          <w:spacing w:val="40"/>
        </w:rPr>
        <w:t> </w:t>
      </w:r>
      <w:r>
        <w:rPr/>
        <w:t>Edison,</w:t>
      </w:r>
      <w:r>
        <w:rPr>
          <w:spacing w:val="41"/>
        </w:rPr>
        <w:t> </w:t>
      </w:r>
      <w:r>
        <w:rPr>
          <w:spacing w:val="-2"/>
        </w:rPr>
        <w:t>Levine,</w:t>
      </w:r>
    </w:p>
    <w:p>
      <w:pPr>
        <w:pStyle w:val="BodyText"/>
        <w:ind w:left="0"/>
      </w:pPr>
    </w:p>
    <w:p>
      <w:pPr>
        <w:pStyle w:val="BodyText"/>
        <w:spacing w:line="480" w:lineRule="auto" w:before="1"/>
        <w:ind w:right="735"/>
        <w:jc w:val="both"/>
      </w:pPr>
      <w:r>
        <w:rPr/>
        <w:t>Ricci and Slok (2012) and Prasad, Koseand Terrones (2013) examine various dimensionsof the</w:t>
      </w:r>
      <w:r>
        <w:rPr>
          <w:spacing w:val="33"/>
        </w:rPr>
        <w:t>  </w:t>
      </w:r>
      <w:r>
        <w:rPr/>
        <w:t>causal</w:t>
      </w:r>
      <w:r>
        <w:rPr>
          <w:spacing w:val="34"/>
        </w:rPr>
        <w:t>  </w:t>
      </w:r>
      <w:r>
        <w:rPr/>
        <w:t>link</w:t>
      </w:r>
      <w:r>
        <w:rPr>
          <w:spacing w:val="34"/>
        </w:rPr>
        <w:t>  </w:t>
      </w:r>
      <w:r>
        <w:rPr/>
        <w:t>betweenfinancial</w:t>
      </w:r>
      <w:r>
        <w:rPr>
          <w:spacing w:val="34"/>
        </w:rPr>
        <w:t>  </w:t>
      </w:r>
      <w:r>
        <w:rPr/>
        <w:t>integration</w:t>
      </w:r>
      <w:r>
        <w:rPr>
          <w:spacing w:val="33"/>
        </w:rPr>
        <w:t>  </w:t>
      </w:r>
      <w:r>
        <w:rPr/>
        <w:t>and</w:t>
      </w:r>
      <w:r>
        <w:rPr>
          <w:spacing w:val="34"/>
        </w:rPr>
        <w:t>  </w:t>
      </w:r>
      <w:r>
        <w:rPr/>
        <w:t>growth,</w:t>
      </w:r>
      <w:r>
        <w:rPr>
          <w:spacing w:val="34"/>
        </w:rPr>
        <w:t>  </w:t>
      </w:r>
      <w:r>
        <w:rPr/>
        <w:t>andconclude</w:t>
      </w:r>
      <w:r>
        <w:rPr>
          <w:spacing w:val="33"/>
        </w:rPr>
        <w:t>  </w:t>
      </w:r>
      <w:r>
        <w:rPr>
          <w:spacing w:val="-2"/>
        </w:rPr>
        <w:t>thatfinancial</w:t>
      </w:r>
    </w:p>
    <w:p>
      <w:pPr>
        <w:pStyle w:val="BodyText"/>
        <w:jc w:val="both"/>
      </w:pPr>
      <w:r>
        <w:rPr/>
        <w:t>integration</w:t>
      </w:r>
      <w:r>
        <w:rPr>
          <w:spacing w:val="-10"/>
        </w:rPr>
        <w:t> </w:t>
      </w:r>
      <w:r>
        <w:rPr/>
        <w:t>generates</w:t>
      </w:r>
      <w:r>
        <w:rPr>
          <w:spacing w:val="-10"/>
        </w:rPr>
        <w:t> </w:t>
      </w:r>
      <w:r>
        <w:rPr/>
        <w:t>growthbenefits,</w:t>
      </w:r>
      <w:r>
        <w:rPr>
          <w:spacing w:val="-10"/>
        </w:rPr>
        <w:t> </w:t>
      </w:r>
      <w:r>
        <w:rPr/>
        <w:t>although</w:t>
      </w:r>
      <w:r>
        <w:rPr>
          <w:spacing w:val="-10"/>
        </w:rPr>
        <w:t> </w:t>
      </w:r>
      <w:r>
        <w:rPr/>
        <w:t>to</w:t>
      </w:r>
      <w:r>
        <w:rPr>
          <w:spacing w:val="-10"/>
        </w:rPr>
        <w:t> </w:t>
      </w:r>
      <w:r>
        <w:rPr>
          <w:spacing w:val="-2"/>
        </w:rPr>
        <w:t>varyingdegrees.</w:t>
      </w:r>
    </w:p>
    <w:p>
      <w:pPr>
        <w:pStyle w:val="BodyText"/>
        <w:spacing w:line="480" w:lineRule="auto" w:before="188"/>
        <w:ind w:right="734"/>
        <w:jc w:val="both"/>
      </w:pPr>
      <w:r>
        <w:rPr>
          <w:b/>
        </w:rPr>
        <w:t>Augmentation of Domestic Savings</w:t>
      </w:r>
      <w:r>
        <w:rPr/>
        <w:t>: Capital account liberalization helps thecountry at the receiving endof the capital flows togain access to international poolof resources to complement domesticsavings. This helps to increase the capitalneeded to undertakehuge investment activitieswhich ultimately promote growth. In manydeveloping countries, the capacity to save is constrainedby a low level ofincome. Insofar as the marginalreturn from investment is at leastequivalent to the cost ofcapital, net foreign capitalinflows can augment domesticsavings, increase the levelsof physical capital perworker, and promote growth (Agenor, 2003). It also helps tosmoothen domestic consumptionand production byallowing the country toborrow in “bad” times and lendin “good” times. Thus, Individualhouseholds and firms are able to sustaintheir consumption andproduction levels respectivelythrough international</w:t>
      </w:r>
      <w:r>
        <w:rPr>
          <w:spacing w:val="-4"/>
        </w:rPr>
        <w:t> </w:t>
      </w:r>
      <w:r>
        <w:rPr/>
        <w:t>capitalflows</w:t>
      </w:r>
      <w:r>
        <w:rPr>
          <w:spacing w:val="-3"/>
        </w:rPr>
        <w:t> </w:t>
      </w:r>
      <w:r>
        <w:rPr/>
        <w:t>leading</w:t>
      </w:r>
      <w:r>
        <w:rPr>
          <w:spacing w:val="-4"/>
        </w:rPr>
        <w:t> </w:t>
      </w:r>
      <w:r>
        <w:rPr/>
        <w:t>to</w:t>
      </w:r>
      <w:r>
        <w:rPr>
          <w:spacing w:val="-2"/>
        </w:rPr>
        <w:t> </w:t>
      </w:r>
      <w:r>
        <w:rPr/>
        <w:t>animprovement</w:t>
      </w:r>
      <w:r>
        <w:rPr>
          <w:spacing w:val="-4"/>
        </w:rPr>
        <w:t> </w:t>
      </w:r>
      <w:r>
        <w:rPr/>
        <w:t>in</w:t>
      </w:r>
      <w:r>
        <w:rPr>
          <w:spacing w:val="-4"/>
        </w:rPr>
        <w:t> </w:t>
      </w:r>
      <w:r>
        <w:rPr/>
        <w:t>the</w:t>
      </w:r>
      <w:r>
        <w:rPr>
          <w:spacing w:val="-1"/>
        </w:rPr>
        <w:t> </w:t>
      </w:r>
      <w:r>
        <w:rPr/>
        <w:t>standardof</w:t>
      </w:r>
      <w:r>
        <w:rPr>
          <w:spacing w:val="-3"/>
        </w:rPr>
        <w:t> </w:t>
      </w:r>
      <w:r>
        <w:rPr/>
        <w:t>living</w:t>
      </w:r>
      <w:r>
        <w:rPr>
          <w:spacing w:val="-4"/>
        </w:rPr>
        <w:t> </w:t>
      </w:r>
      <w:r>
        <w:rPr/>
        <w:t>of</w:t>
      </w:r>
      <w:r>
        <w:rPr>
          <w:spacing w:val="-3"/>
        </w:rPr>
        <w:t> </w:t>
      </w:r>
      <w:r>
        <w:rPr/>
        <w:t>thepeople</w:t>
      </w:r>
      <w:r>
        <w:rPr>
          <w:spacing w:val="-4"/>
        </w:rPr>
        <w:t> </w:t>
      </w:r>
      <w:r>
        <w:rPr/>
        <w:t>and reduce macroeconomicvolatility.</w:t>
      </w:r>
    </w:p>
    <w:p>
      <w:pPr>
        <w:spacing w:line="480" w:lineRule="auto" w:before="160"/>
        <w:ind w:left="220" w:right="733" w:firstLine="0"/>
        <w:jc w:val="both"/>
        <w:rPr>
          <w:sz w:val="25"/>
        </w:rPr>
      </w:pPr>
      <w:r>
        <w:rPr>
          <w:b/>
          <w:sz w:val="25"/>
        </w:rPr>
        <w:t>Reduction in Costof Capital through Better GlobalAllocation of Risk</w:t>
      </w:r>
      <w:r>
        <w:rPr>
          <w:sz w:val="25"/>
        </w:rPr>
        <w:t>: Financial globalization</w:t>
      </w:r>
      <w:r>
        <w:rPr>
          <w:spacing w:val="53"/>
          <w:sz w:val="25"/>
        </w:rPr>
        <w:t> </w:t>
      </w:r>
      <w:r>
        <w:rPr>
          <w:sz w:val="25"/>
        </w:rPr>
        <w:t>facilitates</w:t>
      </w:r>
      <w:r>
        <w:rPr>
          <w:spacing w:val="55"/>
          <w:sz w:val="25"/>
        </w:rPr>
        <w:t> </w:t>
      </w:r>
      <w:r>
        <w:rPr>
          <w:sz w:val="25"/>
        </w:rPr>
        <w:t>themobility</w:t>
      </w:r>
      <w:r>
        <w:rPr>
          <w:spacing w:val="53"/>
          <w:sz w:val="25"/>
        </w:rPr>
        <w:t> </w:t>
      </w:r>
      <w:r>
        <w:rPr>
          <w:sz w:val="25"/>
        </w:rPr>
        <w:t>of</w:t>
      </w:r>
      <w:r>
        <w:rPr>
          <w:spacing w:val="53"/>
          <w:sz w:val="25"/>
        </w:rPr>
        <w:t> </w:t>
      </w:r>
      <w:r>
        <w:rPr>
          <w:sz w:val="25"/>
        </w:rPr>
        <w:t>capital</w:t>
      </w:r>
      <w:r>
        <w:rPr>
          <w:spacing w:val="55"/>
          <w:sz w:val="25"/>
        </w:rPr>
        <w:t> </w:t>
      </w:r>
      <w:r>
        <w:rPr>
          <w:sz w:val="25"/>
        </w:rPr>
        <w:t>fromcapital-abundant</w:t>
      </w:r>
      <w:r>
        <w:rPr>
          <w:spacing w:val="55"/>
          <w:sz w:val="25"/>
        </w:rPr>
        <w:t> </w:t>
      </w:r>
      <w:r>
        <w:rPr>
          <w:sz w:val="25"/>
        </w:rPr>
        <w:t>advanced</w:t>
      </w:r>
      <w:r>
        <w:rPr>
          <w:spacing w:val="55"/>
          <w:sz w:val="25"/>
        </w:rPr>
        <w:t> </w:t>
      </w:r>
      <w:r>
        <w:rPr>
          <w:spacing w:val="-2"/>
          <w:sz w:val="25"/>
        </w:rPr>
        <w:t>economies</w:t>
      </w:r>
    </w:p>
    <w:p>
      <w:pPr>
        <w:spacing w:after="0" w:line="480" w:lineRule="auto"/>
        <w:jc w:val="both"/>
        <w:rPr>
          <w:sz w:val="25"/>
        </w:rPr>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30336">
                <wp:simplePos x="0" y="0"/>
                <wp:positionH relativeFrom="page">
                  <wp:posOffset>950112</wp:posOffset>
                </wp:positionH>
                <wp:positionV relativeFrom="paragraph">
                  <wp:posOffset>1321053</wp:posOffset>
                </wp:positionV>
                <wp:extent cx="5505450" cy="566102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6144" id="docshape58"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where returns oncapital are relatively low tocapital-scarce developing economieswhere the rates ofreturn are relatively high. Thus, thesearch for high rates ofreturn on capital leads to thediversification of capital todeveloping economies. This increases theamount of capital available</w:t>
      </w:r>
      <w:r>
        <w:rPr>
          <w:spacing w:val="-3"/>
        </w:rPr>
        <w:t> </w:t>
      </w:r>
      <w:r>
        <w:rPr/>
        <w:t>todomestic</w:t>
      </w:r>
      <w:r>
        <w:rPr>
          <w:spacing w:val="-3"/>
        </w:rPr>
        <w:t> </w:t>
      </w:r>
      <w:r>
        <w:rPr/>
        <w:t>investors,</w:t>
      </w:r>
      <w:r>
        <w:rPr>
          <w:spacing w:val="-3"/>
        </w:rPr>
        <w:t> </w:t>
      </w:r>
      <w:r>
        <w:rPr/>
        <w:t>thereby</w:t>
      </w:r>
      <w:r>
        <w:rPr>
          <w:spacing w:val="-3"/>
        </w:rPr>
        <w:t> </w:t>
      </w:r>
      <w:r>
        <w:rPr/>
        <w:t>reduce</w:t>
      </w:r>
      <w:r>
        <w:rPr>
          <w:spacing w:val="-3"/>
        </w:rPr>
        <w:t> </w:t>
      </w:r>
      <w:r>
        <w:rPr/>
        <w:t>thecost</w:t>
      </w:r>
      <w:r>
        <w:rPr>
          <w:spacing w:val="-3"/>
        </w:rPr>
        <w:t> </w:t>
      </w:r>
      <w:r>
        <w:rPr/>
        <w:t>of</w:t>
      </w:r>
      <w:r>
        <w:rPr>
          <w:spacing w:val="-2"/>
        </w:rPr>
        <w:t> </w:t>
      </w:r>
      <w:r>
        <w:rPr/>
        <w:t>capital</w:t>
      </w:r>
      <w:r>
        <w:rPr>
          <w:spacing w:val="-3"/>
        </w:rPr>
        <w:t> </w:t>
      </w:r>
      <w:r>
        <w:rPr/>
        <w:t>and</w:t>
      </w:r>
      <w:r>
        <w:rPr>
          <w:spacing w:val="-3"/>
        </w:rPr>
        <w:t> </w:t>
      </w:r>
      <w:r>
        <w:rPr/>
        <w:t>further</w:t>
      </w:r>
      <w:r>
        <w:rPr>
          <w:spacing w:val="-3"/>
        </w:rPr>
        <w:t> </w:t>
      </w:r>
      <w:r>
        <w:rPr/>
        <w:t>reduceequity</w:t>
      </w:r>
      <w:r>
        <w:rPr>
          <w:spacing w:val="-3"/>
        </w:rPr>
        <w:t> </w:t>
      </w:r>
      <w:r>
        <w:rPr/>
        <w:t>risk premium through opportunitiesto diversify investment internationally (Amarendra&amp;</w:t>
      </w:r>
      <w:r>
        <w:rPr>
          <w:spacing w:val="40"/>
        </w:rPr>
        <w:t> </w:t>
      </w:r>
      <w:r>
        <w:rPr/>
        <w:t>Anupam, 2013).</w:t>
      </w:r>
    </w:p>
    <w:p>
      <w:pPr>
        <w:pStyle w:val="BodyText"/>
        <w:spacing w:line="480" w:lineRule="auto" w:before="160"/>
        <w:ind w:right="735"/>
        <w:jc w:val="both"/>
      </w:pPr>
      <w:r>
        <w:rPr>
          <w:b/>
        </w:rPr>
        <w:t>Transfer of technology and Managerial Know-How: </w:t>
      </w:r>
      <w:r>
        <w:rPr/>
        <w:t>When substantial amountof capital flows into acountry, especially if it takes theform of foreign directinvestment (FDI), it is usually accompaniedby technology and managerialexpertise. These managerialand technological spillovers tend to introduce innovative ideasand techniques of solving</w:t>
      </w:r>
      <w:r>
        <w:rPr>
          <w:spacing w:val="40"/>
        </w:rPr>
        <w:t> </w:t>
      </w:r>
      <w:r>
        <w:rPr/>
        <w:t>problems inindustrial settings, which eventually raises aggregateproductivity and boosts economic growth. Typical examples are theexploration techniques andtechnology employed in the miningand energy sectors ofindustry (Abdulaziz, 2020).</w:t>
      </w:r>
    </w:p>
    <w:p>
      <w:pPr>
        <w:pStyle w:val="BodyText"/>
        <w:spacing w:line="480" w:lineRule="auto" w:before="161"/>
        <w:ind w:right="734"/>
        <w:jc w:val="both"/>
      </w:pPr>
      <w:r>
        <w:rPr>
          <w:b/>
        </w:rPr>
        <w:t>Stimulation of Domestic Financial Sector Development: </w:t>
      </w:r>
      <w:r>
        <w:rPr/>
        <w:t>Another important argumentfor financial globalizations is itspotential to induce the developmentof domestic financial sector. Substantial inflowsof portfolio equity into thefinancial system tend to increase thedepth and width (liquidity) of thefinancial market. FDI in thebanking sector enables foreignbanks to participate in the bankingindustry, whose entry brings aboutcompetition, efficiencyand improved access to thefinancial intermediationprocess (Prasad et al., 2003 and Agenor, 2003). Thus foreignparticipation in the domesticfinancial system increases efficiencyby lowering costsand supernormal profits associated withmonopolistic ofcartelized markets. Foreign</w:t>
      </w:r>
      <w:r>
        <w:rPr>
          <w:spacing w:val="56"/>
        </w:rPr>
        <w:t> </w:t>
      </w:r>
      <w:r>
        <w:rPr/>
        <w:t>banks</w:t>
      </w:r>
      <w:r>
        <w:rPr>
          <w:spacing w:val="57"/>
        </w:rPr>
        <w:t> </w:t>
      </w:r>
      <w:r>
        <w:rPr/>
        <w:t>can</w:t>
      </w:r>
      <w:r>
        <w:rPr>
          <w:spacing w:val="60"/>
        </w:rPr>
        <w:t> </w:t>
      </w:r>
      <w:r>
        <w:rPr/>
        <w:t>help</w:t>
      </w:r>
      <w:r>
        <w:rPr>
          <w:spacing w:val="57"/>
        </w:rPr>
        <w:t> </w:t>
      </w:r>
      <w:r>
        <w:rPr/>
        <w:t>better</w:t>
      </w:r>
      <w:r>
        <w:rPr>
          <w:spacing w:val="58"/>
        </w:rPr>
        <w:t> </w:t>
      </w:r>
      <w:r>
        <w:rPr/>
        <w:t>theregulatory</w:t>
      </w:r>
      <w:r>
        <w:rPr>
          <w:spacing w:val="62"/>
        </w:rPr>
        <w:t> </w:t>
      </w:r>
      <w:r>
        <w:rPr/>
        <w:t>and</w:t>
      </w:r>
      <w:r>
        <w:rPr>
          <w:spacing w:val="56"/>
        </w:rPr>
        <w:t> </w:t>
      </w:r>
      <w:r>
        <w:rPr/>
        <w:t>supervisory</w:t>
      </w:r>
      <w:r>
        <w:rPr>
          <w:spacing w:val="58"/>
        </w:rPr>
        <w:t> </w:t>
      </w:r>
      <w:r>
        <w:rPr/>
        <w:t>frameworkof</w:t>
      </w:r>
      <w:r>
        <w:rPr>
          <w:spacing w:val="57"/>
        </w:rPr>
        <w:t> </w:t>
      </w:r>
      <w:r>
        <w:rPr/>
        <w:t>the</w:t>
      </w:r>
      <w:r>
        <w:rPr>
          <w:spacing w:val="57"/>
        </w:rPr>
        <w:t> </w:t>
      </w:r>
      <w:r>
        <w:rPr>
          <w:spacing w:val="-2"/>
        </w:rPr>
        <w:t>domestic</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30848">
                <wp:simplePos x="0" y="0"/>
                <wp:positionH relativeFrom="page">
                  <wp:posOffset>950112</wp:posOffset>
                </wp:positionH>
                <wp:positionV relativeFrom="paragraph">
                  <wp:posOffset>1321053</wp:posOffset>
                </wp:positionV>
                <wp:extent cx="5505450" cy="566102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5632" id="docshape59"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banking sector. They do these bypushing for the implementationof internationally accepted best-practices in thebanking and finance industry. A typical example is theimplementation of the InternationalFinancial Reporting Standards (IFRS). Financialglobalization exposes the domestic financialsystem to various financialinstruments, products andservices used on the globalcapital</w:t>
      </w:r>
      <w:r>
        <w:rPr>
          <w:spacing w:val="-4"/>
        </w:rPr>
        <w:t> </w:t>
      </w:r>
      <w:r>
        <w:rPr/>
        <w:t>market.</w:t>
      </w:r>
      <w:r>
        <w:rPr>
          <w:spacing w:val="-2"/>
        </w:rPr>
        <w:t> </w:t>
      </w:r>
      <w:r>
        <w:rPr/>
        <w:t>These</w:t>
      </w:r>
      <w:r>
        <w:rPr>
          <w:spacing w:val="-4"/>
        </w:rPr>
        <w:t> </w:t>
      </w:r>
      <w:r>
        <w:rPr/>
        <w:t>products</w:t>
      </w:r>
      <w:r>
        <w:rPr>
          <w:spacing w:val="-2"/>
        </w:rPr>
        <w:t> </w:t>
      </w:r>
      <w:r>
        <w:rPr/>
        <w:t>andservices</w:t>
      </w:r>
      <w:r>
        <w:rPr>
          <w:spacing w:val="-3"/>
        </w:rPr>
        <w:t> </w:t>
      </w:r>
      <w:r>
        <w:rPr/>
        <w:t>may</w:t>
      </w:r>
      <w:r>
        <w:rPr>
          <w:spacing w:val="-4"/>
        </w:rPr>
        <w:t> </w:t>
      </w:r>
      <w:r>
        <w:rPr/>
        <w:t>also</w:t>
      </w:r>
      <w:r>
        <w:rPr>
          <w:spacing w:val="-4"/>
        </w:rPr>
        <w:t> </w:t>
      </w:r>
      <w:r>
        <w:rPr/>
        <w:t>be</w:t>
      </w:r>
      <w:r>
        <w:rPr>
          <w:spacing w:val="-4"/>
        </w:rPr>
        <w:t> </w:t>
      </w:r>
      <w:r>
        <w:rPr/>
        <w:t>introducedby</w:t>
      </w:r>
      <w:r>
        <w:rPr>
          <w:spacing w:val="-4"/>
        </w:rPr>
        <w:t> </w:t>
      </w:r>
      <w:r>
        <w:rPr/>
        <w:t>the</w:t>
      </w:r>
      <w:r>
        <w:rPr>
          <w:spacing w:val="-4"/>
        </w:rPr>
        <w:t> </w:t>
      </w:r>
      <w:r>
        <w:rPr/>
        <w:t>foreign</w:t>
      </w:r>
      <w:r>
        <w:rPr>
          <w:spacing w:val="-4"/>
        </w:rPr>
        <w:t> </w:t>
      </w:r>
      <w:r>
        <w:rPr/>
        <w:t>banks in the domesticeconomy to facilitate theirtransactions withmultinational corporations.</w:t>
      </w:r>
      <w:r>
        <w:rPr>
          <w:spacing w:val="40"/>
        </w:rPr>
        <w:t> </w:t>
      </w:r>
      <w:r>
        <w:rPr/>
        <w:t>Typical examples are theintroduction of custodian andnominee services in </w:t>
      </w:r>
      <w:r>
        <w:rPr/>
        <w:t>theinvestment banking industryof developing countries.</w:t>
      </w:r>
    </w:p>
    <w:p>
      <w:pPr>
        <w:pStyle w:val="BodyText"/>
        <w:spacing w:line="480" w:lineRule="auto" w:before="162"/>
        <w:ind w:right="734"/>
        <w:jc w:val="both"/>
      </w:pPr>
      <w:r>
        <w:rPr>
          <w:b/>
        </w:rPr>
        <w:t>Financial Development: </w:t>
      </w:r>
      <w:r>
        <w:rPr/>
        <w:t>According toHartmann, Heider, Papaioannou and Lo Duca, (2007) financial development can be understoodas a process offinancial innovations, and institutional andorganizational improvements in thefinancial system. Combined, theprocess have the effectof reducing asymmetric information, increasing thecompleteness ofmarkets and contracting possibilities, reducingtransaction costs andincreasing competition. Jappelli and Pagano (2008) show thatthe main channel throughwhich the removal of </w:t>
      </w:r>
      <w:r>
        <w:rPr/>
        <w:t>barriersto integration can spur domesticfinancial development is increased competitionwith more sophisticated orlower-cost foreign intermediaries. This competitivepressure drives down the cost of financialservices for the firms andhouseholds of countries with lessdeveloped financial systemsand thus expands localfinancial markets.</w:t>
      </w:r>
    </w:p>
    <w:p>
      <w:pPr>
        <w:pStyle w:val="BodyText"/>
        <w:spacing w:line="458" w:lineRule="auto" w:before="126"/>
        <w:ind w:right="736"/>
        <w:jc w:val="both"/>
      </w:pPr>
      <w:r>
        <w:rPr/>
        <w:t>In some cases, theforeign entrants themselves may supply theadditional financial services. Direct penetrationby foreign banks and cross-border acquisitionsof intermediaries are likely to erodelocal banks</w:t>
      </w:r>
      <w:r>
        <w:rPr>
          <w:rFonts w:ascii="Yu Gothic" w:hAnsi="Yu Gothic"/>
        </w:rPr>
        <w:t>‟ </w:t>
      </w:r>
      <w:r>
        <w:rPr/>
        <w:t>rents. If mergers bringbanks closer to their efficientscale, the process will</w:t>
      </w:r>
      <w:r>
        <w:rPr>
          <w:spacing w:val="-3"/>
        </w:rPr>
        <w:t> </w:t>
      </w:r>
      <w:r>
        <w:rPr/>
        <w:t>also</w:t>
      </w:r>
      <w:r>
        <w:rPr>
          <w:spacing w:val="-3"/>
        </w:rPr>
        <w:t> </w:t>
      </w:r>
      <w:r>
        <w:rPr/>
        <w:t>beassociated with</w:t>
      </w:r>
      <w:r>
        <w:rPr>
          <w:spacing w:val="-3"/>
        </w:rPr>
        <w:t> </w:t>
      </w:r>
      <w:r>
        <w:rPr/>
        <w:t>a</w:t>
      </w:r>
      <w:r>
        <w:rPr>
          <w:spacing w:val="-3"/>
        </w:rPr>
        <w:t> </w:t>
      </w:r>
      <w:r>
        <w:rPr/>
        <w:t>decreasingcost</w:t>
      </w:r>
      <w:r>
        <w:rPr>
          <w:spacing w:val="-2"/>
        </w:rPr>
        <w:t> </w:t>
      </w:r>
      <w:r>
        <w:rPr/>
        <w:t>of</w:t>
      </w:r>
      <w:r>
        <w:rPr>
          <w:spacing w:val="-2"/>
        </w:rPr>
        <w:t> </w:t>
      </w:r>
      <w:r>
        <w:rPr/>
        <w:t>intermediation.</w:t>
      </w:r>
      <w:r>
        <w:rPr>
          <w:spacing w:val="-2"/>
        </w:rPr>
        <w:t> </w:t>
      </w:r>
      <w:r>
        <w:rPr/>
        <w:t>Sharper competition,</w:t>
      </w:r>
      <w:r>
        <w:rPr>
          <w:spacing w:val="-3"/>
        </w:rPr>
        <w:t> </w:t>
      </w:r>
      <w:r>
        <w:rPr>
          <w:spacing w:val="-2"/>
        </w:rPr>
        <w:t>possibly</w:t>
      </w:r>
    </w:p>
    <w:p>
      <w:pPr>
        <w:spacing w:after="0" w:line="458"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31360">
                <wp:simplePos x="0" y="0"/>
                <wp:positionH relativeFrom="page">
                  <wp:posOffset>950112</wp:posOffset>
                </wp:positionH>
                <wp:positionV relativeFrom="paragraph">
                  <wp:posOffset>1321053</wp:posOffset>
                </wp:positionV>
                <wp:extent cx="5505450" cy="5661025"/>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5120" id="docshape60"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coupled with costcutting, translates into moreabundant credit and/orlower interest rates. A second channel is throughharmonization innational regulations (accountingstandards,</w:t>
      </w:r>
      <w:r>
        <w:rPr>
          <w:spacing w:val="40"/>
        </w:rPr>
        <w:t> </w:t>
      </w:r>
      <w:r>
        <w:rPr/>
        <w:t>security laws, banksupervision, corporate governance), which the processof integration requires. To the extent thatregulatory harmonization promotes convergenceto the best international standards, it will alsoenhance domestic financial developmentand the entry of foreignfinancial intermediaries in morebackward countries (Muthoga, 2012).</w:t>
      </w:r>
    </w:p>
    <w:p>
      <w:pPr>
        <w:pStyle w:val="BodyText"/>
        <w:spacing w:line="480" w:lineRule="auto" w:before="160"/>
        <w:ind w:right="735"/>
        <w:jc w:val="both"/>
      </w:pPr>
      <w:r>
        <w:rPr/>
        <w:t>The link betweenfinancial development and financial integration is of theutmost importance, as there is strongevidence that financial development is linked witheconomic growth (Baele, Ferrando, Hördahl, Krylova&amp; Monnet, 2014). As described inLevine (1997), financial systems serve some basicpurposes. Among others, they lower uncertainty byfacilitating the trading, hedging, diversifyingand pooling of risk; allocateresources; and mobilizesavings. These functions may affecteconomic growth through capitaland technological accumulation in an intuitiveway. However, while Levine (1997) recognises thepositive relationship between economicgrowth and financial development, he is careful not to infer anycausality. Indeed, economicgrowth and financial development are sointertwined that it is difficultto draw any firmconclusion with respect tocausality. Nevertheless, recentresearch has found evidence that financialdevelopment affects growthpositively. Rousseau (2012) finds empirical evidence thatfinancial development promotes investmentand business by reallocatingcapital. Also, industry-levelstudies like that of Jayaratneand Strahan (1996) show that financial developmentcauses economic growth.</w:t>
      </w:r>
    </w:p>
    <w:p>
      <w:pPr>
        <w:pStyle w:val="BodyText"/>
        <w:spacing w:line="480" w:lineRule="auto" w:before="162"/>
        <w:ind w:right="736"/>
        <w:jc w:val="both"/>
      </w:pPr>
      <w:r>
        <w:rPr/>
        <w:t>Trichet (2015) argues that financialintegration fosters financial development, which inturn creates</w:t>
      </w:r>
      <w:r>
        <w:rPr>
          <w:spacing w:val="17"/>
        </w:rPr>
        <w:t> </w:t>
      </w:r>
      <w:r>
        <w:rPr/>
        <w:t>potential</w:t>
      </w:r>
      <w:r>
        <w:rPr>
          <w:spacing w:val="17"/>
        </w:rPr>
        <w:t> </w:t>
      </w:r>
      <w:r>
        <w:rPr/>
        <w:t>for</w:t>
      </w:r>
      <w:r>
        <w:rPr>
          <w:spacing w:val="19"/>
        </w:rPr>
        <w:t> </w:t>
      </w:r>
      <w:r>
        <w:rPr/>
        <w:t>highereconomic</w:t>
      </w:r>
      <w:r>
        <w:rPr>
          <w:spacing w:val="17"/>
        </w:rPr>
        <w:t> </w:t>
      </w:r>
      <w:r>
        <w:rPr/>
        <w:t>growth.</w:t>
      </w:r>
      <w:r>
        <w:rPr>
          <w:spacing w:val="17"/>
        </w:rPr>
        <w:t> </w:t>
      </w:r>
      <w:r>
        <w:rPr/>
        <w:t>Financial</w:t>
      </w:r>
      <w:r>
        <w:rPr>
          <w:spacing w:val="18"/>
        </w:rPr>
        <w:t> </w:t>
      </w:r>
      <w:r>
        <w:rPr/>
        <w:t>integration</w:t>
      </w:r>
      <w:r>
        <w:rPr>
          <w:spacing w:val="17"/>
        </w:rPr>
        <w:t> </w:t>
      </w:r>
      <w:r>
        <w:rPr/>
        <w:t>enables</w:t>
      </w:r>
      <w:r>
        <w:rPr>
          <w:spacing w:val="18"/>
        </w:rPr>
        <w:t> </w:t>
      </w:r>
      <w:r>
        <w:rPr/>
        <w:t>therealisation</w:t>
      </w:r>
      <w:r>
        <w:rPr>
          <w:spacing w:val="17"/>
        </w:rPr>
        <w:t> </w:t>
      </w:r>
      <w:r>
        <w:rPr>
          <w:spacing w:val="-5"/>
        </w:rPr>
        <w:t>of</w:t>
      </w:r>
    </w:p>
    <w:p>
      <w:pPr>
        <w:spacing w:after="0" w:line="480" w:lineRule="auto"/>
        <w:jc w:val="both"/>
        <w:sectPr>
          <w:pgSz w:w="12240" w:h="15840"/>
          <w:pgMar w:header="0" w:footer="1012" w:top="1380" w:bottom="1200" w:left="1220" w:right="700"/>
        </w:sectPr>
      </w:pPr>
    </w:p>
    <w:p>
      <w:pPr>
        <w:pStyle w:val="BodyText"/>
        <w:spacing w:line="480" w:lineRule="auto" w:before="60"/>
        <w:ind w:right="736"/>
        <w:jc w:val="both"/>
      </w:pPr>
      <w:r>
        <w:rPr/>
        <mc:AlternateContent>
          <mc:Choice Requires="wps">
            <w:drawing>
              <wp:anchor distT="0" distB="0" distL="0" distR="0" allowOverlap="1" layoutInCell="1" locked="0" behindDoc="1" simplePos="0" relativeHeight="478031872">
                <wp:simplePos x="0" y="0"/>
                <wp:positionH relativeFrom="page">
                  <wp:posOffset>950112</wp:posOffset>
                </wp:positionH>
                <wp:positionV relativeFrom="paragraph">
                  <wp:posOffset>1321053</wp:posOffset>
                </wp:positionV>
                <wp:extent cx="5505450" cy="566102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4608" id="docshape61"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economies ofscale and increases the supplyof funds for investmentopportunities. The actual integration process also stimulates competitionand the expansion ofmarkets, thereby leading to furtherfinancial development. In turn, financial development can result in amore efficient allocationof capital as well as areduction in the cost ofcapital.</w:t>
      </w:r>
    </w:p>
    <w:p>
      <w:pPr>
        <w:pStyle w:val="BodyText"/>
        <w:spacing w:before="160"/>
        <w:ind w:left="0"/>
      </w:pPr>
    </w:p>
    <w:p>
      <w:pPr>
        <w:pStyle w:val="Heading2"/>
        <w:numPr>
          <w:ilvl w:val="2"/>
          <w:numId w:val="16"/>
        </w:numPr>
        <w:tabs>
          <w:tab w:pos="780" w:val="left" w:leader="none"/>
        </w:tabs>
        <w:spacing w:line="240" w:lineRule="auto" w:before="0" w:after="0"/>
        <w:ind w:left="780" w:right="0" w:hanging="560"/>
        <w:jc w:val="left"/>
      </w:pPr>
      <w:bookmarkStart w:name="_TOC_250054" w:id="21"/>
      <w:r>
        <w:rPr/>
        <w:t>Potential</w:t>
      </w:r>
      <w:r>
        <w:rPr>
          <w:spacing w:val="-8"/>
        </w:rPr>
        <w:t> </w:t>
      </w:r>
      <w:r>
        <w:rPr/>
        <w:t>Cost</w:t>
      </w:r>
      <w:r>
        <w:rPr>
          <w:spacing w:val="-7"/>
        </w:rPr>
        <w:t> </w:t>
      </w:r>
      <w:r>
        <w:rPr/>
        <w:t>and</w:t>
      </w:r>
      <w:r>
        <w:rPr>
          <w:spacing w:val="-8"/>
        </w:rPr>
        <w:t> </w:t>
      </w:r>
      <w:r>
        <w:rPr/>
        <w:t>Concerns</w:t>
      </w:r>
      <w:r>
        <w:rPr>
          <w:spacing w:val="-7"/>
        </w:rPr>
        <w:t> </w:t>
      </w:r>
      <w:r>
        <w:rPr/>
        <w:t>of</w:t>
      </w:r>
      <w:r>
        <w:rPr>
          <w:spacing w:val="-7"/>
        </w:rPr>
        <w:t> </w:t>
      </w:r>
      <w:r>
        <w:rPr/>
        <w:t>Financial</w:t>
      </w:r>
      <w:r>
        <w:rPr>
          <w:spacing w:val="-8"/>
        </w:rPr>
        <w:t> </w:t>
      </w:r>
      <w:bookmarkEnd w:id="21"/>
      <w:r>
        <w:rPr>
          <w:spacing w:val="-2"/>
        </w:rPr>
        <w:t>Integration</w:t>
      </w:r>
    </w:p>
    <w:p>
      <w:pPr>
        <w:pStyle w:val="BodyText"/>
        <w:spacing w:before="160"/>
        <w:ind w:left="0"/>
        <w:rPr>
          <w:b/>
        </w:rPr>
      </w:pPr>
    </w:p>
    <w:p>
      <w:pPr>
        <w:pStyle w:val="BodyText"/>
        <w:spacing w:line="480" w:lineRule="auto"/>
        <w:ind w:right="733"/>
        <w:jc w:val="both"/>
      </w:pPr>
      <w:r>
        <w:rPr/>
        <w:t>In</w:t>
      </w:r>
      <w:r>
        <w:rPr>
          <w:spacing w:val="-2"/>
        </w:rPr>
        <w:t> </w:t>
      </w:r>
      <w:r>
        <w:rPr/>
        <w:t>addition</w:t>
      </w:r>
      <w:r>
        <w:rPr>
          <w:spacing w:val="-2"/>
        </w:rPr>
        <w:t> </w:t>
      </w:r>
      <w:r>
        <w:rPr/>
        <w:t>tothe</w:t>
      </w:r>
      <w:r>
        <w:rPr>
          <w:spacing w:val="-3"/>
        </w:rPr>
        <w:t> </w:t>
      </w:r>
      <w:r>
        <w:rPr/>
        <w:t>potential</w:t>
      </w:r>
      <w:r>
        <w:rPr>
          <w:spacing w:val="-1"/>
        </w:rPr>
        <w:t> </w:t>
      </w:r>
      <w:r>
        <w:rPr/>
        <w:t>benefits,</w:t>
      </w:r>
      <w:r>
        <w:rPr>
          <w:spacing w:val="-2"/>
        </w:rPr>
        <w:t> </w:t>
      </w:r>
      <w:r>
        <w:rPr/>
        <w:t>financial</w:t>
      </w:r>
      <w:r>
        <w:rPr>
          <w:spacing w:val="-2"/>
        </w:rPr>
        <w:t> </w:t>
      </w:r>
      <w:r>
        <w:rPr/>
        <w:t>integrationmay</w:t>
      </w:r>
      <w:r>
        <w:rPr>
          <w:spacing w:val="-2"/>
        </w:rPr>
        <w:t> </w:t>
      </w:r>
      <w:r>
        <w:rPr/>
        <w:t>also</w:t>
      </w:r>
      <w:r>
        <w:rPr>
          <w:spacing w:val="-2"/>
        </w:rPr>
        <w:t> </w:t>
      </w:r>
      <w:r>
        <w:rPr/>
        <w:t>generate</w:t>
      </w:r>
      <w:r>
        <w:rPr>
          <w:spacing w:val="-3"/>
        </w:rPr>
        <w:t> </w:t>
      </w:r>
      <w:r>
        <w:rPr/>
        <w:t>significantcosts.</w:t>
      </w:r>
      <w:r>
        <w:rPr>
          <w:spacing w:val="-5"/>
        </w:rPr>
        <w:t> </w:t>
      </w:r>
      <w:r>
        <w:rPr/>
        <w:t>In a world with imperfectcapital markets, integration can make acountry more vulnerableto external macroeconomic shocksand financial crises. Contagion effects, possiblyamplified by “fickleness” andherding behaviour offinancial institutions, may actuallyincrease output and consumption volatilityinstead of lowering themas the risk-sharing thesisholds. Most likely, the potential dangersof greater contagion due tofinancial integration are not asrelevant to the euro area as todeveloping countries. This is becausecountries with relativelywell developed financialsystems, such as the euroarea, are less vulnerable tofinancial crises (Lane&amp; Milesi- Ferretti, 2016).</w:t>
      </w:r>
    </w:p>
    <w:p>
      <w:pPr>
        <w:pStyle w:val="BodyText"/>
        <w:spacing w:line="480" w:lineRule="auto" w:before="161"/>
        <w:ind w:right="735"/>
        <w:jc w:val="both"/>
      </w:pPr>
      <w:r>
        <w:rPr/>
        <w:t>Financial integration in thepresence of pre-existing distortions canactually retard growth (Edison, Levine, Ricci &amp; Slok2012; Ho, 2009). In Eichengreens (2011) insightful literature review, there are innumerable constellationsof distortions for which liberalizationof international capitalcontrols will hurt resource allocationand growth. For example, in the presence of tradedistortions, capital account liberalization may inducecapital inflows to sectors in which thecountry has a comparativedisadvantage. Boyd and Smith (1992), for instance,</w:t>
      </w:r>
      <w:r>
        <w:rPr>
          <w:spacing w:val="2"/>
        </w:rPr>
        <w:t> </w:t>
      </w:r>
      <w:r>
        <w:rPr/>
        <w:t>argue</w:t>
      </w:r>
      <w:r>
        <w:rPr>
          <w:spacing w:val="3"/>
        </w:rPr>
        <w:t> </w:t>
      </w:r>
      <w:r>
        <w:rPr/>
        <w:t>thatfinancial</w:t>
      </w:r>
      <w:r>
        <w:rPr>
          <w:spacing w:val="3"/>
        </w:rPr>
        <w:t> </w:t>
      </w:r>
      <w:r>
        <w:rPr/>
        <w:t>integration</w:t>
      </w:r>
      <w:r>
        <w:rPr>
          <w:spacing w:val="3"/>
        </w:rPr>
        <w:t> </w:t>
      </w:r>
      <w:r>
        <w:rPr/>
        <w:t>in</w:t>
      </w:r>
      <w:r>
        <w:rPr>
          <w:spacing w:val="3"/>
        </w:rPr>
        <w:t> </w:t>
      </w:r>
      <w:r>
        <w:rPr/>
        <w:t>countries</w:t>
      </w:r>
      <w:r>
        <w:rPr>
          <w:spacing w:val="4"/>
        </w:rPr>
        <w:t> </w:t>
      </w:r>
      <w:r>
        <w:rPr/>
        <w:t>with</w:t>
      </w:r>
      <w:r>
        <w:rPr>
          <w:spacing w:val="3"/>
        </w:rPr>
        <w:t> </w:t>
      </w:r>
      <w:r>
        <w:rPr/>
        <w:t>weakinstitutions</w:t>
      </w:r>
      <w:r>
        <w:rPr>
          <w:spacing w:val="3"/>
        </w:rPr>
        <w:t> </w:t>
      </w:r>
      <w:r>
        <w:rPr/>
        <w:t>and</w:t>
      </w:r>
      <w:r>
        <w:rPr>
          <w:spacing w:val="3"/>
        </w:rPr>
        <w:t> </w:t>
      </w:r>
      <w:r>
        <w:rPr/>
        <w:t>policies,</w:t>
      </w:r>
      <w:r>
        <w:rPr>
          <w:spacing w:val="3"/>
        </w:rPr>
        <w:t> </w:t>
      </w:r>
      <w:r>
        <w:rPr>
          <w:spacing w:val="-4"/>
        </w:rPr>
        <w:t>such</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32384">
                <wp:simplePos x="0" y="0"/>
                <wp:positionH relativeFrom="page">
                  <wp:posOffset>950112</wp:posOffset>
                </wp:positionH>
                <wp:positionV relativeFrom="paragraph">
                  <wp:posOffset>1321053</wp:posOffset>
                </wp:positionV>
                <wp:extent cx="5505450" cy="566102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4096" id="docshape62"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as weak financialand legal systems, actually induces capitaloutflows from capital-scarce countries tocapital abundant countries withbetter institutions. Thus, sometheories predict that international</w:t>
      </w:r>
      <w:r>
        <w:rPr>
          <w:spacing w:val="-5"/>
        </w:rPr>
        <w:t> </w:t>
      </w:r>
      <w:r>
        <w:rPr/>
        <w:t>financialintegration</w:t>
      </w:r>
      <w:r>
        <w:rPr>
          <w:spacing w:val="-5"/>
        </w:rPr>
        <w:t> </w:t>
      </w:r>
      <w:r>
        <w:rPr/>
        <w:t>will</w:t>
      </w:r>
      <w:r>
        <w:rPr>
          <w:spacing w:val="-5"/>
        </w:rPr>
        <w:t> </w:t>
      </w:r>
      <w:r>
        <w:rPr/>
        <w:t>promote</w:t>
      </w:r>
      <w:r>
        <w:rPr>
          <w:spacing w:val="-5"/>
        </w:rPr>
        <w:t> </w:t>
      </w:r>
      <w:r>
        <w:rPr/>
        <w:t>growthonly</w:t>
      </w:r>
      <w:r>
        <w:rPr>
          <w:spacing w:val="-5"/>
        </w:rPr>
        <w:t> </w:t>
      </w:r>
      <w:r>
        <w:rPr/>
        <w:t>in</w:t>
      </w:r>
      <w:r>
        <w:rPr>
          <w:spacing w:val="-5"/>
        </w:rPr>
        <w:t> </w:t>
      </w:r>
      <w:r>
        <w:rPr/>
        <w:t>countries</w:t>
      </w:r>
      <w:r>
        <w:rPr>
          <w:spacing w:val="-4"/>
        </w:rPr>
        <w:t> </w:t>
      </w:r>
      <w:r>
        <w:rPr/>
        <w:t>withsound</w:t>
      </w:r>
      <w:r>
        <w:rPr>
          <w:spacing w:val="-5"/>
        </w:rPr>
        <w:t> </w:t>
      </w:r>
      <w:r>
        <w:rPr/>
        <w:t>institutions and goodpolicies (Edison et al., 2002).</w:t>
      </w:r>
    </w:p>
    <w:p>
      <w:pPr>
        <w:pStyle w:val="BodyText"/>
        <w:spacing w:line="480" w:lineRule="auto" w:before="160"/>
        <w:ind w:right="733"/>
        <w:jc w:val="both"/>
      </w:pPr>
      <w:r>
        <w:rPr/>
        <w:t>Many research papers, e.g. EdisonLevine, Ricci and Slok (2012), Agenor (2013), Baele, Ferrando, Hördahl, Krylova andMonnet (2014), Komárek andKomárkova (2008) and ECB (2010) mention majorcosts of financialintegration: high degree of concentrationof capital flows</w:t>
      </w:r>
      <w:r>
        <w:rPr>
          <w:spacing w:val="-2"/>
        </w:rPr>
        <w:t> </w:t>
      </w:r>
      <w:r>
        <w:rPr/>
        <w:t>and</w:t>
      </w:r>
      <w:r>
        <w:rPr>
          <w:spacing w:val="-3"/>
        </w:rPr>
        <w:t> </w:t>
      </w:r>
      <w:r>
        <w:rPr/>
        <w:t>lackof access to</w:t>
      </w:r>
      <w:r>
        <w:rPr>
          <w:spacing w:val="-3"/>
        </w:rPr>
        <w:t> </w:t>
      </w:r>
      <w:r>
        <w:rPr/>
        <w:t>financing</w:t>
      </w:r>
      <w:r>
        <w:rPr>
          <w:spacing w:val="-3"/>
        </w:rPr>
        <w:t> </w:t>
      </w:r>
      <w:r>
        <w:rPr/>
        <w:t>forsmall</w:t>
      </w:r>
      <w:r>
        <w:rPr>
          <w:spacing w:val="-3"/>
        </w:rPr>
        <w:t> </w:t>
      </w:r>
      <w:r>
        <w:rPr/>
        <w:t>countries,</w:t>
      </w:r>
      <w:r>
        <w:rPr>
          <w:spacing w:val="-3"/>
        </w:rPr>
        <w:t> </w:t>
      </w:r>
      <w:r>
        <w:rPr/>
        <w:t>either</w:t>
      </w:r>
      <w:r>
        <w:rPr>
          <w:spacing w:val="-3"/>
        </w:rPr>
        <w:t> </w:t>
      </w:r>
      <w:r>
        <w:rPr/>
        <w:t>permanentlyor</w:t>
      </w:r>
      <w:r>
        <w:rPr>
          <w:spacing w:val="-2"/>
        </w:rPr>
        <w:t> </w:t>
      </w:r>
      <w:r>
        <w:rPr/>
        <w:t>when</w:t>
      </w:r>
      <w:r>
        <w:rPr>
          <w:spacing w:val="-3"/>
        </w:rPr>
        <w:t> </w:t>
      </w:r>
      <w:r>
        <w:rPr/>
        <w:t>they</w:t>
      </w:r>
      <w:r>
        <w:rPr>
          <w:spacing w:val="-1"/>
        </w:rPr>
        <w:t> </w:t>
      </w:r>
      <w:r>
        <w:rPr/>
        <w:t>need it most; inadequate domesticallocation of these flows, which may hamper theirgrowth effects and</w:t>
      </w:r>
      <w:r>
        <w:rPr>
          <w:spacing w:val="-4"/>
        </w:rPr>
        <w:t> </w:t>
      </w:r>
      <w:r>
        <w:rPr/>
        <w:t>exacerbatepre-existing</w:t>
      </w:r>
      <w:r>
        <w:rPr>
          <w:spacing w:val="-3"/>
        </w:rPr>
        <w:t> </w:t>
      </w:r>
      <w:r>
        <w:rPr/>
        <w:t>domestic</w:t>
      </w:r>
      <w:r>
        <w:rPr>
          <w:spacing w:val="-3"/>
        </w:rPr>
        <w:t> </w:t>
      </w:r>
      <w:r>
        <w:rPr/>
        <w:t>distortions;</w:t>
      </w:r>
      <w:r>
        <w:rPr>
          <w:spacing w:val="-6"/>
        </w:rPr>
        <w:t> </w:t>
      </w:r>
      <w:r>
        <w:rPr/>
        <w:t>lossof</w:t>
      </w:r>
      <w:r>
        <w:rPr>
          <w:spacing w:val="-3"/>
        </w:rPr>
        <w:t> </w:t>
      </w:r>
      <w:r>
        <w:rPr/>
        <w:t>macroeconomic</w:t>
      </w:r>
      <w:r>
        <w:rPr>
          <w:spacing w:val="-4"/>
        </w:rPr>
        <w:t> </w:t>
      </w:r>
      <w:r>
        <w:rPr/>
        <w:t>stability;</w:t>
      </w:r>
      <w:r>
        <w:rPr>
          <w:spacing w:val="-3"/>
        </w:rPr>
        <w:t> </w:t>
      </w:r>
      <w:r>
        <w:rPr/>
        <w:t>pro-cyclical movementsin short-term capitalflows; high degree of volatilityof capital flows, which relates in part to herdingand contagion effects; and risksassociated with foreign bankpenetration.</w:t>
      </w:r>
    </w:p>
    <w:p>
      <w:pPr>
        <w:pStyle w:val="BodyText"/>
        <w:spacing w:line="480" w:lineRule="auto" w:before="160"/>
        <w:ind w:right="733"/>
        <w:jc w:val="both"/>
      </w:pPr>
      <w:r>
        <w:rPr>
          <w:b/>
        </w:rPr>
        <w:t>Concentration and Domestic Misallocationof Capital Flows: </w:t>
      </w:r>
      <w:r>
        <w:rPr/>
        <w:t>Poor economic management and unfavourable macroeconomic policies ininstances of high degree offinancial openness can result incapital flight. Capital flight occurs whenfinancial assets or capitalrapidly flow</w:t>
      </w:r>
      <w:r>
        <w:rPr>
          <w:spacing w:val="40"/>
        </w:rPr>
        <w:t> </w:t>
      </w:r>
      <w:r>
        <w:rPr/>
        <w:t>out</w:t>
      </w:r>
      <w:r>
        <w:rPr>
          <w:spacing w:val="-1"/>
        </w:rPr>
        <w:t> </w:t>
      </w:r>
      <w:r>
        <w:rPr/>
        <w:t>of</w:t>
      </w:r>
      <w:r>
        <w:rPr>
          <w:spacing w:val="-1"/>
        </w:rPr>
        <w:t> </w:t>
      </w:r>
      <w:r>
        <w:rPr/>
        <w:t>a</w:t>
      </w:r>
      <w:r>
        <w:rPr>
          <w:spacing w:val="-2"/>
        </w:rPr>
        <w:t> </w:t>
      </w:r>
      <w:r>
        <w:rPr/>
        <w:t>country</w:t>
      </w:r>
      <w:r>
        <w:rPr>
          <w:spacing w:val="-1"/>
        </w:rPr>
        <w:t> </w:t>
      </w:r>
      <w:r>
        <w:rPr/>
        <w:t>due</w:t>
      </w:r>
      <w:r>
        <w:rPr>
          <w:spacing w:val="-2"/>
        </w:rPr>
        <w:t> </w:t>
      </w:r>
      <w:r>
        <w:rPr/>
        <w:t>toevents</w:t>
      </w:r>
      <w:r>
        <w:rPr>
          <w:spacing w:val="-1"/>
        </w:rPr>
        <w:t> </w:t>
      </w:r>
      <w:r>
        <w:rPr/>
        <w:t>in</w:t>
      </w:r>
      <w:r>
        <w:rPr>
          <w:spacing w:val="-1"/>
        </w:rPr>
        <w:t> </w:t>
      </w:r>
      <w:r>
        <w:rPr/>
        <w:t>the</w:t>
      </w:r>
      <w:r>
        <w:rPr>
          <w:spacing w:val="-2"/>
        </w:rPr>
        <w:t> </w:t>
      </w:r>
      <w:r>
        <w:rPr/>
        <w:t>domesticeconomy</w:t>
      </w:r>
      <w:r>
        <w:rPr>
          <w:spacing w:val="-1"/>
        </w:rPr>
        <w:t> </w:t>
      </w:r>
      <w:r>
        <w:rPr/>
        <w:t>(Duc,</w:t>
      </w:r>
      <w:r>
        <w:rPr>
          <w:spacing w:val="-2"/>
        </w:rPr>
        <w:t> </w:t>
      </w:r>
      <w:r>
        <w:rPr/>
        <w:t>Anh</w:t>
      </w:r>
      <w:r>
        <w:rPr>
          <w:spacing w:val="-2"/>
        </w:rPr>
        <w:t> </w:t>
      </w:r>
      <w:r>
        <w:rPr/>
        <w:t>&amp;</w:t>
      </w:r>
      <w:r>
        <w:rPr>
          <w:spacing w:val="-1"/>
        </w:rPr>
        <w:t> </w:t>
      </w:r>
      <w:r>
        <w:rPr/>
        <w:t>Chi,</w:t>
      </w:r>
      <w:r>
        <w:rPr>
          <w:spacing w:val="-1"/>
        </w:rPr>
        <w:t> </w:t>
      </w:r>
      <w:r>
        <w:rPr/>
        <w:t>2020).</w:t>
      </w:r>
      <w:r>
        <w:rPr>
          <w:spacing w:val="-1"/>
        </w:rPr>
        <w:t> </w:t>
      </w:r>
      <w:r>
        <w:rPr/>
        <w:t>For instance, an increase in capitalgains tax or inflation may result in large movementsof short-term portfolios toeconomies with favourableinvestment climate. Domestic portfolio equity may also flowwith ease to othereconomies where the ratesof return on equity are highat the expense of thedomestic financial market, reducingits depth and liquidity (Ehigiamusoe &amp; Hooi, 2018).</w:t>
      </w:r>
    </w:p>
    <w:p>
      <w:pPr>
        <w:spacing w:after="0" w:line="480" w:lineRule="auto"/>
        <w:jc w:val="both"/>
        <w:sectPr>
          <w:pgSz w:w="12240" w:h="15840"/>
          <w:pgMar w:header="0" w:footer="1012" w:top="1380" w:bottom="1200" w:left="1220" w:right="700"/>
        </w:sectPr>
      </w:pPr>
    </w:p>
    <w:p>
      <w:pPr>
        <w:pStyle w:val="BodyText"/>
        <w:spacing w:line="458" w:lineRule="auto" w:before="60"/>
        <w:ind w:right="737"/>
        <w:jc w:val="both"/>
      </w:pPr>
      <w:r>
        <w:rPr/>
        <mc:AlternateContent>
          <mc:Choice Requires="wps">
            <w:drawing>
              <wp:anchor distT="0" distB="0" distL="0" distR="0" allowOverlap="1" layoutInCell="1" locked="0" behindDoc="1" simplePos="0" relativeHeight="478032896">
                <wp:simplePos x="0" y="0"/>
                <wp:positionH relativeFrom="page">
                  <wp:posOffset>950112</wp:posOffset>
                </wp:positionH>
                <wp:positionV relativeFrom="paragraph">
                  <wp:posOffset>1321053</wp:posOffset>
                </wp:positionV>
                <wp:extent cx="5505450" cy="5661025"/>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3584" id="docshape63"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Historical evidencesuggests that periods of “surge” incross border capital flowstend to be highly concentratedto a small numberof recipient countries. A number ofdeveloping</w:t>
      </w:r>
      <w:r>
        <w:rPr>
          <w:spacing w:val="40"/>
        </w:rPr>
        <w:t> </w:t>
      </w:r>
      <w:r>
        <w:rPr/>
        <w:t>countries (particularly thesmall ones) may simply be “rationedout</w:t>
      </w:r>
      <w:r>
        <w:rPr>
          <w:rFonts w:ascii="Yu Gothic" w:hAnsi="Yu Gothic"/>
        </w:rPr>
        <w:t>‟</w:t>
      </w:r>
      <w:r>
        <w:rPr>
          <w:rFonts w:ascii="Yu Gothic" w:hAnsi="Yu Gothic"/>
          <w:spacing w:val="-8"/>
        </w:rPr>
        <w:t> </w:t>
      </w:r>
      <w:r>
        <w:rPr/>
        <w:t>of world capitalmarkets – regardless</w:t>
      </w:r>
      <w:r>
        <w:rPr>
          <w:spacing w:val="52"/>
          <w:w w:val="150"/>
        </w:rPr>
        <w:t> </w:t>
      </w:r>
      <w:r>
        <w:rPr/>
        <w:t>ofhow</w:t>
      </w:r>
      <w:r>
        <w:rPr>
          <w:spacing w:val="52"/>
          <w:w w:val="150"/>
        </w:rPr>
        <w:t> </w:t>
      </w:r>
      <w:r>
        <w:rPr/>
        <w:t>open</w:t>
      </w:r>
      <w:r>
        <w:rPr>
          <w:spacing w:val="51"/>
          <w:w w:val="150"/>
        </w:rPr>
        <w:t> </w:t>
      </w:r>
      <w:r>
        <w:rPr/>
        <w:t>theirfinancial</w:t>
      </w:r>
      <w:r>
        <w:rPr>
          <w:spacing w:val="52"/>
          <w:w w:val="150"/>
        </w:rPr>
        <w:t> </w:t>
      </w:r>
      <w:r>
        <w:rPr/>
        <w:t>account</w:t>
      </w:r>
      <w:r>
        <w:rPr>
          <w:spacing w:val="54"/>
          <w:w w:val="150"/>
        </w:rPr>
        <w:t> </w:t>
      </w:r>
      <w:r>
        <w:rPr/>
        <w:t>is.</w:t>
      </w:r>
      <w:r>
        <w:rPr>
          <w:spacing w:val="51"/>
          <w:w w:val="150"/>
        </w:rPr>
        <w:t> </w:t>
      </w:r>
      <w:r>
        <w:rPr/>
        <w:t>Although</w:t>
      </w:r>
      <w:r>
        <w:rPr>
          <w:spacing w:val="52"/>
          <w:w w:val="150"/>
        </w:rPr>
        <w:t> </w:t>
      </w:r>
      <w:r>
        <w:rPr/>
        <w:t>thecapital</w:t>
      </w:r>
      <w:r>
        <w:rPr>
          <w:spacing w:val="52"/>
          <w:w w:val="150"/>
        </w:rPr>
        <w:t> </w:t>
      </w:r>
      <w:r>
        <w:rPr/>
        <w:t>inflows</w:t>
      </w:r>
      <w:r>
        <w:rPr>
          <w:spacing w:val="52"/>
          <w:w w:val="150"/>
        </w:rPr>
        <w:t> </w:t>
      </w:r>
      <w:r>
        <w:rPr/>
        <w:t>that</w:t>
      </w:r>
      <w:r>
        <w:rPr>
          <w:spacing w:val="52"/>
          <w:w w:val="150"/>
        </w:rPr>
        <w:t> </w:t>
      </w:r>
      <w:r>
        <w:rPr>
          <w:spacing w:val="-5"/>
        </w:rPr>
        <w:t>are</w:t>
      </w:r>
    </w:p>
    <w:p>
      <w:pPr>
        <w:pStyle w:val="BodyText"/>
        <w:spacing w:line="480" w:lineRule="auto" w:before="10"/>
        <w:ind w:right="734"/>
        <w:jc w:val="both"/>
      </w:pPr>
      <w:r>
        <w:rPr/>
        <w:t>associated with anopen financial accountmay raise domesticinvestment, their impacton long- run growth may belimited if suchinflows are used to financespeculative or low-quality domestic investmentssuch as investments in thereal estate sector. Low-productivity investments in thenon-tradable sector may reduce overtime the economy’s capacityto export and lead togrowing external imbalances. The misallocationof capital inflows may inpart be the</w:t>
      </w:r>
      <w:r>
        <w:rPr>
          <w:spacing w:val="9"/>
        </w:rPr>
        <w:t> </w:t>
      </w:r>
      <w:r>
        <w:rPr/>
        <w:t>resultof</w:t>
      </w:r>
      <w:r>
        <w:rPr>
          <w:spacing w:val="11"/>
        </w:rPr>
        <w:t> </w:t>
      </w:r>
      <w:r>
        <w:rPr/>
        <w:t>pre-existing</w:t>
      </w:r>
      <w:r>
        <w:rPr>
          <w:spacing w:val="8"/>
        </w:rPr>
        <w:t> </w:t>
      </w:r>
      <w:r>
        <w:rPr/>
        <w:t>distortions</w:t>
      </w:r>
      <w:r>
        <w:rPr>
          <w:spacing w:val="12"/>
        </w:rPr>
        <w:t> </w:t>
      </w:r>
      <w:r>
        <w:rPr/>
        <w:t>in</w:t>
      </w:r>
      <w:r>
        <w:rPr>
          <w:spacing w:val="11"/>
        </w:rPr>
        <w:t> </w:t>
      </w:r>
      <w:r>
        <w:rPr/>
        <w:t>thedomestic</w:t>
      </w:r>
      <w:r>
        <w:rPr>
          <w:spacing w:val="10"/>
        </w:rPr>
        <w:t> </w:t>
      </w:r>
      <w:r>
        <w:rPr/>
        <w:t>financial</w:t>
      </w:r>
      <w:r>
        <w:rPr>
          <w:spacing w:val="10"/>
        </w:rPr>
        <w:t> </w:t>
      </w:r>
      <w:r>
        <w:rPr/>
        <w:t>system</w:t>
      </w:r>
      <w:r>
        <w:rPr>
          <w:spacing w:val="10"/>
        </w:rPr>
        <w:t> </w:t>
      </w:r>
      <w:r>
        <w:rPr/>
        <w:t>(EdisonLevine,</w:t>
      </w:r>
      <w:r>
        <w:rPr>
          <w:spacing w:val="10"/>
        </w:rPr>
        <w:t> </w:t>
      </w:r>
      <w:r>
        <w:rPr/>
        <w:t>Ricci</w:t>
      </w:r>
      <w:r>
        <w:rPr>
          <w:spacing w:val="10"/>
        </w:rPr>
        <w:t> </w:t>
      </w:r>
      <w:r>
        <w:rPr>
          <w:spacing w:val="-10"/>
        </w:rPr>
        <w:t>&amp;</w:t>
      </w:r>
    </w:p>
    <w:p>
      <w:pPr>
        <w:pStyle w:val="BodyText"/>
        <w:spacing w:before="2"/>
        <w:jc w:val="both"/>
      </w:pPr>
      <w:r>
        <w:rPr/>
        <w:t>Slok,</w:t>
      </w:r>
      <w:r>
        <w:rPr>
          <w:spacing w:val="-7"/>
        </w:rPr>
        <w:t> </w:t>
      </w:r>
      <w:r>
        <w:rPr>
          <w:spacing w:val="-2"/>
        </w:rPr>
        <w:t>2012).</w:t>
      </w:r>
    </w:p>
    <w:p>
      <w:pPr>
        <w:pStyle w:val="BodyText"/>
        <w:spacing w:line="480" w:lineRule="auto" w:before="188"/>
        <w:ind w:right="734"/>
        <w:jc w:val="both"/>
      </w:pPr>
      <w:r>
        <w:rPr>
          <w:b/>
        </w:rPr>
        <w:t>Loss of Macroeconomic Stability: </w:t>
      </w:r>
      <w:r>
        <w:rPr/>
        <w:t>The largecapital inflows induced byfinancial integration and openness can have undesirablemacroeconomic effects, includingrapid monetary expansion (due to thedifficulty and cost of pursuingsterilisation policies), inflationary pressures</w:t>
      </w:r>
      <w:r>
        <w:rPr>
          <w:spacing w:val="-2"/>
        </w:rPr>
        <w:t> </w:t>
      </w:r>
      <w:r>
        <w:rPr/>
        <w:t>(resultingfrom</w:t>
      </w:r>
      <w:r>
        <w:rPr>
          <w:spacing w:val="-2"/>
        </w:rPr>
        <w:t> </w:t>
      </w:r>
      <w:r>
        <w:rPr/>
        <w:t>the effect of capitalinflows on domesticspending) and real exchange rate appreciation andwidening current accountdeficits. Under a flexible exchangerate arrangement, growingexternal deficits tend to bringabout acurrency depreciation, which may eventuallylead to a realignmentof relative prices and induceself-correcting movements in trade flows. Bycontrast, under a fixed exchangerate regime, losses incompetitiveness and growingexternal imbalances can erode confidencein the viabilityand sustainabilityof the peg, thereby precipitating acurrency crisis and increasingfinancial instability (Agenor, 2013). For instance,</w:t>
      </w:r>
      <w:r>
        <w:rPr>
          <w:spacing w:val="3"/>
        </w:rPr>
        <w:t> </w:t>
      </w:r>
      <w:r>
        <w:rPr/>
        <w:t>excessivecapital</w:t>
      </w:r>
      <w:r>
        <w:rPr>
          <w:spacing w:val="4"/>
        </w:rPr>
        <w:t> </w:t>
      </w:r>
      <w:r>
        <w:rPr/>
        <w:t>inflows</w:t>
      </w:r>
      <w:r>
        <w:rPr>
          <w:spacing w:val="5"/>
        </w:rPr>
        <w:t> </w:t>
      </w:r>
      <w:r>
        <w:rPr/>
        <w:t>will</w:t>
      </w:r>
      <w:r>
        <w:rPr>
          <w:spacing w:val="5"/>
        </w:rPr>
        <w:t> </w:t>
      </w:r>
      <w:r>
        <w:rPr/>
        <w:t>lead</w:t>
      </w:r>
      <w:r>
        <w:rPr>
          <w:spacing w:val="4"/>
        </w:rPr>
        <w:t> </w:t>
      </w:r>
      <w:r>
        <w:rPr/>
        <w:t>to</w:t>
      </w:r>
      <w:r>
        <w:rPr>
          <w:spacing w:val="4"/>
        </w:rPr>
        <w:t> </w:t>
      </w:r>
      <w:r>
        <w:rPr/>
        <w:t>anappreciation</w:t>
      </w:r>
      <w:r>
        <w:rPr>
          <w:spacing w:val="4"/>
        </w:rPr>
        <w:t> </w:t>
      </w:r>
      <w:r>
        <w:rPr/>
        <w:t>of</w:t>
      </w:r>
      <w:r>
        <w:rPr>
          <w:spacing w:val="4"/>
        </w:rPr>
        <w:t> </w:t>
      </w:r>
      <w:r>
        <w:rPr/>
        <w:t>thelocal</w:t>
      </w:r>
      <w:r>
        <w:rPr>
          <w:spacing w:val="4"/>
        </w:rPr>
        <w:t> </w:t>
      </w:r>
      <w:r>
        <w:rPr/>
        <w:t>currency</w:t>
      </w:r>
      <w:r>
        <w:rPr>
          <w:spacing w:val="4"/>
        </w:rPr>
        <w:t> </w:t>
      </w:r>
      <w:r>
        <w:rPr/>
        <w:t>relative</w:t>
      </w:r>
      <w:r>
        <w:rPr>
          <w:spacing w:val="4"/>
        </w:rPr>
        <w:t> </w:t>
      </w:r>
      <w:r>
        <w:rPr>
          <w:spacing w:val="-5"/>
        </w:rPr>
        <w:t>to</w:t>
      </w:r>
    </w:p>
    <w:p>
      <w:pPr>
        <w:spacing w:after="0" w:line="480" w:lineRule="auto"/>
        <w:jc w:val="both"/>
        <w:sectPr>
          <w:pgSz w:w="12240" w:h="15840"/>
          <w:pgMar w:header="0" w:footer="1012" w:top="1380" w:bottom="1200" w:left="1220" w:right="700"/>
        </w:sectPr>
      </w:pPr>
    </w:p>
    <w:p>
      <w:pPr>
        <w:pStyle w:val="BodyText"/>
        <w:spacing w:line="480" w:lineRule="auto" w:before="60"/>
        <w:ind w:right="736"/>
        <w:jc w:val="both"/>
      </w:pPr>
      <w:r>
        <w:rPr/>
        <mc:AlternateContent>
          <mc:Choice Requires="wps">
            <w:drawing>
              <wp:anchor distT="0" distB="0" distL="0" distR="0" allowOverlap="1" layoutInCell="1" locked="0" behindDoc="1" simplePos="0" relativeHeight="478033408">
                <wp:simplePos x="0" y="0"/>
                <wp:positionH relativeFrom="page">
                  <wp:posOffset>950112</wp:posOffset>
                </wp:positionH>
                <wp:positionV relativeFrom="paragraph">
                  <wp:posOffset>1321053</wp:posOffset>
                </wp:positionV>
                <wp:extent cx="5505450" cy="566102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3072" id="docshape64"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the internationaltrading currency therebymaking exports expensiverelative to imports. The result will be areduction in exports andan increase in importsculminating in balance oftrade problems (Arash &amp;Aidin, 2016). Also under aflexible exchange rateregime, rising external deficits tend tocause currency depreciation, which may eventuallylead to an adjustmentof relative pricesand induce self-correcting movementsin trade flows (Agenor, 2003).</w:t>
      </w:r>
    </w:p>
    <w:p>
      <w:pPr>
        <w:pStyle w:val="BodyText"/>
        <w:spacing w:line="480" w:lineRule="auto" w:before="161"/>
        <w:ind w:right="733"/>
        <w:jc w:val="both"/>
      </w:pPr>
      <w:r>
        <w:rPr>
          <w:b/>
        </w:rPr>
        <w:t>Pro-cyclicality of Short-Term Flows: </w:t>
      </w:r>
      <w:r>
        <w:rPr/>
        <w:t>Pro-cyclicality may, infact, have a perverseeffect and increase macroeconomicinstability: favourable shocks may attractlarge capital inflows and encourage consumptionand spending at levelsthat are unsustainable in thelonger term,</w:t>
      </w:r>
      <w:r>
        <w:rPr>
          <w:spacing w:val="40"/>
        </w:rPr>
        <w:t> </w:t>
      </w:r>
      <w:r>
        <w:rPr/>
        <w:t>forcing countriesto over-adjust when an adverseshock hits. There are essentially tworeasons that may explainthe pro-cyclical behaviourof short-term capitalflows. First, economic shocks tend to be largerand more frequent indeveloping countries, reflecting thesecountries</w:t>
      </w:r>
      <w:r>
        <w:rPr>
          <w:spacing w:val="40"/>
        </w:rPr>
        <w:t> </w:t>
      </w:r>
      <w:r>
        <w:rPr/>
        <w:t>relatively narrowproduction base andgreater dependence onprimary commodity exports. A common adverse shock to agroup of countries may cause deteriorationin some countries creditworthiness, as aresult of abruptchanges in risk perception. This can lead borrowerswho are only marginallycreditworthy to be “squeezed out” ofworld capital markets. Second, asymmetric informationproblems may trigger herdingbehaviour because partiallyinformed investors may rushto withdraw “en masse” their capital in responseto an adverse shock</w:t>
      </w:r>
      <w:r>
        <w:rPr>
          <w:spacing w:val="40"/>
        </w:rPr>
        <w:t> </w:t>
      </w:r>
      <w:r>
        <w:rPr/>
        <w:t>whose economicconsequences for the country are notfully understood (Komárek &amp; Komárkova, 2008).</w:t>
      </w:r>
    </w:p>
    <w:p>
      <w:pPr>
        <w:pStyle w:val="BodyText"/>
        <w:spacing w:line="480" w:lineRule="auto" w:before="160"/>
        <w:ind w:right="735"/>
        <w:jc w:val="both"/>
      </w:pPr>
      <w:r>
        <w:rPr>
          <w:b/>
        </w:rPr>
        <w:t>Concentration of Capital Flows and Lack of</w:t>
      </w:r>
      <w:r>
        <w:rPr>
          <w:b/>
          <w:spacing w:val="-1"/>
        </w:rPr>
        <w:t> </w:t>
      </w:r>
      <w:r>
        <w:rPr>
          <w:b/>
        </w:rPr>
        <w:t>Access</w:t>
      </w:r>
      <w:r>
        <w:rPr/>
        <w:t>: Empirical evidenceof capital account liberalization over the pasttwo decades has shown that thesurge in cross-border capitalflows tends</w:t>
      </w:r>
      <w:r>
        <w:rPr>
          <w:spacing w:val="19"/>
        </w:rPr>
        <w:t> </w:t>
      </w:r>
      <w:r>
        <w:rPr/>
        <w:t>to</w:t>
      </w:r>
      <w:r>
        <w:rPr>
          <w:spacing w:val="20"/>
        </w:rPr>
        <w:t> </w:t>
      </w:r>
      <w:r>
        <w:rPr/>
        <w:t>behighly</w:t>
      </w:r>
      <w:r>
        <w:rPr>
          <w:spacing w:val="21"/>
        </w:rPr>
        <w:t> </w:t>
      </w:r>
      <w:r>
        <w:rPr/>
        <w:t>concentratedto</w:t>
      </w:r>
      <w:r>
        <w:rPr>
          <w:spacing w:val="19"/>
        </w:rPr>
        <w:t> </w:t>
      </w:r>
      <w:r>
        <w:rPr/>
        <w:t>a</w:t>
      </w:r>
      <w:r>
        <w:rPr>
          <w:spacing w:val="18"/>
        </w:rPr>
        <w:t> </w:t>
      </w:r>
      <w:r>
        <w:rPr/>
        <w:t>small</w:t>
      </w:r>
      <w:r>
        <w:rPr>
          <w:spacing w:val="22"/>
        </w:rPr>
        <w:t> </w:t>
      </w:r>
      <w:r>
        <w:rPr/>
        <w:t>numberof</w:t>
      </w:r>
      <w:r>
        <w:rPr>
          <w:spacing w:val="19"/>
        </w:rPr>
        <w:t> </w:t>
      </w:r>
      <w:r>
        <w:rPr/>
        <w:t>recipient</w:t>
      </w:r>
      <w:r>
        <w:rPr>
          <w:spacing w:val="20"/>
        </w:rPr>
        <w:t> </w:t>
      </w:r>
      <w:r>
        <w:rPr/>
        <w:t>countries</w:t>
      </w:r>
      <w:r>
        <w:rPr>
          <w:spacing w:val="22"/>
        </w:rPr>
        <w:t> </w:t>
      </w:r>
      <w:r>
        <w:rPr/>
        <w:t>(Agenor,</w:t>
      </w:r>
      <w:r>
        <w:rPr>
          <w:spacing w:val="20"/>
        </w:rPr>
        <w:t> </w:t>
      </w:r>
      <w:r>
        <w:rPr/>
        <w:t>2003).</w:t>
      </w:r>
      <w:r>
        <w:rPr>
          <w:spacing w:val="19"/>
        </w:rPr>
        <w:t> </w:t>
      </w:r>
      <w:r>
        <w:rPr>
          <w:spacing w:val="-5"/>
        </w:rPr>
        <w:t>For</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33920">
                <wp:simplePos x="0" y="0"/>
                <wp:positionH relativeFrom="page">
                  <wp:posOffset>950112</wp:posOffset>
                </wp:positionH>
                <wp:positionV relativeFrom="paragraph">
                  <wp:posOffset>1321053</wp:posOffset>
                </wp:positionV>
                <wp:extent cx="5505450" cy="566102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2560" id="docshape65"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instance, the shareof total private capitalflows to developingcountries fell significantly</w:t>
      </w:r>
      <w:r>
        <w:rPr>
          <w:spacing w:val="80"/>
        </w:rPr>
        <w:t> </w:t>
      </w:r>
      <w:r>
        <w:rPr/>
        <w:t>during the 1990swhile a significant shareof the capital flowswent to the top 10economies in the world. Theimplication is that a sizeablenumber of developing countries maybe “rationed out” of the internationalcapital market notwithstanding theextent to which theircapital account is opened.</w:t>
      </w:r>
    </w:p>
    <w:p>
      <w:pPr>
        <w:pStyle w:val="BodyText"/>
        <w:spacing w:line="480" w:lineRule="auto" w:before="161"/>
        <w:ind w:right="733"/>
        <w:jc w:val="both"/>
      </w:pPr>
      <w:r>
        <w:rPr>
          <w:b/>
        </w:rPr>
        <w:t>Herding, Contagion and Volatility of</w:t>
      </w:r>
      <w:r>
        <w:rPr>
          <w:b/>
          <w:spacing w:val="-2"/>
        </w:rPr>
        <w:t> </w:t>
      </w:r>
      <w:r>
        <w:rPr>
          <w:b/>
        </w:rPr>
        <w:t>Capital Flows: </w:t>
      </w:r>
      <w:r>
        <w:rPr/>
        <w:t>A highdegree of financial integration and openness may beconducive to a high degree ofvolatility in capital movements, aspecific manifestation of whichbeing large reversals inshort-term flows associated withspeculative pressures on thedomestic currency. The possibility of largereversals of short-term capital flows raisesthe risk that borrowersmay face costly “liquidity runs”. The higher thelevel of short-term</w:t>
      </w:r>
      <w:r>
        <w:rPr>
          <w:spacing w:val="-1"/>
        </w:rPr>
        <w:t> </w:t>
      </w:r>
      <w:r>
        <w:rPr/>
        <w:t>debt</w:t>
      </w:r>
      <w:r>
        <w:rPr>
          <w:spacing w:val="-2"/>
        </w:rPr>
        <w:t> </w:t>
      </w:r>
      <w:r>
        <w:rPr/>
        <w:t>is relativeto</w:t>
      </w:r>
      <w:r>
        <w:rPr>
          <w:spacing w:val="-1"/>
        </w:rPr>
        <w:t> </w:t>
      </w:r>
      <w:r>
        <w:rPr/>
        <w:t>the</w:t>
      </w:r>
      <w:r>
        <w:rPr>
          <w:spacing w:val="-2"/>
        </w:rPr>
        <w:t> </w:t>
      </w:r>
      <w:r>
        <w:rPr/>
        <w:t>borrowing</w:t>
      </w:r>
      <w:r>
        <w:rPr>
          <w:spacing w:val="-1"/>
        </w:rPr>
        <w:t> </w:t>
      </w:r>
      <w:r>
        <w:rPr/>
        <w:t>country’s internationalreserves,</w:t>
      </w:r>
      <w:r>
        <w:rPr>
          <w:spacing w:val="-1"/>
        </w:rPr>
        <w:t> </w:t>
      </w:r>
      <w:r>
        <w:rPr/>
        <w:t>the</w:t>
      </w:r>
      <w:r>
        <w:rPr>
          <w:spacing w:val="-2"/>
        </w:rPr>
        <w:t> </w:t>
      </w:r>
      <w:r>
        <w:rPr/>
        <w:t>greater</w:t>
      </w:r>
      <w:r>
        <w:rPr>
          <w:spacing w:val="-1"/>
        </w:rPr>
        <w:t> </w:t>
      </w:r>
      <w:r>
        <w:rPr/>
        <w:t>will</w:t>
      </w:r>
      <w:r>
        <w:rPr>
          <w:spacing w:val="-1"/>
        </w:rPr>
        <w:t> </w:t>
      </w:r>
      <w:r>
        <w:rPr/>
        <w:t>be the risk of suchruns. High levels ofshort-term liabilities intermediated by thefinancial system also create risksof bank runs and systemicfinancial crises.</w:t>
      </w:r>
    </w:p>
    <w:p>
      <w:pPr>
        <w:pStyle w:val="BodyText"/>
        <w:spacing w:line="480" w:lineRule="auto" w:before="160"/>
        <w:ind w:right="737"/>
        <w:jc w:val="both"/>
      </w:pPr>
      <w:r>
        <w:rPr/>
        <w:t>A high degree of financialintegration may facilitate volatilityin capital flows which can ultimatelyresult</w:t>
      </w:r>
      <w:r>
        <w:rPr>
          <w:spacing w:val="-2"/>
        </w:rPr>
        <w:t> </w:t>
      </w:r>
      <w:r>
        <w:rPr/>
        <w:t>in</w:t>
      </w:r>
      <w:r>
        <w:rPr>
          <w:spacing w:val="-2"/>
        </w:rPr>
        <w:t> </w:t>
      </w:r>
      <w:r>
        <w:rPr/>
        <w:t>financial</w:t>
      </w:r>
      <w:r>
        <w:rPr>
          <w:spacing w:val="-2"/>
        </w:rPr>
        <w:t> </w:t>
      </w:r>
      <w:r>
        <w:rPr/>
        <w:t>crisis.</w:t>
      </w:r>
      <w:r>
        <w:rPr>
          <w:spacing w:val="-2"/>
        </w:rPr>
        <w:t> </w:t>
      </w:r>
      <w:r>
        <w:rPr/>
        <w:t>This</w:t>
      </w:r>
      <w:r>
        <w:rPr>
          <w:spacing w:val="-1"/>
        </w:rPr>
        <w:t> </w:t>
      </w:r>
      <w:r>
        <w:rPr/>
        <w:t>is</w:t>
      </w:r>
      <w:r>
        <w:rPr>
          <w:spacing w:val="-1"/>
        </w:rPr>
        <w:t> </w:t>
      </w:r>
      <w:r>
        <w:rPr/>
        <w:t>themostly</w:t>
      </w:r>
      <w:r>
        <w:rPr>
          <w:spacing w:val="-2"/>
        </w:rPr>
        <w:t> </w:t>
      </w:r>
      <w:r>
        <w:rPr/>
        <w:t>likely</w:t>
      </w:r>
      <w:r>
        <w:rPr>
          <w:spacing w:val="-2"/>
        </w:rPr>
        <w:t> </w:t>
      </w:r>
      <w:r>
        <w:rPr/>
        <w:t>situation</w:t>
      </w:r>
      <w:r>
        <w:rPr>
          <w:spacing w:val="-2"/>
        </w:rPr>
        <w:t> </w:t>
      </w:r>
      <w:r>
        <w:rPr/>
        <w:t>in</w:t>
      </w:r>
      <w:r>
        <w:rPr>
          <w:spacing w:val="-2"/>
        </w:rPr>
        <w:t> </w:t>
      </w:r>
      <w:r>
        <w:rPr/>
        <w:t>timesof</w:t>
      </w:r>
      <w:r>
        <w:rPr>
          <w:spacing w:val="-2"/>
        </w:rPr>
        <w:t> </w:t>
      </w:r>
      <w:r>
        <w:rPr/>
        <w:t>large</w:t>
      </w:r>
      <w:r>
        <w:rPr>
          <w:spacing w:val="-2"/>
        </w:rPr>
        <w:t> </w:t>
      </w:r>
      <w:r>
        <w:rPr/>
        <w:t>reversals in short-termcapital flows associated withspeculative activities (Chigbu, Ubah &amp; Chigbu, 2015). This act ofinvestors mimicking eachother’s actions, sometimes ignoringsocially vital information is knownas Herding. These sharp reversals tend todisrupt investment activities and leave thefinancial market indisarray. Similarly, investors may alsowithdraw their portfolio flowsfollowing the slightest hintof information from other partsof the world. They usually do this toavoid losses and mitigate theirrisk (Biplab &amp; Inder, 2021).</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34432">
                <wp:simplePos x="0" y="0"/>
                <wp:positionH relativeFrom="page">
                  <wp:posOffset>950112</wp:posOffset>
                </wp:positionH>
                <wp:positionV relativeFrom="paragraph">
                  <wp:posOffset>1321053</wp:posOffset>
                </wp:positionV>
                <wp:extent cx="5505450" cy="5661025"/>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2048" id="docshape66"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In general, the degree ofvolatility of capital flows is relatedto both actual andperceived movements indomestic economic fundamentals, aswell as external factors, suchas movements inworld interest rates. In any caserational or irrational, herdingbehaviour often translates intolarge movements into andout of certain types ofassets and exacerbates fluctuations in assetprices and capitalmovements. Volatility of capitalflows can also result from contagioneffects (Kizito &amp; Hooi, 2019).</w:t>
      </w:r>
    </w:p>
    <w:p>
      <w:pPr>
        <w:pStyle w:val="BodyText"/>
        <w:spacing w:line="480" w:lineRule="auto" w:before="160"/>
        <w:ind w:right="733"/>
        <w:jc w:val="both"/>
      </w:pPr>
      <w:r>
        <w:rPr>
          <w:b/>
        </w:rPr>
        <w:t>Risk of Entry by Foreign Banks: </w:t>
      </w:r>
      <w:r>
        <w:rPr/>
        <w:t>Although foreignbank penetration can yieldseveral types of benefits, it also has somepotential drawbacks. First, foreignbanks may rationcredit to</w:t>
      </w:r>
      <w:r>
        <w:rPr>
          <w:spacing w:val="80"/>
        </w:rPr>
        <w:t> </w:t>
      </w:r>
      <w:r>
        <w:rPr/>
        <w:t>small firms (which tend tooperate in thenon-tradable sector) to a largerextent than domestic banks, andconcentrate instead onlarger and strongerfirms (which are ofteninvolved in the production ofexports). If foreign banks doindeed follow astrategy of concentratingtheir lending operationsonly to the mostcreditworthy corporate (and, to a lesserextent, household) borrowers, theirpresence will be less likely tocontribute to an overall increasein efficiency in the financialsector (Frey &amp; Volz, 2011). More importantly, byleading to a higher degreeof credit rationing tosmall firms, they may have an adverse effect onoutput, employmentand incomedistribution. Second, entryof foreign banks, which tend to havelower operational costs, can create</w:t>
      </w:r>
      <w:r>
        <w:rPr>
          <w:spacing w:val="-1"/>
        </w:rPr>
        <w:t> </w:t>
      </w:r>
      <w:r>
        <w:rPr/>
        <w:t>pressureson local banks to merge inorder to remaincompetitive. The process ofconcentration (which could alsoarise as foreign banksacquire local banks) could create banksthat are “too big to fail” or “toopolitical to fail” – as monetary authoritiesmay fear that the failure of asingle large bank couldseriously disrupt financialmarkets and lead tosocial disruptions. Third, entryof foreign banks may not lead toenhanced stability of thedomestic banking</w:t>
      </w:r>
      <w:r>
        <w:rPr>
          <w:spacing w:val="39"/>
        </w:rPr>
        <w:t> </w:t>
      </w:r>
      <w:r>
        <w:rPr/>
        <w:t>system,</w:t>
      </w:r>
      <w:r>
        <w:rPr>
          <w:spacing w:val="40"/>
        </w:rPr>
        <w:t> </w:t>
      </w:r>
      <w:r>
        <w:rPr/>
        <w:t>because</w:t>
      </w:r>
      <w:r>
        <w:rPr>
          <w:spacing w:val="40"/>
        </w:rPr>
        <w:t> </w:t>
      </w:r>
      <w:r>
        <w:rPr/>
        <w:t>theirpresence</w:t>
      </w:r>
      <w:r>
        <w:rPr>
          <w:spacing w:val="39"/>
        </w:rPr>
        <w:t> </w:t>
      </w:r>
      <w:r>
        <w:rPr/>
        <w:t>per</w:t>
      </w:r>
      <w:r>
        <w:rPr>
          <w:spacing w:val="39"/>
        </w:rPr>
        <w:t> </w:t>
      </w:r>
      <w:r>
        <w:rPr/>
        <w:t>se</w:t>
      </w:r>
      <w:r>
        <w:rPr>
          <w:spacing w:val="39"/>
        </w:rPr>
        <w:t> </w:t>
      </w:r>
      <w:r>
        <w:rPr/>
        <w:t>does</w:t>
      </w:r>
      <w:r>
        <w:rPr>
          <w:spacing w:val="41"/>
        </w:rPr>
        <w:t> </w:t>
      </w:r>
      <w:r>
        <w:rPr/>
        <w:t>not</w:t>
      </w:r>
      <w:r>
        <w:rPr>
          <w:spacing w:val="40"/>
        </w:rPr>
        <w:t> </w:t>
      </w:r>
      <w:r>
        <w:rPr/>
        <w:t>makesystemic</w:t>
      </w:r>
      <w:r>
        <w:rPr>
          <w:spacing w:val="40"/>
        </w:rPr>
        <w:t> </w:t>
      </w:r>
      <w:r>
        <w:rPr/>
        <w:t>banking</w:t>
      </w:r>
      <w:r>
        <w:rPr>
          <w:spacing w:val="39"/>
        </w:rPr>
        <w:t> </w:t>
      </w:r>
      <w:r>
        <w:rPr/>
        <w:t>crises</w:t>
      </w:r>
      <w:r>
        <w:rPr>
          <w:spacing w:val="41"/>
        </w:rPr>
        <w:t> </w:t>
      </w:r>
      <w:r>
        <w:rPr>
          <w:spacing w:val="-4"/>
        </w:rPr>
        <w:t>less</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w:t>likely to occur. In addition, they mayhave a tendency to “cut and run” during acrisis (Jim, </w:t>
      </w:r>
      <w:r>
        <w:rPr>
          <w:spacing w:val="-2"/>
        </w:rPr>
        <w:t>2017).</w:t>
      </w:r>
    </w:p>
    <w:p>
      <w:pPr>
        <w:pStyle w:val="BodyText"/>
        <w:spacing w:line="480" w:lineRule="auto" w:before="160"/>
        <w:ind w:right="742"/>
        <w:jc w:val="both"/>
      </w:pPr>
      <w:r>
        <w:rPr/>
        <mc:AlternateContent>
          <mc:Choice Requires="wps">
            <w:drawing>
              <wp:anchor distT="0" distB="0" distL="0" distR="0" allowOverlap="1" layoutInCell="1" locked="0" behindDoc="1" simplePos="0" relativeHeight="478034944">
                <wp:simplePos x="0" y="0"/>
                <wp:positionH relativeFrom="page">
                  <wp:posOffset>950112</wp:posOffset>
                </wp:positionH>
                <wp:positionV relativeFrom="paragraph">
                  <wp:posOffset>552765</wp:posOffset>
                </wp:positionV>
                <wp:extent cx="5505450" cy="566102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81536" id="docshape67"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Besides the abovementioned costs of financialintegration one can alsodistinguish barriers hindering financial market integration.</w:t>
      </w:r>
    </w:p>
    <w:p>
      <w:pPr>
        <w:pStyle w:val="BodyText"/>
        <w:spacing w:line="480" w:lineRule="auto" w:before="160"/>
        <w:ind w:right="733"/>
        <w:jc w:val="both"/>
      </w:pPr>
      <w:r>
        <w:rPr/>
        <w:t>Some of the barriers are described in e.g. Jappelli andPagano (2008). First, if two jurisdictions have differentcurrencies, exchange ratefluctuations create additional riskand investors will require arisk premium to hold a securitydenominated in a foreigncurrency.</w:t>
      </w:r>
      <w:r>
        <w:rPr>
          <w:spacing w:val="80"/>
        </w:rPr>
        <w:t> </w:t>
      </w:r>
      <w:r>
        <w:rPr/>
        <w:t>And even if there are noexchange rate fluctuations, transactioncosts for currency conversion will</w:t>
      </w:r>
      <w:r>
        <w:rPr>
          <w:spacing w:val="-3"/>
        </w:rPr>
        <w:t> </w:t>
      </w:r>
      <w:r>
        <w:rPr/>
        <w:t>induce</w:t>
      </w:r>
      <w:r>
        <w:rPr>
          <w:spacing w:val="-3"/>
        </w:rPr>
        <w:t> </w:t>
      </w:r>
      <w:r>
        <w:rPr/>
        <w:t>adeviation</w:t>
      </w:r>
      <w:r>
        <w:rPr>
          <w:spacing w:val="-3"/>
        </w:rPr>
        <w:t> </w:t>
      </w:r>
      <w:r>
        <w:rPr/>
        <w:t>from</w:t>
      </w:r>
      <w:r>
        <w:rPr>
          <w:spacing w:val="-3"/>
        </w:rPr>
        <w:t> </w:t>
      </w:r>
      <w:r>
        <w:rPr/>
        <w:t>internationalarbitrage.</w:t>
      </w:r>
      <w:r>
        <w:rPr>
          <w:spacing w:val="-3"/>
        </w:rPr>
        <w:t> </w:t>
      </w:r>
      <w:r>
        <w:rPr/>
        <w:t>A</w:t>
      </w:r>
      <w:r>
        <w:rPr>
          <w:spacing w:val="-3"/>
        </w:rPr>
        <w:t> </w:t>
      </w:r>
      <w:r>
        <w:rPr/>
        <w:t>second</w:t>
      </w:r>
      <w:r>
        <w:rPr>
          <w:spacing w:val="-3"/>
        </w:rPr>
        <w:t> </w:t>
      </w:r>
      <w:r>
        <w:rPr/>
        <w:t>barrier</w:t>
      </w:r>
      <w:r>
        <w:rPr>
          <w:spacing w:val="-3"/>
        </w:rPr>
        <w:t> </w:t>
      </w:r>
      <w:r>
        <w:rPr/>
        <w:t>to</w:t>
      </w:r>
      <w:r>
        <w:rPr>
          <w:spacing w:val="-3"/>
        </w:rPr>
        <w:t> </w:t>
      </w:r>
      <w:r>
        <w:rPr/>
        <w:t>integration</w:t>
      </w:r>
      <w:r>
        <w:rPr>
          <w:spacing w:val="-3"/>
        </w:rPr>
        <w:t> </w:t>
      </w:r>
      <w:r>
        <w:rPr/>
        <w:t>stems</w:t>
      </w:r>
      <w:r>
        <w:rPr>
          <w:spacing w:val="-2"/>
        </w:rPr>
        <w:t> </w:t>
      </w:r>
      <w:r>
        <w:rPr/>
        <w:t>from differential taxesand subsidies, which drive awedge between the after-tax costsof capital in differentcountries. Next, differences in regulationand enforcement can preventfinancial intermediaries fromcompeting across borders onequal footing. For instance, regulation can create stifferentry barriers for foreignintermediaries; similarly, judicial efficiencycan differ across countries, requiringintermediaries to charge higherinterest rates ininefficient jurisdictions to compensatefor expected recovery costs incase of default. Finally, entry barriers may arise not fromregulatory constraints but fromasymmetric information between potential foreignentrants and domesticincumbents. This is particularly relevantin credit markets, wherethe opacity of firms andhouseholds combines with localknowledge to give local lendersan informational advantage.</w:t>
      </w:r>
    </w:p>
    <w:p>
      <w:pPr>
        <w:pStyle w:val="BodyText"/>
        <w:spacing w:line="480" w:lineRule="auto" w:before="162"/>
        <w:ind w:right="739"/>
        <w:jc w:val="both"/>
      </w:pPr>
      <w:r>
        <w:rPr/>
        <w:t>Lack of integration reflects theexistence of barriers tocross-border activities. Kalemli-Ozcan and Manganelli (2008) classify theobstacles to financial integrationin three main categories:</w:t>
      </w:r>
    </w:p>
    <w:p>
      <w:pPr>
        <w:spacing w:after="0" w:line="480" w:lineRule="auto"/>
        <w:jc w:val="both"/>
        <w:sectPr>
          <w:pgSz w:w="12240" w:h="15840"/>
          <w:pgMar w:header="0" w:footer="1012" w:top="1380" w:bottom="1200" w:left="1220" w:right="700"/>
        </w:sectPr>
      </w:pPr>
    </w:p>
    <w:p>
      <w:pPr>
        <w:pStyle w:val="ListParagraph"/>
        <w:numPr>
          <w:ilvl w:val="0"/>
          <w:numId w:val="17"/>
        </w:numPr>
        <w:tabs>
          <w:tab w:pos="580" w:val="left" w:leader="none"/>
        </w:tabs>
        <w:spacing w:line="477" w:lineRule="auto" w:before="81" w:after="0"/>
        <w:ind w:left="580" w:right="734" w:hanging="360"/>
        <w:jc w:val="both"/>
        <w:rPr>
          <w:sz w:val="25"/>
        </w:rPr>
      </w:pPr>
      <w:r>
        <w:rPr/>
        <mc:AlternateContent>
          <mc:Choice Requires="wps">
            <w:drawing>
              <wp:anchor distT="0" distB="0" distL="0" distR="0" allowOverlap="1" layoutInCell="1" locked="0" behindDoc="1" simplePos="0" relativeHeight="478035456">
                <wp:simplePos x="0" y="0"/>
                <wp:positionH relativeFrom="page">
                  <wp:posOffset>950112</wp:posOffset>
                </wp:positionH>
                <wp:positionV relativeFrom="paragraph">
                  <wp:posOffset>1333753</wp:posOffset>
                </wp:positionV>
                <wp:extent cx="5505450" cy="566102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5.019974pt;width:433.5pt;height:445.75pt;mso-position-horizontal-relative:page;mso-position-vertical-relative:paragraph;z-index:-25281024" id="docshape68" coordorigin="1496,2100" coordsize="8670,8915" path="m2562,10820l1691,9949,1496,10144,2367,11015,2562,10820xm3154,10144l3153,10105,3148,10062,3139,10018,3125,9974,3106,9930,3083,9887,3055,9845,3025,9804,2991,9764,2954,9725,2435,9205,2241,9399,2772,9931,2805,9967,2829,10002,2846,10037,2856,10071,2858,10104,2851,10135,2837,10163,2816,10189,2790,10211,2761,10225,2730,10231,2697,10229,2663,10219,2628,10203,2593,10178,2557,10146,2026,9615,1831,9809,2351,10328,2385,10360,2424,10393,2468,10425,2516,10458,2548,10476,2583,10492,2620,10505,2658,10516,2697,10524,2733,10528,2767,10528,2800,10525,2831,10518,2863,10506,2895,10490,2926,10469,2957,10446,2985,10423,3011,10400,3035,10377,3071,10337,3102,10296,3125,10255,3142,10213,3150,10180,3154,10144xm3882,9361l3876,9297,3860,9231,3834,9164,3806,9110,3771,9054,3728,8996,3678,8937,3661,8919,3621,8877,3597,8855,3597,9349,3592,9389,3577,9426,3551,9459,3518,9484,3481,9499,3441,9504,3396,9497,3347,9479,3294,9448,3235,9403,3171,9343,3112,9279,3066,9220,3035,9166,3016,9117,3010,9073,3014,9032,3029,8996,3053,8965,3086,8939,3122,8924,3163,8919,3207,8924,3255,8941,3307,8971,3363,9013,3423,9068,3488,9138,3538,9201,3572,9257,3591,9305,3597,9349,3597,8855,3551,8812,3482,8757,3413,8712,3344,8676,3276,8651,3209,8635,3130,8629,3055,8639,2983,8665,2914,8705,2850,8761,2796,8824,2756,8892,2732,8963,2723,9039,2729,9119,2746,9187,2772,9256,2808,9326,2854,9396,2910,9466,2976,9537,3036,9594,3096,9644,3156,9686,3215,9720,3273,9748,3344,9772,3411,9786,3475,9789,3535,9783,3593,9767,3649,9740,3705,9702,3758,9654,3805,9600,3841,9544,3858,9504,3866,9485,3879,9424,3882,9361xm4153,8781l3966,8594,3712,8848,3899,9035,4153,8781xm4664,8719l3793,7847,3598,8042,4469,8914,4664,8719xm4998,8384l4675,8061,4781,7954,4832,7895,4837,7885,4866,7833,4883,7770,4882,7705,4866,7639,4843,7588,4836,7574,4792,7508,4733,7442,4670,7385,4607,7341,4598,7337,4598,7730,4597,7756,4587,7782,4570,7809,4546,7837,4498,7885,4304,7690,4359,7635,4386,7611,4412,7596,4438,7588,4462,7589,4486,7595,4509,7606,4531,7620,4552,7639,4570,7660,4584,7683,4593,7706,4598,7730,4598,7337,4544,7312,4483,7296,4423,7295,4365,7310,4309,7340,4255,7385,3931,7709,4803,8580,4998,8384xm5788,7595l5132,6939,5330,6740,5115,6525,4524,7117,4739,7332,4937,7133,5593,7789,5788,7595xm6423,6959l5767,6303,5966,6105,5751,5890,5159,6481,5374,6696,5573,6498,6229,7154,6423,6959xm7157,6086l7151,6022,7135,5956,7109,5889,7081,5835,7046,5779,7003,5722,6953,5663,6935,5644,6896,5602,6872,5580,6872,6074,6867,6114,6851,6151,6825,6184,6793,6209,6756,6224,6716,6229,6671,6222,6622,6204,6569,6173,6510,6128,6446,6069,6387,6005,6341,5945,6309,5891,6291,5842,6285,5798,6289,5757,6304,5722,6328,5690,6361,5664,6397,5649,6438,5644,6482,5649,6530,5666,6582,5696,6638,5738,6698,5793,6763,5863,6813,5926,6847,5982,6866,6030,6872,6074,6872,5580,6826,5537,6756,5482,6687,5437,6619,5402,6551,5376,6483,5360,6405,5354,6329,5364,6258,5390,6189,5430,6125,5486,6071,5549,6031,5617,6007,5689,5998,5764,6004,5844,6021,5912,6047,5981,6083,6051,6129,6121,6184,6191,6250,6262,6311,6319,6371,6369,6431,6411,6490,6446,6548,6473,6619,6497,6686,6511,6750,6514,6810,6508,6868,6492,6924,6465,6979,6427,7033,6379,7080,6325,7116,6269,7133,6229,7141,6210,7154,6149,7157,6086xm8170,5090l8165,5042,8153,4991,8134,4938,8109,4884,8079,4828,8041,4771,7980,4796,7799,4870,7831,4917,7855,4960,7873,5000,7884,5037,7887,5073,7881,5106,7866,5137,7843,5166,7812,5189,7778,5203,7740,5208,7700,5201,7653,5183,7600,5149,7538,5099,7469,5035,7417,4978,7375,4926,7344,4879,7324,4836,7311,4784,7312,4738,7325,4697,7352,4661,7367,4648,7384,4638,7402,4630,7422,4625,7442,4623,7464,4623,7486,4627,7509,4633,7524,4638,7542,4647,7563,4658,7586,4672,7705,4447,7622,4401,7543,4369,7469,4350,7400,4344,7333,4351,7269,4374,7206,4412,7146,4464,7092,4527,7054,4594,7030,4664,7021,4738,7027,4815,7044,4882,7070,4950,7106,5019,7153,5089,7209,5160,7276,5231,7341,5292,7404,5344,7467,5388,7529,5423,7590,5451,7662,5474,7730,5487,7791,5490,7847,5483,7900,5466,7952,5439,8004,5403,8056,5356,8094,5314,8125,5271,8147,5227,8161,5183,8169,5138,8170,5090xm8868,4375l8861,4311,8846,4245,8820,4179,8792,4124,8757,4068,8714,4011,8664,3952,8646,3933,8607,3891,8583,3869,8583,4363,8578,4403,8562,4440,8536,4473,8504,4498,8467,4513,8427,4518,8382,4512,8333,4493,8279,4462,8221,4417,8157,4358,8098,4294,8052,4235,8020,4180,8002,4131,7996,4087,8000,4047,8014,4011,8039,3979,8071,3954,8108,3938,8149,3933,8193,3938,8241,3955,8293,3985,8349,4027,8409,4082,8474,4152,8524,4215,8558,4271,8577,4320,8583,4363,8583,3869,8537,3826,8467,3771,8398,3726,8330,3691,8262,3665,8194,3649,8116,3644,8040,3654,7968,3679,7900,3720,7835,3775,7781,3838,7742,3906,7718,3978,7709,4054,7715,4133,7731,4202,7758,4270,7794,4340,7839,4410,7895,4480,7961,4551,8022,4608,8082,4658,8142,4700,8201,4735,8259,4762,8329,4786,8397,4800,8461,4803,8521,4797,8579,4781,8635,4754,8690,4716,8744,4668,8791,4614,8827,4558,8844,4518,8852,4499,8865,4438,8868,4375xm9348,4034l9025,3711,9132,3604,9182,3544,9188,3534,9216,3483,9233,3419,9233,3355,9217,3289,9194,3238,9187,3223,9142,3157,9084,3091,9020,3034,8957,2991,8948,2987,8948,3380,8947,3406,8938,3432,8921,3459,8896,3487,8849,3534,8654,3340,8710,3285,8737,3261,8763,3246,8788,3238,8812,3239,8836,3245,8859,3256,8881,3270,8902,3289,8920,3310,8934,3333,8943,3356,8948,3380,8948,2987,8895,2962,8833,2946,8773,2945,8715,2959,8659,2990,8605,3035,8282,3358,9153,4230,9348,4034xm10166,3216l9801,2852,9748,2702,9593,2250,9540,2100,9325,2316,9353,2386,9436,2597,9492,2737,9422,2709,9211,2626,9071,2570,8854,2786,9005,2838,9456,2994,9606,3047,9971,3411,10166,3216xe" filled="true" fillcolor="#c0c0c0" stroked="false">
                <v:path arrowok="t"/>
                <v:fill opacity="32896f" type="solid"/>
                <w10:wrap type="none"/>
              </v:shape>
            </w:pict>
          </mc:Fallback>
        </mc:AlternateContent>
      </w:r>
      <w:r>
        <w:rPr>
          <w:b/>
          <w:sz w:val="25"/>
        </w:rPr>
        <w:t>Psychological/Informational</w:t>
      </w:r>
      <w:r>
        <w:rPr>
          <w:sz w:val="25"/>
        </w:rPr>
        <w:t>: Many studiese.g. Guiso, Sapienza and Zingales (2006) show non-egligiblepsychological and cultural barriers tofinancial integration. For</w:t>
      </w:r>
      <w:r>
        <w:rPr>
          <w:spacing w:val="40"/>
          <w:sz w:val="25"/>
        </w:rPr>
        <w:t> </w:t>
      </w:r>
      <w:r>
        <w:rPr>
          <w:sz w:val="25"/>
        </w:rPr>
        <w:t>example culturaldifferences and mistrust explains asignificant portion ofbilateral</w:t>
      </w:r>
      <w:r>
        <w:rPr>
          <w:spacing w:val="40"/>
          <w:sz w:val="25"/>
        </w:rPr>
        <w:t> </w:t>
      </w:r>
      <w:r>
        <w:rPr>
          <w:sz w:val="25"/>
        </w:rPr>
        <w:t>financial and tradeflows. Besides cultural psychological reasonsinformation frictions seem to have asignificant effect onfinancial integration. Portes and Rey (2015) show that variablesreflecting information asymmetriesamong countries (such astelephone costs, trading time, foreignnewspaper circulation) correlate significantlywith cross border </w:t>
      </w:r>
      <w:r>
        <w:rPr>
          <w:spacing w:val="-2"/>
          <w:sz w:val="25"/>
        </w:rPr>
        <w:t>equityflows.</w:t>
      </w:r>
    </w:p>
    <w:p>
      <w:pPr>
        <w:pStyle w:val="ListParagraph"/>
        <w:numPr>
          <w:ilvl w:val="0"/>
          <w:numId w:val="17"/>
        </w:numPr>
        <w:tabs>
          <w:tab w:pos="580" w:val="left" w:leader="none"/>
        </w:tabs>
        <w:spacing w:line="472" w:lineRule="auto" w:before="4" w:after="0"/>
        <w:ind w:left="580" w:right="963" w:hanging="360"/>
        <w:jc w:val="left"/>
        <w:rPr>
          <w:sz w:val="25"/>
        </w:rPr>
      </w:pPr>
      <w:r>
        <w:rPr>
          <w:b/>
          <w:sz w:val="25"/>
        </w:rPr>
        <w:t>Regulatory/Legal</w:t>
      </w:r>
      <w:r>
        <w:rPr>
          <w:b/>
          <w:spacing w:val="-5"/>
          <w:sz w:val="25"/>
        </w:rPr>
        <w:t> </w:t>
      </w:r>
      <w:r>
        <w:rPr>
          <w:b/>
          <w:sz w:val="25"/>
        </w:rPr>
        <w:t>Obstacles</w:t>
      </w:r>
      <w:r>
        <w:rPr>
          <w:sz w:val="25"/>
        </w:rPr>
        <w:t>:</w:t>
      </w:r>
      <w:r>
        <w:rPr>
          <w:spacing w:val="-5"/>
          <w:sz w:val="25"/>
        </w:rPr>
        <w:t> </w:t>
      </w:r>
      <w:r>
        <w:rPr>
          <w:sz w:val="25"/>
        </w:rPr>
        <w:t>A</w:t>
      </w:r>
      <w:r>
        <w:rPr>
          <w:spacing w:val="-5"/>
          <w:sz w:val="25"/>
        </w:rPr>
        <w:t> </w:t>
      </w:r>
      <w:r>
        <w:rPr>
          <w:sz w:val="25"/>
        </w:rPr>
        <w:t>precondition</w:t>
      </w:r>
      <w:r>
        <w:rPr>
          <w:spacing w:val="-5"/>
          <w:sz w:val="25"/>
        </w:rPr>
        <w:t> </w:t>
      </w:r>
      <w:r>
        <w:rPr>
          <w:sz w:val="25"/>
        </w:rPr>
        <w:t>for</w:t>
      </w:r>
      <w:r>
        <w:rPr>
          <w:spacing w:val="-4"/>
          <w:sz w:val="25"/>
        </w:rPr>
        <w:t> </w:t>
      </w:r>
      <w:r>
        <w:rPr>
          <w:sz w:val="25"/>
        </w:rPr>
        <w:t>financial</w:t>
      </w:r>
      <w:r>
        <w:rPr>
          <w:spacing w:val="-5"/>
          <w:sz w:val="25"/>
        </w:rPr>
        <w:t> </w:t>
      </w:r>
      <w:r>
        <w:rPr>
          <w:sz w:val="25"/>
        </w:rPr>
        <w:t>integration</w:t>
      </w:r>
      <w:r>
        <w:rPr>
          <w:spacing w:val="-5"/>
          <w:sz w:val="25"/>
        </w:rPr>
        <w:t> </w:t>
      </w:r>
      <w:r>
        <w:rPr>
          <w:sz w:val="25"/>
        </w:rPr>
        <w:t>is</w:t>
      </w:r>
      <w:r>
        <w:rPr>
          <w:spacing w:val="-3"/>
          <w:sz w:val="25"/>
        </w:rPr>
        <w:t> </w:t>
      </w:r>
      <w:r>
        <w:rPr>
          <w:sz w:val="25"/>
        </w:rPr>
        <w:t>the</w:t>
      </w:r>
      <w:r>
        <w:rPr>
          <w:spacing w:val="-5"/>
          <w:sz w:val="25"/>
        </w:rPr>
        <w:t> </w:t>
      </w:r>
      <w:r>
        <w:rPr>
          <w:sz w:val="25"/>
        </w:rPr>
        <w:t>removal</w:t>
      </w:r>
      <w:r>
        <w:rPr>
          <w:spacing w:val="-5"/>
          <w:sz w:val="25"/>
        </w:rPr>
        <w:t> </w:t>
      </w:r>
      <w:r>
        <w:rPr>
          <w:sz w:val="25"/>
        </w:rPr>
        <w:t>of any legislative or regulatory differences discriminating agents on the basis of their </w:t>
      </w:r>
      <w:r>
        <w:rPr>
          <w:spacing w:val="-2"/>
          <w:sz w:val="25"/>
        </w:rPr>
        <w:t>location.</w:t>
      </w:r>
    </w:p>
    <w:p>
      <w:pPr>
        <w:pStyle w:val="ListParagraph"/>
        <w:numPr>
          <w:ilvl w:val="0"/>
          <w:numId w:val="17"/>
        </w:numPr>
        <w:tabs>
          <w:tab w:pos="580" w:val="left" w:leader="none"/>
        </w:tabs>
        <w:spacing w:line="472" w:lineRule="auto" w:before="6" w:after="0"/>
        <w:ind w:left="580" w:right="737" w:hanging="360"/>
        <w:jc w:val="both"/>
        <w:rPr>
          <w:sz w:val="25"/>
        </w:rPr>
      </w:pPr>
      <w:r>
        <w:rPr>
          <w:b/>
          <w:sz w:val="25"/>
        </w:rPr>
        <w:t>Technical/Infrastructure Obstacles</w:t>
      </w:r>
      <w:r>
        <w:rPr>
          <w:sz w:val="25"/>
        </w:rPr>
        <w:t>: Technicalmarket infrastructuresare also key for financial integration. Impediments tosecurities trading across nationalborders inhibit arbitrage forcesand induce violations of thelaw of one price.</w:t>
      </w:r>
    </w:p>
    <w:p>
      <w:pPr>
        <w:pStyle w:val="BodyText"/>
        <w:spacing w:before="167"/>
        <w:ind w:left="0"/>
      </w:pPr>
    </w:p>
    <w:p>
      <w:pPr>
        <w:pStyle w:val="Heading2"/>
        <w:numPr>
          <w:ilvl w:val="2"/>
          <w:numId w:val="16"/>
        </w:numPr>
        <w:tabs>
          <w:tab w:pos="780" w:val="left" w:leader="none"/>
        </w:tabs>
        <w:spacing w:line="240" w:lineRule="auto" w:before="0" w:after="0"/>
        <w:ind w:left="780" w:right="0" w:hanging="560"/>
        <w:jc w:val="left"/>
      </w:pPr>
      <w:bookmarkStart w:name="_TOC_250053" w:id="22"/>
      <w:r>
        <w:rPr/>
        <w:t>Common</w:t>
      </w:r>
      <w:r>
        <w:rPr>
          <w:spacing w:val="-11"/>
        </w:rPr>
        <w:t> </w:t>
      </w:r>
      <w:r>
        <w:rPr/>
        <w:t>Frameworks</w:t>
      </w:r>
      <w:r>
        <w:rPr>
          <w:spacing w:val="-9"/>
        </w:rPr>
        <w:t> </w:t>
      </w:r>
      <w:r>
        <w:rPr/>
        <w:t>for</w:t>
      </w:r>
      <w:r>
        <w:rPr>
          <w:spacing w:val="-11"/>
        </w:rPr>
        <w:t> </w:t>
      </w:r>
      <w:r>
        <w:rPr/>
        <w:t>Measuring</w:t>
      </w:r>
      <w:r>
        <w:rPr>
          <w:spacing w:val="-7"/>
        </w:rPr>
        <w:t> </w:t>
      </w:r>
      <w:r>
        <w:rPr/>
        <w:t>Financial</w:t>
      </w:r>
      <w:r>
        <w:rPr>
          <w:spacing w:val="-11"/>
        </w:rPr>
        <w:t> </w:t>
      </w:r>
      <w:bookmarkEnd w:id="22"/>
      <w:r>
        <w:rPr>
          <w:spacing w:val="-2"/>
        </w:rPr>
        <w:t>Integration</w:t>
      </w:r>
    </w:p>
    <w:p>
      <w:pPr>
        <w:pStyle w:val="BodyText"/>
        <w:spacing w:before="159"/>
        <w:ind w:left="0"/>
        <w:rPr>
          <w:b/>
        </w:rPr>
      </w:pPr>
    </w:p>
    <w:p>
      <w:pPr>
        <w:pStyle w:val="BodyText"/>
        <w:spacing w:line="480" w:lineRule="auto" w:before="1"/>
        <w:ind w:right="733"/>
        <w:jc w:val="both"/>
      </w:pPr>
      <w:r>
        <w:rPr/>
        <w:t>There are several financial integration measures but we are going to useLane and Milesi- Ferretti (2003) one. It is an indicatormeasured by the stock of accumulatedcapital flows (the sum of assetsand liabilities of foreign direct investmentand portfolio flows) with regardto GDP because this indicator better reflects thedevelopment offinancial integration from one year toanother paving us the way tobetter analyze thepossible effects of</w:t>
      </w:r>
      <w:r>
        <w:rPr>
          <w:spacing w:val="-1"/>
        </w:rPr>
        <w:t> </w:t>
      </w:r>
      <w:r>
        <w:rPr/>
        <w:t>financialopenness on economic</w:t>
      </w:r>
      <w:r>
        <w:rPr>
          <w:spacing w:val="42"/>
        </w:rPr>
        <w:t> </w:t>
      </w:r>
      <w:r>
        <w:rPr/>
        <w:t>growth</w:t>
      </w:r>
      <w:r>
        <w:rPr>
          <w:spacing w:val="45"/>
        </w:rPr>
        <w:t> </w:t>
      </w:r>
      <w:r>
        <w:rPr/>
        <w:t>(Mahajan</w:t>
      </w:r>
      <w:r>
        <w:rPr>
          <w:spacing w:val="42"/>
        </w:rPr>
        <w:t> </w:t>
      </w:r>
      <w:r>
        <w:rPr/>
        <w:t>&amp;</w:t>
      </w:r>
      <w:r>
        <w:rPr>
          <w:spacing w:val="46"/>
        </w:rPr>
        <w:t> </w:t>
      </w:r>
      <w:r>
        <w:rPr/>
        <w:t>Verma,</w:t>
      </w:r>
      <w:r>
        <w:rPr>
          <w:spacing w:val="43"/>
        </w:rPr>
        <w:t> </w:t>
      </w:r>
      <w:r>
        <w:rPr/>
        <w:t>2015).</w:t>
      </w:r>
      <w:r>
        <w:rPr>
          <w:spacing w:val="46"/>
        </w:rPr>
        <w:t> </w:t>
      </w:r>
      <w:r>
        <w:rPr/>
        <w:t>Various</w:t>
      </w:r>
      <w:r>
        <w:rPr>
          <w:spacing w:val="45"/>
        </w:rPr>
        <w:t> </w:t>
      </w:r>
      <w:r>
        <w:rPr/>
        <w:t>measures</w:t>
      </w:r>
      <w:r>
        <w:rPr>
          <w:spacing w:val="44"/>
        </w:rPr>
        <w:t> </w:t>
      </w:r>
      <w:r>
        <w:rPr/>
        <w:t>exist</w:t>
      </w:r>
      <w:r>
        <w:rPr>
          <w:spacing w:val="43"/>
        </w:rPr>
        <w:t> </w:t>
      </w:r>
      <w:r>
        <w:rPr/>
        <w:t>in</w:t>
      </w:r>
      <w:r>
        <w:rPr>
          <w:spacing w:val="43"/>
        </w:rPr>
        <w:t> </w:t>
      </w:r>
      <w:r>
        <w:rPr/>
        <w:t>theliterature</w:t>
      </w:r>
      <w:r>
        <w:rPr>
          <w:spacing w:val="45"/>
        </w:rPr>
        <w:t> </w:t>
      </w:r>
      <w:r>
        <w:rPr>
          <w:spacing w:val="-5"/>
        </w:rPr>
        <w:t>for</w:t>
      </w:r>
    </w:p>
    <w:p>
      <w:pPr>
        <w:spacing w:after="0" w:line="480" w:lineRule="auto"/>
        <w:jc w:val="both"/>
        <w:sectPr>
          <w:pgSz w:w="12240" w:h="15840"/>
          <w:pgMar w:header="0" w:footer="1012" w:top="136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35968">
                <wp:simplePos x="0" y="0"/>
                <wp:positionH relativeFrom="page">
                  <wp:posOffset>950112</wp:posOffset>
                </wp:positionH>
                <wp:positionV relativeFrom="paragraph">
                  <wp:posOffset>1321053</wp:posOffset>
                </wp:positionV>
                <wp:extent cx="5505450" cy="5661025"/>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80512" id="docshape69"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assessing the levelof financial integration. The methodswhich are used most are connected withgrowing investment opportunities. However, Ho (2009) says that astandard measure offinancial integration is difficult todevelop. There are many typesof financial transactions and somecountries impose acomplex array of priceand quantity controls on abroad assortmentof financial transactions. This leads toenormous hurdles in measuringcross- country differences in thenature, intensity and effectivenessof barriers to international capital flows (Eichengreen, 2011). Given the varietyof asset classes traded, themeasurement of financial integration is notstraight forward (Kalemli-Ozcan &amp; Manganelli, 2008).</w:t>
      </w:r>
    </w:p>
    <w:p>
      <w:pPr>
        <w:pStyle w:val="BodyText"/>
        <w:spacing w:line="480" w:lineRule="auto" w:before="162"/>
        <w:ind w:right="735"/>
        <w:jc w:val="both"/>
      </w:pPr>
      <w:r>
        <w:rPr/>
        <w:t>Over the last three decades, variousmeasures have been employed tomeasure the degree of financial integrationthat has taken place. In abroader sense, the measuresof financial integration can becategorized on the basisof the context in whichfinancial integration is defined. In thecontext of the law of oneprice, there are two (2) types ofmeasures of financial integration, namely</w:t>
      </w:r>
      <w:r>
        <w:rPr>
          <w:i/>
        </w:rPr>
        <w:t>price-based measures </w:t>
      </w:r>
      <w:r>
        <w:rPr/>
        <w:t>and </w:t>
      </w:r>
      <w:r>
        <w:rPr>
          <w:i/>
        </w:rPr>
        <w:t>news-basedmeasures </w:t>
      </w:r>
      <w:r>
        <w:rPr/>
        <w:t>(Baele, Ferrando, Hordahl, Krylova&amp; Monnet cited inEhigiamusoe &amp; Hooi, 2018)</w:t>
      </w:r>
      <w:r>
        <w:rPr>
          <w:i/>
        </w:rPr>
        <w:t>. </w:t>
      </w:r>
      <w:r>
        <w:rPr/>
        <w:t>Similarly, in thecontext of capital flows ormobility, there are two (2) classifications of measuresof financial integration, namely </w:t>
      </w:r>
      <w:r>
        <w:rPr>
          <w:i/>
        </w:rPr>
        <w:t>dejure-measures</w:t>
      </w:r>
      <w:r>
        <w:rPr/>
        <w:t>and </w:t>
      </w:r>
      <w:r>
        <w:rPr>
          <w:i/>
        </w:rPr>
        <w:t>defacto-measures </w:t>
      </w:r>
      <w:r>
        <w:rPr/>
        <w:t>(EdisonLevine, Ricci &amp; Slok, cited inEzeaku, Anyalechi, Onwumere&amp; Okereke</w:t>
      </w:r>
      <w:r>
        <w:rPr>
          <w:b/>
        </w:rPr>
        <w:t>, </w:t>
      </w:r>
      <w:r>
        <w:rPr/>
        <w:t>2018).</w:t>
      </w:r>
    </w:p>
    <w:p>
      <w:pPr>
        <w:pStyle w:val="BodyText"/>
        <w:spacing w:line="480" w:lineRule="auto" w:before="159"/>
        <w:ind w:right="734"/>
        <w:jc w:val="both"/>
      </w:pPr>
      <w:r>
        <w:rPr>
          <w:b/>
        </w:rPr>
        <w:t>Price-based Measures: </w:t>
      </w:r>
      <w:r>
        <w:rPr/>
        <w:t>The price-basedmeasures seek to measurediscrepancies in prices or returns on assetswhich may be caused bygeographical origins of theassets. This in essence constitutes adirect verificationof the law of oneprice, which implies that financialintegration is complete if assetswith identicalcharacteristics are priced equally. These measures are</w:t>
      </w:r>
      <w:r>
        <w:rPr>
          <w:spacing w:val="40"/>
        </w:rPr>
        <w:t> </w:t>
      </w:r>
      <w:r>
        <w:rPr/>
        <w:t>based</w:t>
      </w:r>
      <w:r>
        <w:rPr>
          <w:spacing w:val="33"/>
        </w:rPr>
        <w:t>  </w:t>
      </w:r>
      <w:r>
        <w:rPr/>
        <w:t>ondirect</w:t>
      </w:r>
      <w:r>
        <w:rPr>
          <w:spacing w:val="35"/>
        </w:rPr>
        <w:t>  </w:t>
      </w:r>
      <w:r>
        <w:rPr/>
        <w:t>asset</w:t>
      </w:r>
      <w:r>
        <w:rPr>
          <w:spacing w:val="33"/>
        </w:rPr>
        <w:t>  </w:t>
      </w:r>
      <w:r>
        <w:rPr/>
        <w:t>pricesor</w:t>
      </w:r>
      <w:r>
        <w:rPr>
          <w:spacing w:val="35"/>
        </w:rPr>
        <w:t>  </w:t>
      </w:r>
      <w:r>
        <w:rPr/>
        <w:t>rates</w:t>
      </w:r>
      <w:r>
        <w:rPr>
          <w:spacing w:val="34"/>
        </w:rPr>
        <w:t>  </w:t>
      </w:r>
      <w:r>
        <w:rPr/>
        <w:t>ofreturn</w:t>
      </w:r>
      <w:r>
        <w:rPr>
          <w:spacing w:val="34"/>
        </w:rPr>
        <w:t>  </w:t>
      </w:r>
      <w:r>
        <w:rPr/>
        <w:t>(yield)</w:t>
      </w:r>
      <w:r>
        <w:rPr>
          <w:spacing w:val="34"/>
        </w:rPr>
        <w:t>  </w:t>
      </w:r>
      <w:r>
        <w:rPr/>
        <w:t>comparisonand</w:t>
      </w:r>
      <w:r>
        <w:rPr>
          <w:spacing w:val="33"/>
        </w:rPr>
        <w:t>  </w:t>
      </w:r>
      <w:r>
        <w:rPr/>
        <w:t>also</w:t>
      </w:r>
      <w:r>
        <w:rPr>
          <w:spacing w:val="34"/>
        </w:rPr>
        <w:t>  </w:t>
      </w:r>
      <w:r>
        <w:rPr/>
        <w:t>take</w:t>
      </w:r>
      <w:r>
        <w:rPr>
          <w:spacing w:val="33"/>
        </w:rPr>
        <w:t>  </w:t>
      </w:r>
      <w:r>
        <w:rPr>
          <w:spacing w:val="-4"/>
        </w:rPr>
        <w:t>into</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w:t>considerationsystematic (non-diversifiable) risk factorsand other crucialcharacteristics (Frey &amp; Volz, 2011).</w:t>
      </w:r>
    </w:p>
    <w:p>
      <w:pPr>
        <w:pStyle w:val="BodyText"/>
        <w:spacing w:line="480" w:lineRule="auto" w:before="160"/>
        <w:ind w:right="734"/>
        <w:jc w:val="both"/>
      </w:pPr>
      <w:r>
        <w:rPr/>
        <mc:AlternateContent>
          <mc:Choice Requires="wps">
            <w:drawing>
              <wp:anchor distT="0" distB="0" distL="0" distR="0" allowOverlap="1" layoutInCell="1" locked="0" behindDoc="1" simplePos="0" relativeHeight="478036480">
                <wp:simplePos x="0" y="0"/>
                <wp:positionH relativeFrom="page">
                  <wp:posOffset>950112</wp:posOffset>
                </wp:positionH>
                <wp:positionV relativeFrom="paragraph">
                  <wp:posOffset>552765</wp:posOffset>
                </wp:positionV>
                <wp:extent cx="5505450" cy="566102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80000" id="docshape70"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Price-based measures measure discrepancies inprices or returnson assets caused by the geographicorigin</w:t>
      </w:r>
      <w:r>
        <w:rPr>
          <w:spacing w:val="-1"/>
        </w:rPr>
        <w:t> </w:t>
      </w:r>
      <w:r>
        <w:rPr/>
        <w:t>of</w:t>
      </w:r>
      <w:r>
        <w:rPr>
          <w:spacing w:val="-1"/>
        </w:rPr>
        <w:t> </w:t>
      </w:r>
      <w:r>
        <w:rPr/>
        <w:t>theassets. This constitutes</w:t>
      </w:r>
      <w:r>
        <w:rPr>
          <w:spacing w:val="-3"/>
        </w:rPr>
        <w:t> </w:t>
      </w:r>
      <w:r>
        <w:rPr/>
        <w:t>a</w:t>
      </w:r>
      <w:r>
        <w:rPr>
          <w:spacing w:val="-2"/>
        </w:rPr>
        <w:t> </w:t>
      </w:r>
      <w:r>
        <w:rPr/>
        <w:t>direct</w:t>
      </w:r>
      <w:r>
        <w:rPr>
          <w:spacing w:val="-1"/>
        </w:rPr>
        <w:t> </w:t>
      </w:r>
      <w:r>
        <w:rPr/>
        <w:t>checkof</w:t>
      </w:r>
      <w:r>
        <w:rPr>
          <w:spacing w:val="-1"/>
        </w:rPr>
        <w:t> </w:t>
      </w:r>
      <w:r>
        <w:rPr/>
        <w:t>the</w:t>
      </w:r>
      <w:r>
        <w:rPr>
          <w:spacing w:val="-2"/>
        </w:rPr>
        <w:t> </w:t>
      </w:r>
      <w:r>
        <w:rPr/>
        <w:t>law of</w:t>
      </w:r>
      <w:r>
        <w:rPr>
          <w:spacing w:val="-1"/>
        </w:rPr>
        <w:t> </w:t>
      </w:r>
      <w:r>
        <w:rPr/>
        <w:t>one</w:t>
      </w:r>
      <w:r>
        <w:rPr>
          <w:spacing w:val="-2"/>
        </w:rPr>
        <w:t> </w:t>
      </w:r>
      <w:r>
        <w:rPr/>
        <w:t>price,</w:t>
      </w:r>
      <w:r>
        <w:rPr>
          <w:spacing w:val="-2"/>
        </w:rPr>
        <w:t> </w:t>
      </w:r>
      <w:r>
        <w:rPr/>
        <w:t>which</w:t>
      </w:r>
      <w:r>
        <w:rPr>
          <w:spacing w:val="-2"/>
        </w:rPr>
        <w:t> </w:t>
      </w:r>
      <w:r>
        <w:rPr/>
        <w:t>in turn must hold iffinancial integration is complete. If assets have sufficientlysimilar characteristics, it can base thesemeasures on directprice or yield comparisons. Otherwise it needs</w:t>
      </w:r>
      <w:r>
        <w:rPr>
          <w:spacing w:val="-1"/>
        </w:rPr>
        <w:t> </w:t>
      </w:r>
      <w:r>
        <w:rPr/>
        <w:t>to</w:t>
      </w:r>
      <w:r>
        <w:rPr>
          <w:spacing w:val="-2"/>
        </w:rPr>
        <w:t> </w:t>
      </w:r>
      <w:r>
        <w:rPr/>
        <w:t>take</w:t>
      </w:r>
      <w:r>
        <w:rPr>
          <w:spacing w:val="-3"/>
        </w:rPr>
        <w:t> </w:t>
      </w:r>
      <w:r>
        <w:rPr/>
        <w:t>intoaccount</w:t>
      </w:r>
      <w:r>
        <w:rPr>
          <w:spacing w:val="-2"/>
        </w:rPr>
        <w:t> </w:t>
      </w:r>
      <w:r>
        <w:rPr/>
        <w:t>differences</w:t>
      </w:r>
      <w:r>
        <w:rPr>
          <w:spacing w:val="-1"/>
        </w:rPr>
        <w:t> </w:t>
      </w:r>
      <w:r>
        <w:rPr/>
        <w:t>insystematic</w:t>
      </w:r>
      <w:r>
        <w:rPr>
          <w:spacing w:val="-3"/>
        </w:rPr>
        <w:t> </w:t>
      </w:r>
      <w:r>
        <w:rPr/>
        <w:t>(or</w:t>
      </w:r>
      <w:r>
        <w:rPr>
          <w:spacing w:val="-1"/>
        </w:rPr>
        <w:t> </w:t>
      </w:r>
      <w:r>
        <w:rPr/>
        <w:t>non-diversifiable)</w:t>
      </w:r>
      <w:r>
        <w:rPr>
          <w:spacing w:val="-2"/>
        </w:rPr>
        <w:t> </w:t>
      </w:r>
      <w:r>
        <w:rPr/>
        <w:t>risk</w:t>
      </w:r>
      <w:r>
        <w:rPr>
          <w:spacing w:val="-5"/>
        </w:rPr>
        <w:t> </w:t>
      </w:r>
      <w:r>
        <w:rPr/>
        <w:t>factorsand</w:t>
      </w:r>
      <w:r>
        <w:rPr>
          <w:spacing w:val="-3"/>
        </w:rPr>
        <w:t> </w:t>
      </w:r>
      <w:r>
        <w:rPr/>
        <w:t>other importantcharacteristics. The cross-sectional dispersionof interest rate spreads orasset return differentials</w:t>
      </w:r>
      <w:r>
        <w:rPr>
          <w:spacing w:val="-1"/>
        </w:rPr>
        <w:t> </w:t>
      </w:r>
      <w:r>
        <w:rPr/>
        <w:t>can</w:t>
      </w:r>
      <w:r>
        <w:rPr>
          <w:spacing w:val="-3"/>
        </w:rPr>
        <w:t> </w:t>
      </w:r>
      <w:r>
        <w:rPr/>
        <w:t>be</w:t>
      </w:r>
      <w:r>
        <w:rPr>
          <w:spacing w:val="-3"/>
        </w:rPr>
        <w:t> </w:t>
      </w:r>
      <w:r>
        <w:rPr/>
        <w:t>used</w:t>
      </w:r>
      <w:r>
        <w:rPr>
          <w:spacing w:val="-3"/>
        </w:rPr>
        <w:t> </w:t>
      </w:r>
      <w:r>
        <w:rPr/>
        <w:t>as</w:t>
      </w:r>
      <w:r>
        <w:rPr>
          <w:spacing w:val="-2"/>
        </w:rPr>
        <w:t> </w:t>
      </w:r>
      <w:r>
        <w:rPr/>
        <w:t>anindicator</w:t>
      </w:r>
      <w:r>
        <w:rPr>
          <w:spacing w:val="-3"/>
        </w:rPr>
        <w:t> </w:t>
      </w:r>
      <w:r>
        <w:rPr/>
        <w:t>of</w:t>
      </w:r>
      <w:r>
        <w:rPr>
          <w:spacing w:val="-1"/>
        </w:rPr>
        <w:t> </w:t>
      </w:r>
      <w:r>
        <w:rPr/>
        <w:t>how</w:t>
      </w:r>
      <w:r>
        <w:rPr>
          <w:spacing w:val="-3"/>
        </w:rPr>
        <w:t> </w:t>
      </w:r>
      <w:r>
        <w:rPr/>
        <w:t>faraway</w:t>
      </w:r>
      <w:r>
        <w:rPr>
          <w:spacing w:val="-3"/>
        </w:rPr>
        <w:t> </w:t>
      </w:r>
      <w:r>
        <w:rPr/>
        <w:t>the</w:t>
      </w:r>
      <w:r>
        <w:rPr>
          <w:spacing w:val="-3"/>
        </w:rPr>
        <w:t> </w:t>
      </w:r>
      <w:r>
        <w:rPr/>
        <w:t>various</w:t>
      </w:r>
      <w:r>
        <w:rPr>
          <w:spacing w:val="-1"/>
        </w:rPr>
        <w:t> </w:t>
      </w:r>
      <w:r>
        <w:rPr/>
        <w:t>market</w:t>
      </w:r>
      <w:r>
        <w:rPr>
          <w:spacing w:val="-3"/>
        </w:rPr>
        <w:t> </w:t>
      </w:r>
      <w:r>
        <w:rPr/>
        <w:t>segments</w:t>
      </w:r>
      <w:r>
        <w:rPr>
          <w:spacing w:val="-2"/>
        </w:rPr>
        <w:t> </w:t>
      </w:r>
      <w:r>
        <w:rPr/>
        <w:t>are</w:t>
      </w:r>
      <w:r>
        <w:rPr>
          <w:spacing w:val="-3"/>
        </w:rPr>
        <w:t> </w:t>
      </w:r>
      <w:r>
        <w:rPr/>
        <w:t>from being fullyintegrated. Similarly, betaconvergence, a measure borrowedfrom the growth literature, is anindicator for the speedat which markets areintegrating. In addition, measuring the degreeof cross-border price oryield variation relativeto the variability withinindividual countries may beinformative withrespect to the degree ofintegration in differentmarkets (Guha, Daga, Gulati, Bhupal &amp; Oak, 2014). Typical examplesof price-based measuresof financial integration are cross-sectionaldispersion of interest ratespreads or assetreturn differentials, sigma-convergenceand beta-convergence. Another importantprice-based measure</w:t>
      </w:r>
      <w:r>
        <w:rPr>
          <w:spacing w:val="-2"/>
        </w:rPr>
        <w:t> </w:t>
      </w:r>
      <w:r>
        <w:rPr/>
        <w:t>is degree ofvariability</w:t>
      </w:r>
      <w:r>
        <w:rPr>
          <w:spacing w:val="-1"/>
        </w:rPr>
        <w:t> </w:t>
      </w:r>
      <w:r>
        <w:rPr/>
        <w:t>in</w:t>
      </w:r>
      <w:r>
        <w:rPr>
          <w:spacing w:val="-1"/>
        </w:rPr>
        <w:t> </w:t>
      </w:r>
      <w:r>
        <w:rPr/>
        <w:t>cross-border</w:t>
      </w:r>
      <w:r>
        <w:rPr>
          <w:spacing w:val="-3"/>
        </w:rPr>
        <w:t> </w:t>
      </w:r>
      <w:r>
        <w:rPr/>
        <w:t>priceor</w:t>
      </w:r>
      <w:r>
        <w:rPr>
          <w:spacing w:val="-1"/>
        </w:rPr>
        <w:t> </w:t>
      </w:r>
      <w:r>
        <w:rPr/>
        <w:t>yield</w:t>
      </w:r>
      <w:r>
        <w:rPr>
          <w:spacing w:val="-2"/>
        </w:rPr>
        <w:t> </w:t>
      </w:r>
      <w:r>
        <w:rPr/>
        <w:t>relative</w:t>
      </w:r>
      <w:r>
        <w:rPr>
          <w:spacing w:val="-2"/>
        </w:rPr>
        <w:t> </w:t>
      </w:r>
      <w:r>
        <w:rPr/>
        <w:t>to the</w:t>
      </w:r>
      <w:r>
        <w:rPr>
          <w:spacing w:val="-2"/>
        </w:rPr>
        <w:t> </w:t>
      </w:r>
      <w:r>
        <w:rPr/>
        <w:t>variabilitywithin</w:t>
      </w:r>
      <w:r>
        <w:rPr>
          <w:spacing w:val="-1"/>
        </w:rPr>
        <w:t> </w:t>
      </w:r>
      <w:r>
        <w:rPr/>
        <w:t>a specific country (Jim, 2017).</w:t>
      </w:r>
    </w:p>
    <w:p>
      <w:pPr>
        <w:pStyle w:val="BodyText"/>
        <w:spacing w:line="480" w:lineRule="auto" w:before="162"/>
        <w:ind w:right="734"/>
        <w:jc w:val="both"/>
      </w:pPr>
      <w:r>
        <w:rPr>
          <w:b/>
        </w:rPr>
        <w:t>News-Based Measures: </w:t>
      </w:r>
      <w:r>
        <w:rPr/>
        <w:t>The News-basedmeasures are basically designed todifferentiate informationeffects from other frictionsor barriers. The news-basedmeasures are designed to distinguish theinformation effects fromother frictions orbarriers. More precisely, in a financiallyintegrated</w:t>
      </w:r>
      <w:r>
        <w:rPr>
          <w:spacing w:val="57"/>
        </w:rPr>
        <w:t> </w:t>
      </w:r>
      <w:r>
        <w:rPr/>
        <w:t>area,</w:t>
      </w:r>
      <w:r>
        <w:rPr>
          <w:spacing w:val="58"/>
        </w:rPr>
        <w:t> </w:t>
      </w:r>
      <w:r>
        <w:rPr/>
        <w:t>portfolios</w:t>
      </w:r>
      <w:r>
        <w:rPr>
          <w:spacing w:val="59"/>
        </w:rPr>
        <w:t> </w:t>
      </w:r>
      <w:r>
        <w:rPr/>
        <w:t>should</w:t>
      </w:r>
      <w:r>
        <w:rPr>
          <w:spacing w:val="57"/>
        </w:rPr>
        <w:t> </w:t>
      </w:r>
      <w:r>
        <w:rPr/>
        <w:t>be</w:t>
      </w:r>
      <w:r>
        <w:rPr>
          <w:spacing w:val="58"/>
        </w:rPr>
        <w:t> </w:t>
      </w:r>
      <w:r>
        <w:rPr/>
        <w:t>welldiversified.</w:t>
      </w:r>
      <w:r>
        <w:rPr>
          <w:spacing w:val="58"/>
        </w:rPr>
        <w:t> </w:t>
      </w:r>
      <w:r>
        <w:rPr/>
        <w:t>Hence,</w:t>
      </w:r>
      <w:r>
        <w:rPr>
          <w:spacing w:val="57"/>
        </w:rPr>
        <w:t> </w:t>
      </w:r>
      <w:r>
        <w:rPr/>
        <w:t>one</w:t>
      </w:r>
      <w:r>
        <w:rPr>
          <w:spacing w:val="58"/>
        </w:rPr>
        <w:t> </w:t>
      </w:r>
      <w:r>
        <w:rPr>
          <w:spacing w:val="-2"/>
        </w:rPr>
        <w:t>wouldexpect</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36992">
                <wp:simplePos x="0" y="0"/>
                <wp:positionH relativeFrom="page">
                  <wp:posOffset>950112</wp:posOffset>
                </wp:positionH>
                <wp:positionV relativeFrom="paragraph">
                  <wp:posOffset>1321053</wp:posOffset>
                </wp:positionV>
                <wp:extent cx="5505450" cy="566102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79488" id="docshape71"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news (i.e. arrivalof new economic information) of aregional character to have littleimpact on prices, whereascommon or global</w:t>
      </w:r>
      <w:r>
        <w:rPr>
          <w:spacing w:val="-1"/>
        </w:rPr>
        <w:t> </w:t>
      </w:r>
      <w:r>
        <w:rPr/>
        <w:t>newsshould</w:t>
      </w:r>
      <w:r>
        <w:rPr>
          <w:spacing w:val="-1"/>
        </w:rPr>
        <w:t> </w:t>
      </w:r>
      <w:r>
        <w:rPr/>
        <w:t>be</w:t>
      </w:r>
      <w:r>
        <w:rPr>
          <w:spacing w:val="-1"/>
        </w:rPr>
        <w:t> </w:t>
      </w:r>
      <w:r>
        <w:rPr/>
        <w:t>relatively</w:t>
      </w:r>
      <w:r>
        <w:rPr>
          <w:spacing w:val="-1"/>
        </w:rPr>
        <w:t> </w:t>
      </w:r>
      <w:r>
        <w:rPr/>
        <w:t>moreimportant.</w:t>
      </w:r>
      <w:r>
        <w:rPr>
          <w:spacing w:val="-1"/>
        </w:rPr>
        <w:t> </w:t>
      </w:r>
      <w:r>
        <w:rPr/>
        <w:t>This presupposes that the degree ofsystematic risk is identicalacross assets in differentcountries; to the extent that it is not, financial integration is notcompleted and local news may continue toinfluence assetprices (Ho, 2009).</w:t>
      </w:r>
    </w:p>
    <w:p>
      <w:pPr>
        <w:pStyle w:val="BodyText"/>
        <w:spacing w:line="480" w:lineRule="auto" w:before="161"/>
        <w:ind w:right="733"/>
        <w:jc w:val="both"/>
      </w:pPr>
      <w:r>
        <w:rPr/>
        <w:t>They are based on thepremise that in a financiallyintegrated area, portfoliodiversification reflects all availableinformation in thesystem. Therefore any neweconomic information from that particulararea has little or no impacton asset prices since all suchpossible outcomes have been factoredin the price</w:t>
      </w:r>
      <w:r>
        <w:rPr>
          <w:spacing w:val="-1"/>
        </w:rPr>
        <w:t> </w:t>
      </w:r>
      <w:r>
        <w:rPr/>
        <w:t>(Jim, 2017). On</w:t>
      </w:r>
      <w:r>
        <w:rPr>
          <w:spacing w:val="-1"/>
        </w:rPr>
        <w:t> </w:t>
      </w:r>
      <w:r>
        <w:rPr/>
        <w:t>the</w:t>
      </w:r>
      <w:r>
        <w:rPr>
          <w:spacing w:val="-1"/>
        </w:rPr>
        <w:t> </w:t>
      </w:r>
      <w:r>
        <w:rPr/>
        <w:t>otherhand, common or globalnews should be</w:t>
      </w:r>
      <w:r>
        <w:rPr>
          <w:spacing w:val="-1"/>
        </w:rPr>
        <w:t> </w:t>
      </w:r>
      <w:r>
        <w:rPr/>
        <w:t>of relatively moreimportance since theymight contain materialinformation that has the potential of distortingprices in thearea. Baele, Ferrando, Hordahl, Krylovaand Monnet (2004) argue that the pricemovements of benchmarkasset are good indicatorsof common news. For instance, the10-year German governmentbond yield is a goodbenchmark since it reacts mainly tocommon news in theEuro area instead of purelyGerman factors.</w:t>
      </w:r>
    </w:p>
    <w:p>
      <w:pPr>
        <w:pStyle w:val="BodyText"/>
        <w:spacing w:line="480" w:lineRule="auto" w:before="161"/>
        <w:ind w:right="733"/>
        <w:jc w:val="both"/>
      </w:pPr>
      <w:r>
        <w:rPr>
          <w:b/>
        </w:rPr>
        <w:t>Dejure Measures: </w:t>
      </w:r>
      <w:r>
        <w:rPr/>
        <w:t>These measures offinancial integration seek tomeasure the presence or absence ofgovernment restrictions oncapitals flows in aneconomy (Kizito &amp; Hooi, 2019). That is, legal restrictionsor controls that tend toimpede cross-border capitalflows. The most common used proxyof capital controls is theIMF’s Annual Reporton Exchange</w:t>
      </w:r>
      <w:r>
        <w:rPr>
          <w:spacing w:val="40"/>
        </w:rPr>
        <w:t> </w:t>
      </w:r>
      <w:r>
        <w:rPr/>
        <w:t>Arrangements and ExchangeRestrictions (AREAER) (Edison, Levine, Ricci &amp; Slok, 2002). The</w:t>
      </w:r>
      <w:r>
        <w:rPr>
          <w:spacing w:val="-1"/>
        </w:rPr>
        <w:t> </w:t>
      </w:r>
      <w:r>
        <w:rPr/>
        <w:t>IMF on anannual basis publishes a</w:t>
      </w:r>
      <w:r>
        <w:rPr>
          <w:spacing w:val="-1"/>
        </w:rPr>
        <w:t> </w:t>
      </w:r>
      <w:r>
        <w:rPr/>
        <w:t>reporton the</w:t>
      </w:r>
      <w:r>
        <w:rPr>
          <w:spacing w:val="-1"/>
        </w:rPr>
        <w:t> </w:t>
      </w:r>
      <w:r>
        <w:rPr/>
        <w:t>level of restrictions acountry imposes on financial transactions withthe rest of theworld. The IMF’s AREAER is oftenexpressed in a binary</w:t>
      </w:r>
      <w:r>
        <w:rPr>
          <w:spacing w:val="45"/>
        </w:rPr>
        <w:t> </w:t>
      </w:r>
      <w:r>
        <w:rPr/>
        <w:t>(0/1)</w:t>
      </w:r>
      <w:r>
        <w:rPr>
          <w:spacing w:val="45"/>
        </w:rPr>
        <w:t> </w:t>
      </w:r>
      <w:r>
        <w:rPr/>
        <w:t>measureof</w:t>
      </w:r>
      <w:r>
        <w:rPr>
          <w:spacing w:val="43"/>
        </w:rPr>
        <w:t> </w:t>
      </w:r>
      <w:r>
        <w:rPr/>
        <w:t>capital</w:t>
      </w:r>
      <w:r>
        <w:rPr>
          <w:spacing w:val="45"/>
        </w:rPr>
        <w:t> </w:t>
      </w:r>
      <w:r>
        <w:rPr/>
        <w:t>accountopenness,</w:t>
      </w:r>
      <w:r>
        <w:rPr>
          <w:spacing w:val="45"/>
        </w:rPr>
        <w:t> </w:t>
      </w:r>
      <w:r>
        <w:rPr/>
        <w:t>where</w:t>
      </w:r>
      <w:r>
        <w:rPr>
          <w:spacing w:val="45"/>
        </w:rPr>
        <w:t> </w:t>
      </w:r>
      <w:r>
        <w:rPr/>
        <w:t>1</w:t>
      </w:r>
      <w:r>
        <w:rPr>
          <w:spacing w:val="45"/>
        </w:rPr>
        <w:t> </w:t>
      </w:r>
      <w:r>
        <w:rPr/>
        <w:t>represents</w:t>
      </w:r>
      <w:r>
        <w:rPr>
          <w:spacing w:val="43"/>
        </w:rPr>
        <w:t> </w:t>
      </w:r>
      <w:r>
        <w:rPr/>
        <w:t>thepresence</w:t>
      </w:r>
      <w:r>
        <w:rPr>
          <w:spacing w:val="44"/>
        </w:rPr>
        <w:t> </w:t>
      </w:r>
      <w:r>
        <w:rPr/>
        <w:t>of</w:t>
      </w:r>
      <w:r>
        <w:rPr>
          <w:spacing w:val="45"/>
        </w:rPr>
        <w:t> </w:t>
      </w:r>
      <w:r>
        <w:rPr>
          <w:spacing w:val="-2"/>
        </w:rPr>
        <w:t>legal</w:t>
      </w:r>
    </w:p>
    <w:p>
      <w:pPr>
        <w:spacing w:after="0" w:line="480" w:lineRule="auto"/>
        <w:jc w:val="both"/>
        <w:sectPr>
          <w:pgSz w:w="12240" w:h="15840"/>
          <w:pgMar w:header="0" w:footer="1012" w:top="1380" w:bottom="1200" w:left="1220" w:right="700"/>
        </w:sectPr>
      </w:pPr>
    </w:p>
    <w:p>
      <w:pPr>
        <w:pStyle w:val="BodyText"/>
        <w:spacing w:line="480" w:lineRule="auto" w:before="60"/>
        <w:ind w:right="738"/>
        <w:jc w:val="both"/>
      </w:pPr>
      <w:r>
        <w:rPr/>
        <w:t>restrictionsand 0, otherwise. Although the dejuremeasure is an official measureof capital controls andrestrictions, it is leastpreferred due to itsshortcomings (Kose, Prasad &amp; Taylor, </w:t>
      </w:r>
      <w:r>
        <w:rPr>
          <w:spacing w:val="-2"/>
        </w:rPr>
        <w:t>2009).</w:t>
      </w:r>
    </w:p>
    <w:p>
      <w:pPr>
        <w:pStyle w:val="BodyText"/>
        <w:spacing w:line="480" w:lineRule="auto" w:before="161"/>
        <w:ind w:right="736"/>
        <w:jc w:val="both"/>
      </w:pPr>
      <w:r>
        <w:rPr/>
        <mc:AlternateContent>
          <mc:Choice Requires="wps">
            <w:drawing>
              <wp:anchor distT="0" distB="0" distL="0" distR="0" allowOverlap="1" layoutInCell="1" locked="0" behindDoc="1" simplePos="0" relativeHeight="478037504">
                <wp:simplePos x="0" y="0"/>
                <wp:positionH relativeFrom="page">
                  <wp:posOffset>950112</wp:posOffset>
                </wp:positionH>
                <wp:positionV relativeFrom="paragraph">
                  <wp:posOffset>187671</wp:posOffset>
                </wp:positionV>
                <wp:extent cx="5505450" cy="5661025"/>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4.777295pt;width:433.5pt;height:445.75pt;mso-position-horizontal-relative:page;mso-position-vertical-relative:paragraph;z-index:-25278976" id="docshape72" coordorigin="1496,296" coordsize="8670,8915" path="m2562,9015l1691,8144,1496,8339,2367,9210,2562,9015xm3154,8339l3153,8300,3148,8257,3139,8213,3125,8169,3106,8126,3083,8082,3055,8040,3025,7999,2991,7959,2954,7920,2435,7400,2241,7595,2772,8126,2805,8162,2829,8198,2846,8232,2856,8267,2858,8299,2851,8330,2837,8358,2816,8385,2790,8406,2761,8420,2730,8426,2697,8424,2663,8414,2628,8398,2593,8373,2557,8342,2026,7810,1831,8004,2351,8523,2385,8556,2424,8588,2468,8620,2516,8653,2548,8672,2583,8687,2620,8701,2658,8711,2697,8719,2733,8723,2767,8723,2800,8720,2831,8713,2863,8701,2895,8685,2926,8664,2957,8641,2985,8618,3011,8595,3035,8573,3071,8532,3102,8492,3125,8450,3142,8408,3150,8375,3154,8339xm3882,7556l3876,7492,3860,7426,3834,7360,3806,7305,3771,7249,3728,7192,3678,7133,3661,7114,3621,7072,3597,7050,3597,7544,3592,7584,3577,7621,3551,7654,3518,7679,3481,7694,3441,7699,3396,7693,3347,7674,3294,7643,3235,7598,3171,7539,3112,7475,3066,7416,3035,7361,3016,7312,3010,7268,3014,7228,3029,7192,3053,7160,3086,7134,3122,7119,3163,7114,3207,7119,3255,7136,3307,7166,3363,7208,3423,7263,3488,7333,3538,7396,3572,7452,3591,7500,3597,7544,3597,7050,3551,7007,3482,6952,3413,6907,3344,6872,3276,6846,3209,6830,3130,6824,3055,6834,2983,6860,2914,6900,2850,6956,2796,7019,2756,7087,2732,7159,2723,7234,2729,7314,2746,7382,2772,7451,2808,7521,2854,7591,2910,7661,2976,7732,3036,7789,3096,7839,3156,7881,3215,7916,3273,7943,3344,7967,3411,7981,3475,7984,3535,7978,3593,7962,3649,7935,3705,7897,3758,7849,3805,7795,3841,7739,3858,7699,3866,7680,3879,7619,3882,7556xm4153,6976l3966,6789,3712,7044,3899,7231,4153,6976xm4664,6914l3793,6043,3598,6238,4469,7109,4664,6914xm4998,6580l4675,6256,4781,6150,4832,6090,4837,6080,4866,6028,4883,5965,4882,5900,4866,5835,4843,5784,4836,5769,4792,5703,4733,5637,4670,5580,4607,5537,4598,5532,4598,5926,4597,5951,4587,5977,4570,6004,4546,6032,4498,6080,4304,5885,4359,5830,4386,5807,4412,5791,4438,5784,4462,5784,4486,5791,4509,5801,4531,5815,4552,5834,4570,5855,4584,5878,4593,5901,4598,5926,4598,5532,4544,5507,4483,5491,4423,5490,4365,5505,4309,5535,4255,5580,3931,5904,4803,6775,4998,6580xm5788,5790l5132,5134,5330,4935,5115,4720,4524,5312,4739,5527,4937,5328,5593,5984,5788,5790xm6423,5154l5767,4498,5966,4300,5751,4085,5159,4676,5374,4891,5573,4693,6229,5349,6423,5154xm7157,4281l7151,4217,7135,4151,7109,4085,7081,4030,7046,3974,7003,3917,6953,3858,6935,3839,6896,3798,6872,3775,6872,4269,6867,4309,6851,4346,6825,4379,6793,4405,6756,4420,6716,4424,6671,4418,6622,4399,6569,4368,6510,4323,6446,4264,6387,4200,6341,4141,6309,4086,6291,4037,6285,3993,6289,3953,6304,3917,6328,3885,6361,3860,6397,3844,6438,3839,6482,3844,6530,3862,6582,3891,6638,3934,6698,3989,6763,4058,6813,4121,6847,4177,6866,4226,6872,4269,6872,3775,6826,3732,6756,3677,6687,3632,6619,3597,6551,3571,6483,3555,6405,3550,6329,3560,6258,3585,6189,3625,6125,3681,6071,3744,6031,3812,6007,3884,5998,3959,6004,4039,6021,4107,6047,4176,6083,4246,6129,4316,6184,4386,6250,4457,6311,4514,6371,4564,6431,4606,6490,4641,6548,4668,6619,4692,6686,4706,6750,4710,6810,4703,6868,4687,6924,4660,6979,4622,7033,4574,7080,4520,7116,4464,7133,4424,7141,4405,7154,4344,7157,4281xm8170,3286l8165,3237,8153,3186,8134,3134,8109,3079,8079,3023,8041,2966,7980,2991,7799,3065,7831,3112,7855,3155,7873,3195,7884,3233,7887,3268,7881,3301,7866,3332,7843,3361,7812,3385,7778,3399,7740,3403,7700,3397,7653,3378,7600,3344,7538,3295,7469,3230,7417,3174,7375,3122,7344,3074,7324,3031,7311,2980,7312,2933,7325,2892,7352,2856,7367,2843,7384,2833,7402,2825,7422,2820,7442,2818,7464,2819,7486,2822,7509,2828,7524,2834,7542,2842,7563,2853,7586,2867,7705,2642,7622,2596,7543,2564,7469,2545,7400,2539,7333,2547,7269,2569,7206,2607,7146,2660,7092,2722,7054,2789,7030,2859,7021,2933,7027,3011,7044,3078,7070,3145,7106,3214,7153,3284,7209,3355,7276,3427,7341,3487,7404,3539,7467,3583,7529,3618,7590,3646,7662,3669,7730,3682,7791,3685,7847,3678,7900,3661,7952,3635,8004,3598,8056,3552,8094,3509,8125,3466,8147,3422,8161,3378,8169,3333,8170,3286xm8868,2570l8861,2506,8846,2441,8820,2374,8792,2319,8757,2263,8714,2206,8664,2147,8646,2128,8607,2087,8583,2064,8583,2558,8578,2598,8562,2635,8536,2668,8504,2694,8467,2709,8427,2713,8382,2707,8333,2689,8279,2657,8221,2612,8157,2553,8098,2489,8052,2430,8020,2376,8002,2327,7996,2282,8000,2242,8014,2206,8039,2174,8071,2149,8108,2133,8149,2128,8193,2133,8241,2151,8293,2180,8349,2223,8409,2278,8474,2347,8524,2410,8558,2466,8577,2515,8583,2558,8583,2064,8537,2021,8467,1966,8398,1921,8330,1886,8262,1860,8194,1844,8116,1839,8040,1849,7968,1874,7900,1915,7835,1970,7781,2034,7742,2101,7718,2173,7709,2249,7715,2328,7731,2397,7758,2466,7794,2535,7839,2605,7895,2676,7961,2746,8022,2804,8082,2853,8142,2895,8201,2930,8259,2957,8329,2982,8397,2995,8461,2999,8521,2992,8579,2976,8635,2949,8690,2911,8744,2863,8791,2809,8827,2753,8844,2713,8852,2694,8865,2633,8868,2570xm9348,2229l9025,1906,9132,1799,9182,1739,9188,1730,9216,1678,9233,1615,9233,1550,9217,1484,9194,1433,9187,1418,9142,1353,9084,1287,9020,1229,8957,1186,8948,1182,8948,1575,8947,1601,8938,1627,8921,1654,8896,1682,8849,1730,8654,1535,8710,1480,8737,1456,8763,1441,8788,1433,8812,1434,8836,1440,8859,1451,8881,1465,8902,1484,8920,1505,8934,1528,8943,1551,8948,1575,8948,1182,8895,1157,8833,1141,8773,1140,8715,1155,8659,1185,8605,1230,8282,1554,9153,2425,9348,2229xm10166,1412l9801,1047,9748,897,9593,446,9540,296,9325,511,9353,581,9436,792,9492,932,9422,904,9211,821,9071,765,8854,981,9005,1034,9456,1189,9606,1242,9971,1607,10166,1412xe" filled="true" fillcolor="#c0c0c0" stroked="false">
                <v:path arrowok="t"/>
                <v:fill opacity="32896f" type="solid"/>
                <w10:wrap type="none"/>
              </v:shape>
            </w:pict>
          </mc:Fallback>
        </mc:AlternateContent>
      </w:r>
      <w:r>
        <w:rPr/>
        <w:t>First,</w:t>
      </w:r>
      <w:r>
        <w:rPr>
          <w:spacing w:val="-1"/>
        </w:rPr>
        <w:t> </w:t>
      </w:r>
      <w:r>
        <w:rPr/>
        <w:t>they</w:t>
      </w:r>
      <w:r>
        <w:rPr>
          <w:spacing w:val="-2"/>
        </w:rPr>
        <w:t> </w:t>
      </w:r>
      <w:r>
        <w:rPr/>
        <w:t>do</w:t>
      </w:r>
      <w:r>
        <w:rPr>
          <w:spacing w:val="-1"/>
        </w:rPr>
        <w:t> </w:t>
      </w:r>
      <w:r>
        <w:rPr/>
        <w:t>not</w:t>
      </w:r>
      <w:r>
        <w:rPr>
          <w:spacing w:val="-1"/>
        </w:rPr>
        <w:t> </w:t>
      </w:r>
      <w:r>
        <w:rPr/>
        <w:t>reflectthe</w:t>
      </w:r>
      <w:r>
        <w:rPr>
          <w:spacing w:val="-2"/>
        </w:rPr>
        <w:t> </w:t>
      </w:r>
      <w:r>
        <w:rPr/>
        <w:t>exact</w:t>
      </w:r>
      <w:r>
        <w:rPr>
          <w:spacing w:val="-2"/>
        </w:rPr>
        <w:t> </w:t>
      </w:r>
      <w:r>
        <w:rPr/>
        <w:t>degree</w:t>
      </w:r>
      <w:r>
        <w:rPr>
          <w:spacing w:val="-2"/>
        </w:rPr>
        <w:t> </w:t>
      </w:r>
      <w:r>
        <w:rPr/>
        <w:t>of</w:t>
      </w:r>
      <w:r>
        <w:rPr>
          <w:spacing w:val="-1"/>
        </w:rPr>
        <w:t> </w:t>
      </w:r>
      <w:r>
        <w:rPr/>
        <w:t>capitalaccount</w:t>
      </w:r>
      <w:r>
        <w:rPr>
          <w:spacing w:val="-2"/>
        </w:rPr>
        <w:t> </w:t>
      </w:r>
      <w:r>
        <w:rPr/>
        <w:t>openness becausethey</w:t>
      </w:r>
      <w:r>
        <w:rPr>
          <w:spacing w:val="-2"/>
        </w:rPr>
        <w:t> </w:t>
      </w:r>
      <w:r>
        <w:rPr/>
        <w:t>are</w:t>
      </w:r>
      <w:r>
        <w:rPr>
          <w:spacing w:val="-1"/>
        </w:rPr>
        <w:t> </w:t>
      </w:r>
      <w:r>
        <w:rPr/>
        <w:t>partially based on foreign exchangetransactions that may notessentially obstruct capitalflows. Second, they fail to capturethe degree or the level ofeffectiveness of the capital controlsand therefore regarded to besubjective in nature. Third, thesemeasures do not consistentlyreflect the actual degree of aneconomy’s integration into theinternational capital market. For instance,</w:t>
      </w:r>
      <w:r>
        <w:rPr>
          <w:spacing w:val="40"/>
        </w:rPr>
        <w:t> </w:t>
      </w:r>
      <w:r>
        <w:rPr/>
        <w:t>although Chinaretains extensive controls oncapital flows, it has not been able to curbinflows of speculativecapital in recent times (World Bank, 2010). Other examplesof dejure measures of financialintegration are the Chinn-Ito Index, Quinnmeasure and the recentlyconstructed Shindle Index (Kouki &amp; Rezgui, 2017).</w:t>
      </w:r>
    </w:p>
    <w:p>
      <w:pPr>
        <w:pStyle w:val="BodyText"/>
        <w:spacing w:line="480" w:lineRule="auto" w:before="159"/>
        <w:ind w:right="735"/>
        <w:jc w:val="both"/>
      </w:pPr>
      <w:r>
        <w:rPr>
          <w:b/>
        </w:rPr>
        <w:t>Defacto Measures: </w:t>
      </w:r>
      <w:r>
        <w:rPr/>
        <w:t>Defacto measures offinancial integration measure theactual quantity or value of capital thatflows across borders. These measuresof openness appear to be thebest available measure offinancial openness and have beenused extensively in recentempirical studies (Kouki</w:t>
      </w:r>
      <w:r>
        <w:rPr>
          <w:spacing w:val="-1"/>
        </w:rPr>
        <w:t> </w:t>
      </w:r>
      <w:r>
        <w:rPr/>
        <w:t>&amp;</w:t>
      </w:r>
      <w:r>
        <w:rPr>
          <w:spacing w:val="-1"/>
        </w:rPr>
        <w:t> </w:t>
      </w:r>
      <w:r>
        <w:rPr/>
        <w:t>Rezgui,</w:t>
      </w:r>
      <w:r>
        <w:rPr>
          <w:spacing w:val="-1"/>
        </w:rPr>
        <w:t> </w:t>
      </w:r>
      <w:r>
        <w:rPr/>
        <w:t>2017).</w:t>
      </w:r>
      <w:r>
        <w:rPr>
          <w:spacing w:val="-1"/>
        </w:rPr>
        <w:t> </w:t>
      </w:r>
      <w:r>
        <w:rPr/>
        <w:t>The</w:t>
      </w:r>
      <w:r>
        <w:rPr>
          <w:spacing w:val="-2"/>
        </w:rPr>
        <w:t> </w:t>
      </w:r>
      <w:r>
        <w:rPr/>
        <w:t>choice</w:t>
      </w:r>
      <w:r>
        <w:rPr>
          <w:spacing w:val="-2"/>
        </w:rPr>
        <w:t> </w:t>
      </w:r>
      <w:r>
        <w:rPr/>
        <w:t>of</w:t>
      </w:r>
      <w:r>
        <w:rPr>
          <w:spacing w:val="-1"/>
        </w:rPr>
        <w:t> </w:t>
      </w:r>
      <w:r>
        <w:rPr/>
        <w:t>theparticular</w:t>
      </w:r>
      <w:r>
        <w:rPr>
          <w:spacing w:val="-1"/>
        </w:rPr>
        <w:t> </w:t>
      </w:r>
      <w:r>
        <w:rPr/>
        <w:t>defacto</w:t>
      </w:r>
      <w:r>
        <w:rPr>
          <w:spacing w:val="-2"/>
        </w:rPr>
        <w:t> </w:t>
      </w:r>
      <w:r>
        <w:rPr/>
        <w:t>measureof</w:t>
      </w:r>
      <w:r>
        <w:rPr>
          <w:spacing w:val="-1"/>
        </w:rPr>
        <w:t> </w:t>
      </w:r>
      <w:r>
        <w:rPr/>
        <w:t>openness one chooses to use depends on theprecise questionone is interested in. Gross flows (the sum of total inflows and total outflows) in general areless volatile and provide amore insightful picture of integrationas it captures two-wayflows (Kose, Prasad &amp; Taylor, 2009). Other authors prefer theuse of net flows (the difference betweeninflows and outflows). However, Kose, Prasad andTaylor (2009) argue that annualgross flows tend to be morevolatile and</w:t>
      </w:r>
      <w:r>
        <w:rPr>
          <w:spacing w:val="40"/>
        </w:rPr>
        <w:t> </w:t>
      </w:r>
      <w:r>
        <w:rPr/>
        <w:t>have</w:t>
      </w:r>
      <w:r>
        <w:rPr>
          <w:spacing w:val="-3"/>
        </w:rPr>
        <w:t> </w:t>
      </w:r>
      <w:r>
        <w:rPr/>
        <w:t>measurementerrors.</w:t>
      </w:r>
      <w:r>
        <w:rPr>
          <w:spacing w:val="-1"/>
        </w:rPr>
        <w:t> </w:t>
      </w:r>
      <w:r>
        <w:rPr/>
        <w:t>To</w:t>
      </w:r>
      <w:r>
        <w:rPr>
          <w:spacing w:val="-2"/>
        </w:rPr>
        <w:t> </w:t>
      </w:r>
      <w:r>
        <w:rPr/>
        <w:t>mitigate theseproblems,</w:t>
      </w:r>
      <w:r>
        <w:rPr>
          <w:spacing w:val="-2"/>
        </w:rPr>
        <w:t> </w:t>
      </w:r>
      <w:r>
        <w:rPr/>
        <w:t>they</w:t>
      </w:r>
      <w:r>
        <w:rPr>
          <w:spacing w:val="-1"/>
        </w:rPr>
        <w:t> </w:t>
      </w:r>
      <w:r>
        <w:rPr/>
        <w:t>suggest</w:t>
      </w:r>
      <w:r>
        <w:rPr>
          <w:spacing w:val="-2"/>
        </w:rPr>
        <w:t> </w:t>
      </w:r>
      <w:r>
        <w:rPr/>
        <w:t>the</w:t>
      </w:r>
      <w:r>
        <w:rPr>
          <w:spacing w:val="1"/>
        </w:rPr>
        <w:t> </w:t>
      </w:r>
      <w:r>
        <w:rPr/>
        <w:t>use</w:t>
      </w:r>
      <w:r>
        <w:rPr>
          <w:spacing w:val="-2"/>
        </w:rPr>
        <w:t> </w:t>
      </w:r>
      <w:r>
        <w:rPr/>
        <w:t>of thesum</w:t>
      </w:r>
      <w:r>
        <w:rPr>
          <w:spacing w:val="1"/>
        </w:rPr>
        <w:t> </w:t>
      </w:r>
      <w:r>
        <w:rPr/>
        <w:t>of</w:t>
      </w:r>
      <w:r>
        <w:rPr>
          <w:spacing w:val="-1"/>
        </w:rPr>
        <w:t> </w:t>
      </w:r>
      <w:r>
        <w:rPr>
          <w:spacing w:val="-2"/>
        </w:rPr>
        <w:t>gross</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38016">
                <wp:simplePos x="0" y="0"/>
                <wp:positionH relativeFrom="page">
                  <wp:posOffset>950112</wp:posOffset>
                </wp:positionH>
                <wp:positionV relativeFrom="paragraph">
                  <wp:posOffset>1321053</wp:posOffset>
                </wp:positionV>
                <wp:extent cx="5505450" cy="5661025"/>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78464" id="docshape73"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stocks offoreign assets andliabilities as a ratio toGDP. These notwithstanding, defacto measures also havesome drawbacks. For instance, defactomeasures are most likelyto be endogenous in growthregression, making the issueof causal relationship questionable. Example of defactomeasures are stock ofcapital flows, stock of capitalinflows, and net</w:t>
      </w:r>
      <w:r>
        <w:rPr>
          <w:spacing w:val="40"/>
        </w:rPr>
        <w:t> </w:t>
      </w:r>
      <w:r>
        <w:rPr/>
        <w:t>capital inflows oroutflows (Muthoga, 2012). While both thedejure and defacto measures are important, thedefacto measures give a betterpicture of the extent of acountry’s integration into global financialmarkets. For many empiricalstudies this measure is morepreferred (Edison, LevineRicci &amp; Slok, 2002; Kizito &amp; Hooi, 2019).</w:t>
      </w:r>
    </w:p>
    <w:p>
      <w:pPr>
        <w:pStyle w:val="BodyText"/>
        <w:spacing w:line="480" w:lineRule="auto" w:before="162"/>
        <w:ind w:right="733"/>
        <w:jc w:val="both"/>
      </w:pPr>
      <w:r>
        <w:rPr/>
        <w:t>Schäfer (2009) presents that theclassification of integration indicatorscan be geared to the type of datacollected or to theinformation revealed. With this approachindicators are calculated eitheron the basis of statisticaldata on actual businessactivities (e.g. interest rate statistics) or by meansof surveys of banksand consumers behaviour andintentions. For example, surveyscan be used, to learn about thebanks international strategiesor about consumer attitudestowards foreign providers. With regard to thetype of information mined, the indicatorscan be either qualitativeor quantitative. The lattercategory, in turn, can be volume-based orprice-based. Indicators canalso be classified by theircontribution to the measurementof integration as specifiedin the three definitionsof the term givenabove. Accordingly there are:</w:t>
      </w:r>
    </w:p>
    <w:p>
      <w:pPr>
        <w:pStyle w:val="ListParagraph"/>
        <w:numPr>
          <w:ilvl w:val="0"/>
          <w:numId w:val="18"/>
        </w:numPr>
        <w:tabs>
          <w:tab w:pos="580" w:val="left" w:leader="none"/>
        </w:tabs>
        <w:spacing w:line="470" w:lineRule="auto" w:before="162" w:after="0"/>
        <w:ind w:left="580" w:right="738" w:hanging="360"/>
        <w:jc w:val="both"/>
        <w:rPr>
          <w:sz w:val="25"/>
        </w:rPr>
      </w:pPr>
      <w:r>
        <w:rPr>
          <w:sz w:val="25"/>
        </w:rPr>
        <w:t>Indicators depictingthe extent to which theeconomic objectives associated withthe integration processhave been met. In otherwords, what progress hasactually been made</w:t>
      </w:r>
      <w:r>
        <w:rPr>
          <w:spacing w:val="40"/>
          <w:sz w:val="25"/>
        </w:rPr>
        <w:t> </w:t>
      </w:r>
      <w:r>
        <w:rPr>
          <w:sz w:val="25"/>
        </w:rPr>
        <w:t>on achievingintegration.</w:t>
      </w:r>
    </w:p>
    <w:p>
      <w:pPr>
        <w:spacing w:after="0" w:line="470" w:lineRule="auto"/>
        <w:jc w:val="both"/>
        <w:rPr>
          <w:sz w:val="25"/>
        </w:rPr>
        <w:sectPr>
          <w:pgSz w:w="12240" w:h="15840"/>
          <w:pgMar w:header="0" w:footer="1012" w:top="1380" w:bottom="1200" w:left="1220" w:right="700"/>
        </w:sectPr>
      </w:pPr>
    </w:p>
    <w:p>
      <w:pPr>
        <w:pStyle w:val="ListParagraph"/>
        <w:numPr>
          <w:ilvl w:val="0"/>
          <w:numId w:val="18"/>
        </w:numPr>
        <w:tabs>
          <w:tab w:pos="580" w:val="left" w:leader="none"/>
        </w:tabs>
        <w:spacing w:line="463" w:lineRule="auto" w:before="81" w:after="0"/>
        <w:ind w:left="580" w:right="735" w:hanging="360"/>
        <w:jc w:val="both"/>
        <w:rPr>
          <w:sz w:val="25"/>
        </w:rPr>
      </w:pPr>
      <w:r>
        <w:rPr>
          <w:sz w:val="25"/>
        </w:rPr>
        <w:t>Indicators depictingwhether banks and consumersperceive the uniform internalmarket as a whole as theirdomestic market.</w:t>
      </w:r>
    </w:p>
    <w:p>
      <w:pPr>
        <w:pStyle w:val="ListParagraph"/>
        <w:numPr>
          <w:ilvl w:val="0"/>
          <w:numId w:val="18"/>
        </w:numPr>
        <w:tabs>
          <w:tab w:pos="580" w:val="left" w:leader="none"/>
        </w:tabs>
        <w:spacing w:line="470" w:lineRule="auto" w:before="23" w:after="0"/>
        <w:ind w:left="580" w:right="738" w:hanging="360"/>
        <w:jc w:val="both"/>
        <w:rPr>
          <w:sz w:val="25"/>
        </w:rPr>
      </w:pPr>
      <w:r>
        <w:rPr/>
        <mc:AlternateContent>
          <mc:Choice Requires="wps">
            <w:drawing>
              <wp:anchor distT="0" distB="0" distL="0" distR="0" allowOverlap="1" layoutInCell="1" locked="0" behindDoc="1" simplePos="0" relativeHeight="478038528">
                <wp:simplePos x="0" y="0"/>
                <wp:positionH relativeFrom="page">
                  <wp:posOffset>950112</wp:posOffset>
                </wp:positionH>
                <wp:positionV relativeFrom="paragraph">
                  <wp:posOffset>554648</wp:posOffset>
                </wp:positionV>
                <wp:extent cx="5505450" cy="566102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673096pt;width:433.5pt;height:445.75pt;mso-position-horizontal-relative:page;mso-position-vertical-relative:paragraph;z-index:-25277952" id="docshape74" coordorigin="1496,873" coordsize="8670,8915" path="m2562,9593l1691,8722,1496,8917,2367,9788,2562,9593xm3154,8917l3153,8878,3148,8835,3139,8791,3125,8747,3106,8704,3083,8660,3055,8618,3025,8577,2991,8537,2954,8498,2435,7978,2241,8172,2772,8704,2805,8740,2829,8776,2846,8810,2856,8844,2858,8877,2851,8908,2837,8936,2816,8962,2790,8984,2761,8998,2730,9004,2697,9002,2663,8992,2628,8976,2593,8951,2557,8919,2026,8388,1831,8582,2351,9101,2385,9133,2424,9166,2468,9198,2516,9231,2548,9249,2583,9265,2620,9278,2658,9289,2697,9297,2733,9301,2767,9301,2800,9298,2831,9291,2863,9279,2895,9263,2926,9242,2957,9219,2985,9196,3011,9173,3035,9150,3071,9110,3102,9070,3125,9028,3142,8986,3150,8953,3154,8917xm3882,8134l3876,8070,3860,8004,3834,7937,3806,7883,3771,7827,3728,7769,3678,7710,3661,7692,3621,7650,3597,7628,3597,8122,3592,8162,3577,8199,3551,8232,3518,8257,3481,8272,3441,8277,3396,8270,3347,8252,3294,8221,3235,8176,3171,8116,3112,8053,3066,7993,3035,7939,3016,7890,3010,7846,3014,7805,3029,7769,3053,7738,3086,7712,3122,7697,3163,7692,3207,7697,3255,7714,3307,7744,3363,7786,3423,7841,3488,7911,3538,7974,3572,8030,3591,8078,3597,8122,3597,7628,3551,7585,3482,7530,3413,7485,3344,7449,3276,7424,3209,7408,3130,7402,3055,7412,2983,7438,2914,7478,2850,7534,2796,7597,2756,7665,2732,7737,2723,7812,2729,7892,2746,7960,2772,8029,2808,8099,2854,8169,2910,8239,2976,8310,3036,8367,3096,8417,3156,8459,3215,8494,3273,8521,3344,8545,3411,8559,3475,8562,3535,8556,3593,8540,3649,8513,3705,8475,3758,8427,3805,8373,3841,8317,3858,8277,3866,8258,3879,8197,3882,8134xm4153,7554l3966,7367,3712,7621,3899,7808,4153,7554xm4664,7492l3793,6620,3598,6815,4469,7687,4664,7492xm4998,7157l4675,6834,4781,6727,4832,6668,4837,6658,4866,6606,4883,6543,4882,6478,4866,6412,4843,6362,4836,6347,4792,6281,4733,6215,4670,6158,4607,6115,4598,6110,4598,6503,4597,6529,4587,6555,4570,6582,4546,6610,4498,6658,4304,6463,4359,6408,4386,6384,4412,6369,4438,6362,4462,6362,4486,6369,4509,6379,4531,6393,4552,6412,4570,6433,4584,6456,4593,6479,4598,6503,4598,6110,4544,6085,4483,6069,4423,6068,4365,6083,4309,6113,4255,6158,3931,6482,4803,7353,4998,7157xm5788,6368l5132,5712,5330,5513,5115,5298,4524,5890,4739,6105,4937,5906,5593,6562,5788,6368xm6423,5732l5767,5076,5966,4878,5751,4663,5159,5254,5374,5469,5573,5271,6229,5927,6423,5732xm7157,4859l7151,4795,7135,4729,7109,4662,7081,4608,7046,4552,7003,4495,6953,4436,6935,4417,6896,4375,6872,4353,6872,4847,6867,4887,6851,4924,6825,4957,6793,4982,6756,4997,6716,5002,6671,4995,6622,4977,6569,4946,6510,4901,6446,4842,6387,4778,6341,4719,6309,4664,6291,4615,6285,4571,6289,4531,6304,4495,6328,4463,6361,4438,6397,4422,6438,4417,6482,4422,6530,4439,6582,4469,6638,4511,6698,4566,6763,4636,6813,4699,6847,4755,6866,4803,6872,4847,6872,4353,6826,4310,6756,4255,6687,4210,6619,4175,6551,4149,6483,4133,6405,4128,6329,4138,6258,4163,6189,4203,6125,4259,6071,4322,6031,4390,6007,4462,5998,4537,6004,4617,6021,4685,6047,4754,6083,4824,6129,4894,6184,4964,6250,5035,6311,5092,6371,5142,6431,5184,6490,5219,6548,5246,6619,5270,6686,5284,6750,5288,6810,5281,6868,5265,6924,5238,6979,5200,7033,5152,7080,5098,7116,5042,7133,5002,7141,4983,7154,4922,7157,4859xm8170,3864l8165,3815,8153,3764,8134,3711,8109,3657,8079,3601,8041,3544,7980,3569,7799,3643,7831,3690,7855,3733,7873,3773,7884,3810,7887,3846,7881,3879,7866,3910,7843,3939,7812,3962,7778,3977,7740,3981,7700,3974,7653,3956,7600,3922,7538,3872,7469,3808,7417,3751,7375,3699,7344,3652,7324,3609,7311,3558,7312,3511,7325,3470,7352,3434,7367,3421,7384,3411,7402,3403,7422,3398,7442,3396,7464,3396,7486,3400,7509,3406,7524,3411,7542,3420,7563,3431,7586,3445,7705,3220,7622,3174,7543,3142,7469,3123,7400,3117,7333,3124,7269,3147,7206,3185,7146,3237,7092,3300,7054,3367,7030,3437,7021,3511,7027,3588,7044,3655,7070,3723,7106,3792,7153,3862,7209,3933,7276,4004,7341,4065,7404,4117,7467,4161,7529,4196,7590,4224,7662,4247,7730,4260,7791,4263,7847,4256,7900,4239,7952,4213,8004,4176,8056,4129,8094,4087,8125,4044,8147,4000,8161,3956,8169,3911,8170,3864xm8868,3148l8861,3084,8846,3019,8820,2952,8792,2897,8757,2841,8714,2784,8664,2725,8646,2706,8607,2664,8583,2642,8583,3136,8578,3176,8562,3213,8536,3246,8504,3272,8467,3287,8427,3291,8382,3285,8333,3267,8279,3235,8221,3190,8157,3131,8098,3067,8052,3008,8020,2954,8002,2904,7996,2860,8000,2820,8014,2784,8039,2752,8071,2727,8108,2711,8149,2706,8193,2711,8241,2728,8293,2758,8349,2800,8409,2855,8474,2925,8524,2988,8558,3044,8577,3093,8583,3136,8583,2642,8537,2599,8467,2544,8398,2499,8330,2464,8262,2438,8194,2422,8116,2417,8040,2427,7968,2452,7900,2493,7835,2548,7781,2612,7742,2679,7718,2751,7709,2827,7715,2906,7731,2975,7758,3044,7794,3113,7839,3183,7895,3253,7961,3324,8022,3381,8082,3431,8142,3473,8201,3508,8259,3535,8329,3560,8397,3573,8461,3577,8521,3570,8579,3554,8635,3527,8690,3489,8744,3441,8791,3387,8827,3331,8844,3291,8852,3272,8865,3211,8868,3148xm9348,2807l9025,2484,9132,2377,9182,2317,9188,2307,9216,2256,9233,2192,9233,2128,9217,2062,9194,2011,9187,1996,9142,1930,9084,1864,9020,1807,8957,1764,8948,1760,8948,2153,8947,2179,8938,2205,8921,2232,8896,2260,8849,2307,8654,2113,8710,2058,8737,2034,8763,2019,8788,2011,8812,2012,8836,2018,8859,2029,8881,2043,8902,2062,8920,2083,8934,2106,8943,2129,8948,2153,8948,1760,8895,1735,8833,1719,8773,1718,8715,1733,8659,1763,8605,1808,8282,2131,9153,3003,9348,2807xm10166,1989l9801,1625,9748,1475,9593,1023,9540,873,9325,1089,9353,1159,9436,1370,9492,1510,9422,1482,9211,1399,9071,1343,8854,1559,9005,1612,9456,1767,9606,1820,9971,2184,10166,1989xe" filled="true" fillcolor="#c0c0c0" stroked="false">
                <v:path arrowok="t"/>
                <v:fill opacity="32896f" type="solid"/>
                <w10:wrap type="none"/>
              </v:shape>
            </w:pict>
          </mc:Fallback>
        </mc:AlternateContent>
      </w:r>
      <w:r>
        <w:rPr>
          <w:sz w:val="25"/>
        </w:rPr>
        <w:t>Indicators depicting theextent to which the legalprerequisites are in place forbanks and consumers to take apan-European view, i.e. how far theartificial hurdles havebeen </w:t>
      </w:r>
      <w:r>
        <w:rPr>
          <w:spacing w:val="-2"/>
          <w:sz w:val="25"/>
        </w:rPr>
        <w:t>removed.</w:t>
      </w:r>
    </w:p>
    <w:p>
      <w:pPr>
        <w:pStyle w:val="BodyText"/>
        <w:spacing w:line="480" w:lineRule="auto" w:before="174"/>
        <w:ind w:right="736"/>
        <w:jc w:val="both"/>
      </w:pPr>
      <w:r>
        <w:rPr/>
        <w:t>Two problems mayarise with each of the threegroups of indicators. Firstly, it may bedifficult to correctly measure thevariables entered into therespective indicator owing tolimited data availability. Secondly, if this is not anissue, it will then benecessary to check whetherthe calculated indicatorpermits constructive statementson the status of retail bankingmarket integration (Schäfer, 2009).</w:t>
      </w:r>
    </w:p>
    <w:p>
      <w:pPr>
        <w:pStyle w:val="BodyText"/>
        <w:spacing w:before="160"/>
        <w:ind w:left="0"/>
      </w:pPr>
    </w:p>
    <w:p>
      <w:pPr>
        <w:pStyle w:val="Heading2"/>
        <w:numPr>
          <w:ilvl w:val="2"/>
          <w:numId w:val="16"/>
        </w:numPr>
        <w:tabs>
          <w:tab w:pos="780" w:val="left" w:leader="none"/>
        </w:tabs>
        <w:spacing w:line="240" w:lineRule="auto" w:before="0" w:after="0"/>
        <w:ind w:left="780" w:right="0" w:hanging="560"/>
        <w:jc w:val="both"/>
      </w:pPr>
      <w:bookmarkStart w:name="_TOC_250052" w:id="23"/>
      <w:r>
        <w:rPr/>
        <w:t>Foreign</w:t>
      </w:r>
      <w:r>
        <w:rPr>
          <w:spacing w:val="-10"/>
        </w:rPr>
        <w:t> </w:t>
      </w:r>
      <w:r>
        <w:rPr/>
        <w:t>Direct</w:t>
      </w:r>
      <w:r>
        <w:rPr>
          <w:spacing w:val="-9"/>
        </w:rPr>
        <w:t> </w:t>
      </w:r>
      <w:r>
        <w:rPr/>
        <w:t>Investment</w:t>
      </w:r>
      <w:r>
        <w:rPr>
          <w:spacing w:val="-8"/>
        </w:rPr>
        <w:t> </w:t>
      </w:r>
      <w:bookmarkEnd w:id="23"/>
      <w:r>
        <w:rPr>
          <w:spacing w:val="-2"/>
        </w:rPr>
        <w:t>Inflow</w:t>
      </w:r>
    </w:p>
    <w:p>
      <w:pPr>
        <w:pStyle w:val="BodyText"/>
        <w:spacing w:before="160"/>
        <w:ind w:left="0"/>
        <w:rPr>
          <w:b/>
        </w:rPr>
      </w:pPr>
    </w:p>
    <w:p>
      <w:pPr>
        <w:pStyle w:val="BodyText"/>
        <w:spacing w:line="480" w:lineRule="auto"/>
        <w:ind w:right="733"/>
        <w:jc w:val="both"/>
      </w:pPr>
      <w:r>
        <w:rPr/>
        <w:t>The United States Departmentof Commerce defines FDI to include allforeign business organizations</w:t>
      </w:r>
      <w:r>
        <w:rPr>
          <w:spacing w:val="18"/>
        </w:rPr>
        <w:t> </w:t>
      </w:r>
      <w:r>
        <w:rPr/>
        <w:t>in</w:t>
      </w:r>
      <w:r>
        <w:rPr>
          <w:spacing w:val="17"/>
        </w:rPr>
        <w:t> </w:t>
      </w:r>
      <w:r>
        <w:rPr/>
        <w:t>which</w:t>
      </w:r>
      <w:r>
        <w:rPr>
          <w:spacing w:val="16"/>
        </w:rPr>
        <w:t> </w:t>
      </w:r>
      <w:r>
        <w:rPr/>
        <w:t>a</w:t>
      </w:r>
      <w:r>
        <w:rPr>
          <w:spacing w:val="17"/>
        </w:rPr>
        <w:t> </w:t>
      </w:r>
      <w:r>
        <w:rPr/>
        <w:t>U.S</w:t>
      </w:r>
      <w:r>
        <w:rPr>
          <w:spacing w:val="16"/>
        </w:rPr>
        <w:t> </w:t>
      </w:r>
      <w:r>
        <w:rPr/>
        <w:t>citizen,</w:t>
      </w:r>
      <w:r>
        <w:rPr>
          <w:spacing w:val="17"/>
        </w:rPr>
        <w:t> </w:t>
      </w:r>
      <w:r>
        <w:rPr/>
        <w:t>organizationor</w:t>
      </w:r>
      <w:r>
        <w:rPr>
          <w:spacing w:val="17"/>
        </w:rPr>
        <w:t> </w:t>
      </w:r>
      <w:r>
        <w:rPr/>
        <w:t>affiliated</w:t>
      </w:r>
      <w:r>
        <w:rPr>
          <w:spacing w:val="17"/>
        </w:rPr>
        <w:t> </w:t>
      </w:r>
      <w:r>
        <w:rPr/>
        <w:t>group</w:t>
      </w:r>
      <w:r>
        <w:rPr>
          <w:spacing w:val="17"/>
        </w:rPr>
        <w:t> </w:t>
      </w:r>
      <w:r>
        <w:rPr/>
        <w:t>owns</w:t>
      </w:r>
      <w:r>
        <w:rPr>
          <w:spacing w:val="17"/>
        </w:rPr>
        <w:t> </w:t>
      </w:r>
      <w:r>
        <w:rPr/>
        <w:t>an</w:t>
      </w:r>
      <w:r>
        <w:rPr>
          <w:spacing w:val="17"/>
        </w:rPr>
        <w:t> </w:t>
      </w:r>
      <w:r>
        <w:rPr/>
        <w:t>interestof</w:t>
      </w:r>
      <w:r>
        <w:rPr>
          <w:spacing w:val="17"/>
        </w:rPr>
        <w:t> </w:t>
      </w:r>
      <w:r>
        <w:rPr>
          <w:spacing w:val="-5"/>
        </w:rPr>
        <w:t>ten</w:t>
      </w:r>
    </w:p>
    <w:p>
      <w:pPr>
        <w:pStyle w:val="BodyText"/>
        <w:spacing w:line="480" w:lineRule="auto"/>
        <w:ind w:right="735"/>
        <w:jc w:val="both"/>
      </w:pPr>
      <w:r>
        <w:rPr/>
        <w:t>(10) percentor more’. The UnitedNations defines foreigndirect investment as ‘investment in enterpriselocated in one countryand effectively being controlledby residents of another country’. This definition does notonly consider FDI as being mereinvestment, it also stresses on</w:t>
      </w:r>
      <w:r>
        <w:rPr>
          <w:spacing w:val="-3"/>
        </w:rPr>
        <w:t> </w:t>
      </w:r>
      <w:r>
        <w:rPr/>
        <w:t>the</w:t>
      </w:r>
      <w:r>
        <w:rPr>
          <w:spacing w:val="-3"/>
        </w:rPr>
        <w:t> </w:t>
      </w:r>
      <w:r>
        <w:rPr/>
        <w:t>statusof</w:t>
      </w:r>
      <w:r>
        <w:rPr>
          <w:spacing w:val="-2"/>
        </w:rPr>
        <w:t> </w:t>
      </w:r>
      <w:r>
        <w:rPr/>
        <w:t>corporate</w:t>
      </w:r>
      <w:r>
        <w:rPr>
          <w:spacing w:val="-3"/>
        </w:rPr>
        <w:t> </w:t>
      </w:r>
      <w:r>
        <w:rPr/>
        <w:t>control.</w:t>
      </w:r>
      <w:r>
        <w:rPr>
          <w:spacing w:val="40"/>
        </w:rPr>
        <w:t> </w:t>
      </w:r>
      <w:r>
        <w:rPr/>
        <w:t>Goldberg</w:t>
      </w:r>
      <w:r>
        <w:rPr>
          <w:spacing w:val="-3"/>
        </w:rPr>
        <w:t> </w:t>
      </w:r>
      <w:r>
        <w:rPr/>
        <w:t>(2004)</w:t>
      </w:r>
      <w:r>
        <w:rPr>
          <w:spacing w:val="-2"/>
        </w:rPr>
        <w:t> </w:t>
      </w:r>
      <w:r>
        <w:rPr/>
        <w:t>definesForeign</w:t>
      </w:r>
      <w:r>
        <w:rPr>
          <w:spacing w:val="-3"/>
        </w:rPr>
        <w:t> </w:t>
      </w:r>
      <w:r>
        <w:rPr/>
        <w:t>direct</w:t>
      </w:r>
      <w:r>
        <w:rPr>
          <w:spacing w:val="-3"/>
        </w:rPr>
        <w:t> </w:t>
      </w:r>
      <w:r>
        <w:rPr/>
        <w:t>investment</w:t>
      </w:r>
      <w:r>
        <w:rPr>
          <w:spacing w:val="-1"/>
        </w:rPr>
        <w:t> </w:t>
      </w:r>
      <w:r>
        <w:rPr/>
        <w:t>(FDI)</w:t>
      </w:r>
      <w:r>
        <w:rPr>
          <w:spacing w:val="-2"/>
        </w:rPr>
        <w:t> </w:t>
      </w:r>
      <w:r>
        <w:rPr/>
        <w:t>as a directinvestment into productionor business in a country byan individual or companyof another country, eitherby buying a company in the targetcountry or by expandingoperations of</w:t>
      </w:r>
      <w:r>
        <w:rPr>
          <w:spacing w:val="52"/>
        </w:rPr>
        <w:t> </w:t>
      </w:r>
      <w:r>
        <w:rPr/>
        <w:t>an</w:t>
      </w:r>
      <w:r>
        <w:rPr>
          <w:spacing w:val="51"/>
        </w:rPr>
        <w:t> </w:t>
      </w:r>
      <w:r>
        <w:rPr/>
        <w:t>existingbusiness</w:t>
      </w:r>
      <w:r>
        <w:rPr>
          <w:spacing w:val="50"/>
        </w:rPr>
        <w:t> </w:t>
      </w:r>
      <w:r>
        <w:rPr/>
        <w:t>in</w:t>
      </w:r>
      <w:r>
        <w:rPr>
          <w:spacing w:val="52"/>
        </w:rPr>
        <w:t> </w:t>
      </w:r>
      <w:r>
        <w:rPr/>
        <w:t>thatcountry.</w:t>
      </w:r>
      <w:r>
        <w:rPr>
          <w:spacing w:val="53"/>
        </w:rPr>
        <w:t> </w:t>
      </w:r>
      <w:r>
        <w:rPr/>
        <w:t>Foreign</w:t>
      </w:r>
      <w:r>
        <w:rPr>
          <w:spacing w:val="52"/>
        </w:rPr>
        <w:t> </w:t>
      </w:r>
      <w:r>
        <w:rPr/>
        <w:t>directinvestment</w:t>
      </w:r>
      <w:r>
        <w:rPr>
          <w:spacing w:val="52"/>
        </w:rPr>
        <w:t> </w:t>
      </w:r>
      <w:r>
        <w:rPr/>
        <w:t>is</w:t>
      </w:r>
      <w:r>
        <w:rPr>
          <w:spacing w:val="53"/>
        </w:rPr>
        <w:t> </w:t>
      </w:r>
      <w:r>
        <w:rPr/>
        <w:t>incontrast</w:t>
      </w:r>
      <w:r>
        <w:rPr>
          <w:spacing w:val="52"/>
        </w:rPr>
        <w:t> </w:t>
      </w:r>
      <w:r>
        <w:rPr/>
        <w:t>to</w:t>
      </w:r>
      <w:r>
        <w:rPr>
          <w:spacing w:val="52"/>
        </w:rPr>
        <w:t> </w:t>
      </w:r>
      <w:r>
        <w:rPr>
          <w:spacing w:val="-2"/>
        </w:rPr>
        <w:t>portfolio</w:t>
      </w:r>
    </w:p>
    <w:p>
      <w:pPr>
        <w:spacing w:after="0" w:line="480" w:lineRule="auto"/>
        <w:jc w:val="both"/>
        <w:sectPr>
          <w:pgSz w:w="12240" w:h="15840"/>
          <w:pgMar w:header="0" w:footer="1012" w:top="1360" w:bottom="1200" w:left="1220" w:right="700"/>
        </w:sectPr>
      </w:pPr>
    </w:p>
    <w:p>
      <w:pPr>
        <w:pStyle w:val="BodyText"/>
        <w:spacing w:line="480" w:lineRule="auto" w:before="60"/>
        <w:ind w:right="739"/>
        <w:jc w:val="both"/>
      </w:pPr>
      <w:r>
        <w:rPr/>
        <w:t>investment which is apassive investment in thesecurities of another countrysuch as stock and </w:t>
      </w:r>
      <w:r>
        <w:rPr>
          <w:spacing w:val="-2"/>
        </w:rPr>
        <w:t>bond.</w:t>
      </w:r>
    </w:p>
    <w:p>
      <w:pPr>
        <w:pStyle w:val="BodyText"/>
        <w:spacing w:line="480" w:lineRule="auto" w:before="160"/>
        <w:ind w:right="735"/>
        <w:jc w:val="both"/>
      </w:pPr>
      <w:r>
        <w:rPr/>
        <mc:AlternateContent>
          <mc:Choice Requires="wps">
            <w:drawing>
              <wp:anchor distT="0" distB="0" distL="0" distR="0" allowOverlap="1" layoutInCell="1" locked="0" behindDoc="1" simplePos="0" relativeHeight="478039040">
                <wp:simplePos x="0" y="0"/>
                <wp:positionH relativeFrom="page">
                  <wp:posOffset>950112</wp:posOffset>
                </wp:positionH>
                <wp:positionV relativeFrom="paragraph">
                  <wp:posOffset>552765</wp:posOffset>
                </wp:positionV>
                <wp:extent cx="5505450" cy="566102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77440" id="docshape75"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FDI is an investment madeby a company or entitybased in one country, into acompany or entity based inanother country (Zenasni &amp; Benhabib, 2013). Foreigndirect investments differ substantially fromindirect investments suchas portfolio flows, wherein overseasinstitutions invest inequities listed on anation's stock exchange. Entities makingdirect investments typically have asignificant degree of influenceand control over thecompany into whichthe investmentis made. Open economies withskilled workforces and goodgrowth prospects tend to attract largeramounts of foreign directinvestment than closed, highlyregulated economies.</w:t>
      </w:r>
    </w:p>
    <w:p>
      <w:pPr>
        <w:pStyle w:val="BodyText"/>
        <w:spacing w:before="162"/>
      </w:pPr>
      <w:r>
        <w:rPr/>
        <mc:AlternateContent>
          <mc:Choice Requires="wps">
            <w:drawing>
              <wp:anchor distT="0" distB="0" distL="0" distR="0" allowOverlap="1" layoutInCell="1" locked="0" behindDoc="1" simplePos="0" relativeHeight="478039552">
                <wp:simplePos x="0" y="0"/>
                <wp:positionH relativeFrom="page">
                  <wp:posOffset>896416</wp:posOffset>
                </wp:positionH>
                <wp:positionV relativeFrom="paragraph">
                  <wp:posOffset>103148</wp:posOffset>
                </wp:positionV>
                <wp:extent cx="5981065" cy="365061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5981065" cy="3650615"/>
                        </a:xfrm>
                        <a:custGeom>
                          <a:avLst/>
                          <a:gdLst/>
                          <a:ahLst/>
                          <a:cxnLst/>
                          <a:rect l="l" t="t" r="r" b="b"/>
                          <a:pathLst>
                            <a:path w="5981065" h="3650615">
                              <a:moveTo>
                                <a:pt x="5981065" y="2920314"/>
                              </a:moveTo>
                              <a:lnTo>
                                <a:pt x="0" y="2920314"/>
                              </a:lnTo>
                              <a:lnTo>
                                <a:pt x="0" y="3284855"/>
                              </a:lnTo>
                              <a:lnTo>
                                <a:pt x="0" y="3650615"/>
                              </a:lnTo>
                              <a:lnTo>
                                <a:pt x="5981065" y="3650615"/>
                              </a:lnTo>
                              <a:lnTo>
                                <a:pt x="5981065" y="3284855"/>
                              </a:lnTo>
                              <a:lnTo>
                                <a:pt x="5981065" y="2920314"/>
                              </a:lnTo>
                              <a:close/>
                            </a:path>
                            <a:path w="5981065" h="3650615">
                              <a:moveTo>
                                <a:pt x="5981065" y="0"/>
                              </a:moveTo>
                              <a:lnTo>
                                <a:pt x="0" y="0"/>
                              </a:lnTo>
                              <a:lnTo>
                                <a:pt x="0" y="364236"/>
                              </a:lnTo>
                              <a:lnTo>
                                <a:pt x="0" y="729945"/>
                              </a:lnTo>
                              <a:lnTo>
                                <a:pt x="0" y="2920238"/>
                              </a:lnTo>
                              <a:lnTo>
                                <a:pt x="5981065" y="2920238"/>
                              </a:lnTo>
                              <a:lnTo>
                                <a:pt x="5981065" y="364236"/>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8.121951pt;width:470.95pt;height:287.45pt;mso-position-horizontal-relative:page;mso-position-vertical-relative:paragraph;z-index:-25276928" id="docshape76" coordorigin="1412,162" coordsize="9419,5749" path="m10831,4761l1412,4761,1412,5335,1412,5911,10831,5911,10831,5335,10831,4761xm10831,162l1412,162,1412,736,1412,1312,1412,1312,1412,1886,1412,2462,1412,3036,1412,3612,1412,4185,1412,4761,10831,4761,10831,4185,10831,3612,10831,3036,10831,2462,10831,1886,10831,1312,10831,1312,10831,736,10831,162xe" filled="true" fillcolor="#ffffff" stroked="false">
                <v:path arrowok="t"/>
                <v:fill type="solid"/>
                <w10:wrap type="none"/>
              </v:shape>
            </w:pict>
          </mc:Fallback>
        </mc:AlternateContent>
      </w:r>
      <w:r>
        <w:rPr/>
        <w:t>World</w:t>
      </w:r>
      <w:r>
        <w:rPr>
          <w:spacing w:val="29"/>
        </w:rPr>
        <w:t> </w:t>
      </w:r>
      <w:r>
        <w:rPr/>
        <w:t>Bank</w:t>
      </w:r>
      <w:r>
        <w:rPr>
          <w:spacing w:val="29"/>
        </w:rPr>
        <w:t> </w:t>
      </w:r>
      <w:r>
        <w:rPr/>
        <w:t>(1996)</w:t>
      </w:r>
      <w:r>
        <w:rPr>
          <w:spacing w:val="29"/>
        </w:rPr>
        <w:t> </w:t>
      </w:r>
      <w:r>
        <w:rPr/>
        <w:t>sees</w:t>
      </w:r>
      <w:r>
        <w:rPr>
          <w:spacing w:val="30"/>
        </w:rPr>
        <w:t> </w:t>
      </w:r>
      <w:r>
        <w:rPr/>
        <w:t>FDI</w:t>
      </w:r>
      <w:r>
        <w:rPr>
          <w:spacing w:val="29"/>
        </w:rPr>
        <w:t> </w:t>
      </w:r>
      <w:r>
        <w:rPr/>
        <w:t>as</w:t>
      </w:r>
      <w:r>
        <w:rPr>
          <w:spacing w:val="29"/>
        </w:rPr>
        <w:t> </w:t>
      </w:r>
      <w:r>
        <w:rPr/>
        <w:t>'investmentmade</w:t>
      </w:r>
      <w:r>
        <w:rPr>
          <w:spacing w:val="28"/>
        </w:rPr>
        <w:t> </w:t>
      </w:r>
      <w:r>
        <w:rPr/>
        <w:t>to</w:t>
      </w:r>
      <w:r>
        <w:rPr>
          <w:spacing w:val="31"/>
        </w:rPr>
        <w:t> </w:t>
      </w:r>
      <w:r>
        <w:rPr/>
        <w:t>acquire</w:t>
      </w:r>
      <w:r>
        <w:rPr>
          <w:spacing w:val="31"/>
        </w:rPr>
        <w:t> </w:t>
      </w:r>
      <w:r>
        <w:rPr/>
        <w:t>a</w:t>
      </w:r>
      <w:r>
        <w:rPr>
          <w:spacing w:val="28"/>
        </w:rPr>
        <w:t> </w:t>
      </w:r>
      <w:r>
        <w:rPr/>
        <w:t>lastingmanagement</w:t>
      </w:r>
      <w:r>
        <w:rPr>
          <w:spacing w:val="32"/>
        </w:rPr>
        <w:t> </w:t>
      </w:r>
      <w:r>
        <w:rPr>
          <w:spacing w:val="-2"/>
        </w:rPr>
        <w:t>interest</w:t>
      </w:r>
    </w:p>
    <w:p>
      <w:pPr>
        <w:pStyle w:val="BodyText"/>
        <w:spacing w:before="286"/>
      </w:pPr>
      <w:r>
        <w:rPr/>
        <w:t>(normally</w:t>
      </w:r>
      <w:r>
        <w:rPr>
          <w:spacing w:val="5"/>
        </w:rPr>
        <w:t> </w:t>
      </w:r>
      <w:r>
        <w:rPr/>
        <w:t>ten</w:t>
      </w:r>
      <w:r>
        <w:rPr>
          <w:spacing w:val="6"/>
        </w:rPr>
        <w:t> </w:t>
      </w:r>
      <w:r>
        <w:rPr/>
        <w:t>percentof</w:t>
      </w:r>
      <w:r>
        <w:rPr>
          <w:spacing w:val="8"/>
        </w:rPr>
        <w:t> </w:t>
      </w:r>
      <w:r>
        <w:rPr/>
        <w:t>the</w:t>
      </w:r>
      <w:r>
        <w:rPr>
          <w:spacing w:val="6"/>
        </w:rPr>
        <w:t> </w:t>
      </w:r>
      <w:r>
        <w:rPr/>
        <w:t>voting</w:t>
      </w:r>
      <w:r>
        <w:rPr>
          <w:spacing w:val="8"/>
        </w:rPr>
        <w:t> </w:t>
      </w:r>
      <w:r>
        <w:rPr/>
        <w:t>stock)</w:t>
      </w:r>
      <w:r>
        <w:rPr>
          <w:spacing w:val="7"/>
        </w:rPr>
        <w:t> </w:t>
      </w:r>
      <w:r>
        <w:rPr/>
        <w:t>in</w:t>
      </w:r>
      <w:r>
        <w:rPr>
          <w:spacing w:val="5"/>
        </w:rPr>
        <w:t> </w:t>
      </w:r>
      <w:r>
        <w:rPr/>
        <w:t>abusiness</w:t>
      </w:r>
      <w:r>
        <w:rPr>
          <w:spacing w:val="7"/>
        </w:rPr>
        <w:t> </w:t>
      </w:r>
      <w:r>
        <w:rPr/>
        <w:t>enterprise</w:t>
      </w:r>
      <w:r>
        <w:rPr>
          <w:spacing w:val="5"/>
        </w:rPr>
        <w:t> </w:t>
      </w:r>
      <w:r>
        <w:rPr/>
        <w:t>operatingin</w:t>
      </w:r>
      <w:r>
        <w:rPr>
          <w:spacing w:val="6"/>
        </w:rPr>
        <w:t> </w:t>
      </w:r>
      <w:r>
        <w:rPr/>
        <w:t>a</w:t>
      </w:r>
      <w:r>
        <w:rPr>
          <w:spacing w:val="6"/>
        </w:rPr>
        <w:t> </w:t>
      </w:r>
      <w:r>
        <w:rPr/>
        <w:t>country</w:t>
      </w:r>
      <w:r>
        <w:rPr>
          <w:spacing w:val="7"/>
        </w:rPr>
        <w:t> </w:t>
      </w:r>
      <w:r>
        <w:rPr>
          <w:spacing w:val="-2"/>
        </w:rPr>
        <w:t>other</w:t>
      </w:r>
    </w:p>
    <w:p>
      <w:pPr>
        <w:pStyle w:val="BodyText"/>
        <w:spacing w:before="1"/>
        <w:ind w:left="0"/>
      </w:pPr>
    </w:p>
    <w:p>
      <w:pPr>
        <w:pStyle w:val="BodyText"/>
      </w:pPr>
      <w:r>
        <w:rPr/>
        <w:t>than</w:t>
      </w:r>
      <w:r>
        <w:rPr>
          <w:spacing w:val="16"/>
        </w:rPr>
        <w:t> </w:t>
      </w:r>
      <w:r>
        <w:rPr/>
        <w:t>that</w:t>
      </w:r>
      <w:r>
        <w:rPr>
          <w:spacing w:val="17"/>
        </w:rPr>
        <w:t> </w:t>
      </w:r>
      <w:r>
        <w:rPr/>
        <w:t>of</w:t>
      </w:r>
      <w:r>
        <w:rPr>
          <w:spacing w:val="18"/>
        </w:rPr>
        <w:t> </w:t>
      </w:r>
      <w:r>
        <w:rPr/>
        <w:t>the</w:t>
      </w:r>
      <w:r>
        <w:rPr>
          <w:spacing w:val="17"/>
        </w:rPr>
        <w:t> </w:t>
      </w:r>
      <w:r>
        <w:rPr/>
        <w:t>investordefined</w:t>
      </w:r>
      <w:r>
        <w:rPr>
          <w:spacing w:val="16"/>
        </w:rPr>
        <w:t> </w:t>
      </w:r>
      <w:r>
        <w:rPr/>
        <w:t>according</w:t>
      </w:r>
      <w:r>
        <w:rPr>
          <w:spacing w:val="18"/>
        </w:rPr>
        <w:t> </w:t>
      </w:r>
      <w:r>
        <w:rPr/>
        <w:t>toresidency'.</w:t>
      </w:r>
      <w:r>
        <w:rPr>
          <w:spacing w:val="17"/>
        </w:rPr>
        <w:t> </w:t>
      </w:r>
      <w:r>
        <w:rPr/>
        <w:t>In</w:t>
      </w:r>
      <w:r>
        <w:rPr>
          <w:spacing w:val="17"/>
        </w:rPr>
        <w:t> </w:t>
      </w:r>
      <w:r>
        <w:rPr/>
        <w:t>line</w:t>
      </w:r>
      <w:r>
        <w:rPr>
          <w:spacing w:val="17"/>
        </w:rPr>
        <w:t> </w:t>
      </w:r>
      <w:r>
        <w:rPr/>
        <w:t>with</w:t>
      </w:r>
      <w:r>
        <w:rPr>
          <w:spacing w:val="16"/>
        </w:rPr>
        <w:t> </w:t>
      </w:r>
      <w:r>
        <w:rPr/>
        <w:t>this,</w:t>
      </w:r>
      <w:r>
        <w:rPr>
          <w:spacing w:val="17"/>
        </w:rPr>
        <w:t> </w:t>
      </w:r>
      <w:r>
        <w:rPr/>
        <w:t>theUnited</w:t>
      </w:r>
      <w:r>
        <w:rPr>
          <w:spacing w:val="17"/>
        </w:rPr>
        <w:t> </w:t>
      </w:r>
      <w:r>
        <w:rPr>
          <w:spacing w:val="-2"/>
        </w:rPr>
        <w:t>Nations</w:t>
      </w:r>
    </w:p>
    <w:p>
      <w:pPr>
        <w:pStyle w:val="BodyText"/>
        <w:spacing w:before="286"/>
      </w:pPr>
      <w:r>
        <w:rPr/>
        <w:t>Conference</w:t>
      </w:r>
      <w:r>
        <w:rPr>
          <w:spacing w:val="6"/>
        </w:rPr>
        <w:t> </w:t>
      </w:r>
      <w:r>
        <w:rPr/>
        <w:t>onTrade</w:t>
      </w:r>
      <w:r>
        <w:rPr>
          <w:spacing w:val="8"/>
        </w:rPr>
        <w:t> </w:t>
      </w:r>
      <w:r>
        <w:rPr/>
        <w:t>Agreement</w:t>
      </w:r>
      <w:r>
        <w:rPr>
          <w:spacing w:val="7"/>
        </w:rPr>
        <w:t> </w:t>
      </w:r>
      <w:r>
        <w:rPr/>
        <w:t>andDevelopment</w:t>
      </w:r>
      <w:r>
        <w:rPr>
          <w:spacing w:val="8"/>
        </w:rPr>
        <w:t> </w:t>
      </w:r>
      <w:r>
        <w:rPr/>
        <w:t>(UNCTAD)</w:t>
      </w:r>
      <w:r>
        <w:rPr>
          <w:spacing w:val="7"/>
        </w:rPr>
        <w:t> </w:t>
      </w:r>
      <w:r>
        <w:rPr/>
        <w:t>defines</w:t>
      </w:r>
      <w:r>
        <w:rPr>
          <w:spacing w:val="11"/>
        </w:rPr>
        <w:t> </w:t>
      </w:r>
      <w:r>
        <w:rPr/>
        <w:t>FDI</w:t>
      </w:r>
      <w:r>
        <w:rPr>
          <w:spacing w:val="8"/>
        </w:rPr>
        <w:t> </w:t>
      </w:r>
      <w:r>
        <w:rPr/>
        <w:t>as</w:t>
      </w:r>
      <w:r>
        <w:rPr>
          <w:spacing w:val="8"/>
        </w:rPr>
        <w:t> </w:t>
      </w:r>
      <w:r>
        <w:rPr>
          <w:spacing w:val="-2"/>
        </w:rPr>
        <w:t>'aninvestment</w:t>
      </w:r>
    </w:p>
    <w:p>
      <w:pPr>
        <w:pStyle w:val="BodyText"/>
        <w:spacing w:before="1"/>
        <w:ind w:left="0"/>
      </w:pPr>
    </w:p>
    <w:p>
      <w:pPr>
        <w:pStyle w:val="BodyText"/>
      </w:pPr>
      <w:r>
        <w:rPr/>
        <w:t>involving</w:t>
      </w:r>
      <w:r>
        <w:rPr>
          <w:spacing w:val="4"/>
        </w:rPr>
        <w:t> </w:t>
      </w:r>
      <w:r>
        <w:rPr/>
        <w:t>managementcontrol</w:t>
      </w:r>
      <w:r>
        <w:rPr>
          <w:spacing w:val="3"/>
        </w:rPr>
        <w:t> </w:t>
      </w:r>
      <w:r>
        <w:rPr/>
        <w:t>of</w:t>
      </w:r>
      <w:r>
        <w:rPr>
          <w:spacing w:val="4"/>
        </w:rPr>
        <w:t> </w:t>
      </w:r>
      <w:r>
        <w:rPr/>
        <w:t>a</w:t>
      </w:r>
      <w:r>
        <w:rPr>
          <w:spacing w:val="1"/>
        </w:rPr>
        <w:t> </w:t>
      </w:r>
      <w:r>
        <w:rPr/>
        <w:t>residententity</w:t>
      </w:r>
      <w:r>
        <w:rPr>
          <w:spacing w:val="4"/>
        </w:rPr>
        <w:t> </w:t>
      </w:r>
      <w:r>
        <w:rPr/>
        <w:t>in</w:t>
      </w:r>
      <w:r>
        <w:rPr>
          <w:spacing w:val="3"/>
        </w:rPr>
        <w:t> </w:t>
      </w:r>
      <w:r>
        <w:rPr/>
        <w:t>one</w:t>
      </w:r>
      <w:r>
        <w:rPr>
          <w:spacing w:val="3"/>
        </w:rPr>
        <w:t> </w:t>
      </w:r>
      <w:r>
        <w:rPr/>
        <w:t>economy</w:t>
      </w:r>
      <w:r>
        <w:rPr>
          <w:spacing w:val="4"/>
        </w:rPr>
        <w:t> </w:t>
      </w:r>
      <w:r>
        <w:rPr/>
        <w:t>by</w:t>
      </w:r>
      <w:r>
        <w:rPr>
          <w:spacing w:val="3"/>
        </w:rPr>
        <w:t> </w:t>
      </w:r>
      <w:r>
        <w:rPr/>
        <w:t>anenterprise</w:t>
      </w:r>
      <w:r>
        <w:rPr>
          <w:spacing w:val="4"/>
        </w:rPr>
        <w:t> </w:t>
      </w:r>
      <w:r>
        <w:rPr/>
        <w:t>resident</w:t>
      </w:r>
      <w:r>
        <w:rPr>
          <w:spacing w:val="3"/>
        </w:rPr>
        <w:t> </w:t>
      </w:r>
      <w:r>
        <w:rPr>
          <w:spacing w:val="-5"/>
        </w:rPr>
        <w:t>in</w:t>
      </w:r>
    </w:p>
    <w:p>
      <w:pPr>
        <w:pStyle w:val="BodyText"/>
        <w:tabs>
          <w:tab w:pos="2108" w:val="left" w:leader="none"/>
        </w:tabs>
        <w:spacing w:before="286"/>
      </w:pPr>
      <w:r>
        <w:rPr>
          <w:spacing w:val="-2"/>
        </w:rPr>
        <w:t>anothercountry'.</w:t>
      </w:r>
      <w:r>
        <w:rPr/>
        <w:tab/>
        <w:t>The</w:t>
      </w:r>
      <w:r>
        <w:rPr>
          <w:spacing w:val="64"/>
        </w:rPr>
        <w:t> </w:t>
      </w:r>
      <w:r>
        <w:rPr/>
        <w:t>Organization</w:t>
      </w:r>
      <w:r>
        <w:rPr>
          <w:spacing w:val="62"/>
        </w:rPr>
        <w:t> </w:t>
      </w:r>
      <w:r>
        <w:rPr/>
        <w:t>forEconomic</w:t>
      </w:r>
      <w:r>
        <w:rPr>
          <w:spacing w:val="61"/>
        </w:rPr>
        <w:t> </w:t>
      </w:r>
      <w:r>
        <w:rPr/>
        <w:t>Cooperation</w:t>
      </w:r>
      <w:r>
        <w:rPr>
          <w:spacing w:val="61"/>
        </w:rPr>
        <w:t> </w:t>
      </w:r>
      <w:r>
        <w:rPr/>
        <w:t>andDevelopment</w:t>
      </w:r>
      <w:r>
        <w:rPr>
          <w:spacing w:val="63"/>
        </w:rPr>
        <w:t> </w:t>
      </w:r>
      <w:r>
        <w:rPr>
          <w:spacing w:val="-2"/>
        </w:rPr>
        <w:t>(OECD)</w:t>
      </w:r>
    </w:p>
    <w:p>
      <w:pPr>
        <w:pStyle w:val="BodyText"/>
        <w:spacing w:before="1"/>
        <w:ind w:left="0"/>
      </w:pPr>
    </w:p>
    <w:p>
      <w:pPr>
        <w:pStyle w:val="BodyText"/>
      </w:pPr>
      <w:r>
        <w:rPr/>
        <w:t>Benchmark</w:t>
      </w:r>
      <w:r>
        <w:rPr>
          <w:spacing w:val="-2"/>
        </w:rPr>
        <w:t> </w:t>
      </w:r>
      <w:r>
        <w:rPr/>
        <w:t>definitionof foreign</w:t>
      </w:r>
      <w:r>
        <w:rPr>
          <w:spacing w:val="-2"/>
        </w:rPr>
        <w:t> </w:t>
      </w:r>
      <w:r>
        <w:rPr/>
        <w:t>directinvestment</w:t>
      </w:r>
      <w:r>
        <w:rPr>
          <w:spacing w:val="-1"/>
        </w:rPr>
        <w:t> </w:t>
      </w:r>
      <w:r>
        <w:rPr/>
        <w:t>(fourth</w:t>
      </w:r>
      <w:r>
        <w:rPr>
          <w:spacing w:val="-2"/>
        </w:rPr>
        <w:t> </w:t>
      </w:r>
      <w:r>
        <w:rPr/>
        <w:t>edition)</w:t>
      </w:r>
      <w:r>
        <w:rPr>
          <w:spacing w:val="-1"/>
        </w:rPr>
        <w:t> </w:t>
      </w:r>
      <w:r>
        <w:rPr/>
        <w:t>defines</w:t>
      </w:r>
      <w:r>
        <w:rPr>
          <w:spacing w:val="-2"/>
        </w:rPr>
        <w:t> </w:t>
      </w:r>
      <w:r>
        <w:rPr/>
        <w:t>directinvestment</w:t>
      </w:r>
      <w:r>
        <w:rPr>
          <w:spacing w:val="-2"/>
        </w:rPr>
        <w:t> </w:t>
      </w:r>
      <w:r>
        <w:rPr>
          <w:spacing w:val="-5"/>
        </w:rPr>
        <w:t>as</w:t>
      </w:r>
    </w:p>
    <w:p>
      <w:pPr>
        <w:pStyle w:val="BodyText"/>
        <w:spacing w:before="287"/>
      </w:pPr>
      <w:r>
        <w:rPr/>
        <w:t>"a</w:t>
      </w:r>
      <w:r>
        <w:rPr>
          <w:spacing w:val="51"/>
          <w:w w:val="150"/>
        </w:rPr>
        <w:t> </w:t>
      </w:r>
      <w:r>
        <w:rPr/>
        <w:t>categoryof</w:t>
      </w:r>
      <w:r>
        <w:rPr>
          <w:spacing w:val="52"/>
          <w:w w:val="150"/>
        </w:rPr>
        <w:t> </w:t>
      </w:r>
      <w:r>
        <w:rPr/>
        <w:t>cross-border</w:t>
      </w:r>
      <w:r>
        <w:rPr>
          <w:spacing w:val="51"/>
          <w:w w:val="150"/>
        </w:rPr>
        <w:t> </w:t>
      </w:r>
      <w:r>
        <w:rPr/>
        <w:t>investmentmade</w:t>
      </w:r>
      <w:r>
        <w:rPr>
          <w:spacing w:val="51"/>
          <w:w w:val="150"/>
        </w:rPr>
        <w:t> </w:t>
      </w:r>
      <w:r>
        <w:rPr/>
        <w:t>by</w:t>
      </w:r>
      <w:r>
        <w:rPr>
          <w:spacing w:val="51"/>
          <w:w w:val="150"/>
        </w:rPr>
        <w:t> </w:t>
      </w:r>
      <w:r>
        <w:rPr/>
        <w:t>a</w:t>
      </w:r>
      <w:r>
        <w:rPr>
          <w:spacing w:val="54"/>
          <w:w w:val="150"/>
        </w:rPr>
        <w:t> </w:t>
      </w:r>
      <w:r>
        <w:rPr/>
        <w:t>-resident</w:t>
      </w:r>
      <w:r>
        <w:rPr>
          <w:spacing w:val="49"/>
          <w:w w:val="150"/>
        </w:rPr>
        <w:t> </w:t>
      </w:r>
      <w:r>
        <w:rPr/>
        <w:t>inone</w:t>
      </w:r>
      <w:r>
        <w:rPr>
          <w:spacing w:val="51"/>
          <w:w w:val="150"/>
        </w:rPr>
        <w:t> </w:t>
      </w:r>
      <w:r>
        <w:rPr/>
        <w:t>economy</w:t>
      </w:r>
      <w:r>
        <w:rPr>
          <w:spacing w:val="52"/>
          <w:w w:val="150"/>
        </w:rPr>
        <w:t> </w:t>
      </w:r>
      <w:r>
        <w:rPr/>
        <w:t>(the</w:t>
      </w:r>
      <w:r>
        <w:rPr>
          <w:spacing w:val="51"/>
          <w:w w:val="150"/>
        </w:rPr>
        <w:t> </w:t>
      </w:r>
      <w:r>
        <w:rPr>
          <w:spacing w:val="-2"/>
        </w:rPr>
        <w:t>direct</w:t>
      </w:r>
    </w:p>
    <w:p>
      <w:pPr>
        <w:pStyle w:val="BodyText"/>
        <w:spacing w:before="1"/>
        <w:ind w:left="0"/>
      </w:pPr>
    </w:p>
    <w:p>
      <w:pPr>
        <w:pStyle w:val="BodyText"/>
      </w:pPr>
      <w:r>
        <w:rPr/>
        <w:t>investor)</w:t>
      </w:r>
      <w:r>
        <w:rPr>
          <w:spacing w:val="50"/>
          <w:w w:val="150"/>
        </w:rPr>
        <w:t> </w:t>
      </w:r>
      <w:r>
        <w:rPr/>
        <w:t>with</w:t>
      </w:r>
      <w:r>
        <w:rPr>
          <w:spacing w:val="50"/>
          <w:w w:val="150"/>
        </w:rPr>
        <w:t> </w:t>
      </w:r>
      <w:r>
        <w:rPr/>
        <w:t>theobjective</w:t>
      </w:r>
      <w:r>
        <w:rPr>
          <w:spacing w:val="50"/>
          <w:w w:val="150"/>
        </w:rPr>
        <w:t> </w:t>
      </w:r>
      <w:r>
        <w:rPr/>
        <w:t>of</w:t>
      </w:r>
      <w:r>
        <w:rPr>
          <w:spacing w:val="50"/>
          <w:w w:val="150"/>
        </w:rPr>
        <w:t> </w:t>
      </w:r>
      <w:r>
        <w:rPr/>
        <w:t>establishinga</w:t>
      </w:r>
      <w:r>
        <w:rPr>
          <w:spacing w:val="52"/>
          <w:w w:val="150"/>
        </w:rPr>
        <w:t> </w:t>
      </w:r>
      <w:r>
        <w:rPr/>
        <w:t>lasting</w:t>
      </w:r>
      <w:r>
        <w:rPr>
          <w:spacing w:val="50"/>
          <w:w w:val="150"/>
        </w:rPr>
        <w:t> </w:t>
      </w:r>
      <w:r>
        <w:rPr/>
        <w:t>interest</w:t>
      </w:r>
      <w:r>
        <w:rPr>
          <w:spacing w:val="51"/>
          <w:w w:val="150"/>
        </w:rPr>
        <w:t> </w:t>
      </w:r>
      <w:r>
        <w:rPr/>
        <w:t>in</w:t>
      </w:r>
      <w:r>
        <w:rPr>
          <w:spacing w:val="50"/>
          <w:w w:val="150"/>
        </w:rPr>
        <w:t> </w:t>
      </w:r>
      <w:r>
        <w:rPr/>
        <w:t>anenterprise</w:t>
      </w:r>
      <w:r>
        <w:rPr>
          <w:spacing w:val="49"/>
          <w:w w:val="150"/>
        </w:rPr>
        <w:t> </w:t>
      </w:r>
      <w:r>
        <w:rPr/>
        <w:t>(the</w:t>
      </w:r>
      <w:r>
        <w:rPr>
          <w:spacing w:val="49"/>
          <w:w w:val="150"/>
        </w:rPr>
        <w:t> </w:t>
      </w:r>
      <w:r>
        <w:rPr>
          <w:spacing w:val="-2"/>
        </w:rPr>
        <w:t>direct</w:t>
      </w:r>
    </w:p>
    <w:p>
      <w:pPr>
        <w:pStyle w:val="BodyText"/>
        <w:spacing w:line="480" w:lineRule="auto" w:before="286"/>
        <w:ind w:right="735"/>
        <w:jc w:val="both"/>
      </w:pPr>
      <w:r>
        <w:rPr/>
        <w:t>investment</w:t>
      </w:r>
      <w:r>
        <w:rPr>
          <w:spacing w:val="-3"/>
        </w:rPr>
        <w:t> </w:t>
      </w:r>
      <w:r>
        <w:rPr/>
        <w:t>enterprise)</w:t>
      </w:r>
      <w:r>
        <w:rPr>
          <w:spacing w:val="-3"/>
        </w:rPr>
        <w:t> </w:t>
      </w:r>
      <w:r>
        <w:rPr/>
        <w:t>that</w:t>
      </w:r>
      <w:r>
        <w:rPr>
          <w:spacing w:val="-3"/>
        </w:rPr>
        <w:t> </w:t>
      </w:r>
      <w:r>
        <w:rPr/>
        <w:t>is</w:t>
      </w:r>
      <w:r>
        <w:rPr>
          <w:spacing w:val="-1"/>
        </w:rPr>
        <w:t> </w:t>
      </w:r>
      <w:r>
        <w:rPr/>
        <w:t>residentin</w:t>
      </w:r>
      <w:r>
        <w:rPr>
          <w:spacing w:val="-3"/>
        </w:rPr>
        <w:t> </w:t>
      </w:r>
      <w:r>
        <w:rPr/>
        <w:t>an</w:t>
      </w:r>
      <w:r>
        <w:rPr>
          <w:spacing w:val="-3"/>
        </w:rPr>
        <w:t> </w:t>
      </w:r>
      <w:r>
        <w:rPr/>
        <w:t>economy</w:t>
      </w:r>
      <w:r>
        <w:rPr>
          <w:spacing w:val="-3"/>
        </w:rPr>
        <w:t> </w:t>
      </w:r>
      <w:r>
        <w:rPr/>
        <w:t>otherthan</w:t>
      </w:r>
      <w:r>
        <w:rPr>
          <w:spacing w:val="-3"/>
        </w:rPr>
        <w:t> </w:t>
      </w:r>
      <w:r>
        <w:rPr/>
        <w:t>that</w:t>
      </w:r>
      <w:r>
        <w:rPr>
          <w:spacing w:val="-3"/>
        </w:rPr>
        <w:t> </w:t>
      </w:r>
      <w:r>
        <w:rPr/>
        <w:t>of</w:t>
      </w:r>
      <w:r>
        <w:rPr>
          <w:spacing w:val="-3"/>
        </w:rPr>
        <w:t> </w:t>
      </w:r>
      <w:r>
        <w:rPr/>
        <w:t>thedirect</w:t>
      </w:r>
      <w:r>
        <w:rPr>
          <w:spacing w:val="-3"/>
        </w:rPr>
        <w:t> </w:t>
      </w:r>
      <w:r>
        <w:rPr/>
        <w:t>investor".</w:t>
      </w:r>
      <w:r>
        <w:rPr>
          <w:spacing w:val="-3"/>
        </w:rPr>
        <w:t> </w:t>
      </w:r>
      <w:r>
        <w:rPr/>
        <w:t>The ownershipof at least 10% of theequity or voting powerby the direct investor is anecessary condition for aninvestment to bequalified as a directinvestment (OECD, 2008). Foreign directinvestments</w:t>
      </w:r>
      <w:r>
        <w:rPr>
          <w:spacing w:val="34"/>
        </w:rPr>
        <w:t>  </w:t>
      </w:r>
      <w:r>
        <w:rPr/>
        <w:t>(FDI)</w:t>
      </w:r>
      <w:r>
        <w:rPr>
          <w:spacing w:val="35"/>
        </w:rPr>
        <w:t>  </w:t>
      </w:r>
      <w:r>
        <w:rPr/>
        <w:t>are</w:t>
      </w:r>
      <w:r>
        <w:rPr>
          <w:spacing w:val="33"/>
        </w:rPr>
        <w:t>  </w:t>
      </w:r>
      <w:r>
        <w:rPr/>
        <w:t>the</w:t>
      </w:r>
      <w:r>
        <w:rPr>
          <w:spacing w:val="34"/>
        </w:rPr>
        <w:t>  </w:t>
      </w:r>
      <w:r>
        <w:rPr/>
        <w:t>netinflows</w:t>
      </w:r>
      <w:r>
        <w:rPr>
          <w:spacing w:val="34"/>
        </w:rPr>
        <w:t>  </w:t>
      </w:r>
      <w:r>
        <w:rPr/>
        <w:t>of</w:t>
      </w:r>
      <w:r>
        <w:rPr>
          <w:spacing w:val="34"/>
        </w:rPr>
        <w:t>  </w:t>
      </w:r>
      <w:r>
        <w:rPr/>
        <w:t>investment</w:t>
      </w:r>
      <w:r>
        <w:rPr>
          <w:spacing w:val="34"/>
        </w:rPr>
        <w:t>  </w:t>
      </w:r>
      <w:r>
        <w:rPr/>
        <w:t>toacquiring</w:t>
      </w:r>
      <w:r>
        <w:rPr>
          <w:spacing w:val="35"/>
        </w:rPr>
        <w:t>  </w:t>
      </w:r>
      <w:r>
        <w:rPr/>
        <w:t>long</w:t>
      </w:r>
      <w:r>
        <w:rPr>
          <w:spacing w:val="34"/>
        </w:rPr>
        <w:t>  </w:t>
      </w:r>
      <w:r>
        <w:rPr>
          <w:spacing w:val="-2"/>
        </w:rPr>
        <w:t>lasting</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w:t>managementinterest in an enterpriseoperating in an economyother than that of theinvestor (World Bank, 2014).</w:t>
      </w:r>
    </w:p>
    <w:p>
      <w:pPr>
        <w:pStyle w:val="BodyText"/>
        <w:spacing w:line="480" w:lineRule="auto" w:before="160"/>
        <w:ind w:right="734"/>
        <w:jc w:val="both"/>
      </w:pPr>
      <w:r>
        <w:rPr/>
        <mc:AlternateContent>
          <mc:Choice Requires="wps">
            <w:drawing>
              <wp:anchor distT="0" distB="0" distL="0" distR="0" allowOverlap="1" layoutInCell="1" locked="0" behindDoc="1" simplePos="0" relativeHeight="478040064">
                <wp:simplePos x="0" y="0"/>
                <wp:positionH relativeFrom="page">
                  <wp:posOffset>950112</wp:posOffset>
                </wp:positionH>
                <wp:positionV relativeFrom="paragraph">
                  <wp:posOffset>552765</wp:posOffset>
                </wp:positionV>
                <wp:extent cx="5505450" cy="566102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76416" id="docshape77"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Foreign directinvestment could come to thecapital-importing country as asubsidiary of a foreignfirm. It could also comeby means of formationof a company in which afirm in the investingcompany has equity holdingor the creation offixed assets in the othercountry by the nationalsof the investingcountry (Obadan, 2011).</w:t>
      </w:r>
      <w:r>
        <w:rPr>
          <w:spacing w:val="40"/>
        </w:rPr>
        <w:t> </w:t>
      </w:r>
      <w:r>
        <w:rPr/>
        <w:t>In suchinvestment, the foreignfirm exercises defacto or de jurecontrol over the assetsthey have created. The objectiveof the investors is toacquire a lastinginterest and effectivecontrol in the managementof the enterprise inwhich direct investmenttakes place. They may notnecessarily have major shareholding, buthaving an effective voicein the management meansthat the foreign investor has thepotential to influenceor participate in themanagement of anenterprise. Thus, it is the elementof influence and controlthat distinguishes directinvestment fromportfolio investment (Okoli, &amp; Agu, 2015).</w:t>
      </w:r>
    </w:p>
    <w:p>
      <w:pPr>
        <w:pStyle w:val="BodyText"/>
        <w:spacing w:before="161"/>
      </w:pPr>
      <w:r>
        <w:rPr/>
        <mc:AlternateContent>
          <mc:Choice Requires="wps">
            <w:drawing>
              <wp:anchor distT="0" distB="0" distL="0" distR="0" allowOverlap="1" layoutInCell="1" locked="0" behindDoc="1" simplePos="0" relativeHeight="478040576">
                <wp:simplePos x="0" y="0"/>
                <wp:positionH relativeFrom="page">
                  <wp:posOffset>896416</wp:posOffset>
                </wp:positionH>
                <wp:positionV relativeFrom="paragraph">
                  <wp:posOffset>103018</wp:posOffset>
                </wp:positionV>
                <wp:extent cx="5981065" cy="219075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5981065" cy="2190750"/>
                        </a:xfrm>
                        <a:custGeom>
                          <a:avLst/>
                          <a:gdLst/>
                          <a:ahLst/>
                          <a:cxnLst/>
                          <a:rect l="l" t="t" r="r" b="b"/>
                          <a:pathLst>
                            <a:path w="5981065" h="2190750">
                              <a:moveTo>
                                <a:pt x="5981065" y="1460068"/>
                              </a:moveTo>
                              <a:lnTo>
                                <a:pt x="0" y="1460068"/>
                              </a:lnTo>
                              <a:lnTo>
                                <a:pt x="0" y="1824609"/>
                              </a:lnTo>
                              <a:lnTo>
                                <a:pt x="0" y="2190369"/>
                              </a:lnTo>
                              <a:lnTo>
                                <a:pt x="5981065" y="2190369"/>
                              </a:lnTo>
                              <a:lnTo>
                                <a:pt x="5981065" y="1824609"/>
                              </a:lnTo>
                              <a:lnTo>
                                <a:pt x="5981065" y="1460068"/>
                              </a:lnTo>
                              <a:close/>
                            </a:path>
                            <a:path w="5981065" h="2190750">
                              <a:moveTo>
                                <a:pt x="5981065" y="0"/>
                              </a:moveTo>
                              <a:lnTo>
                                <a:pt x="0" y="0"/>
                              </a:lnTo>
                              <a:lnTo>
                                <a:pt x="0" y="364236"/>
                              </a:lnTo>
                              <a:lnTo>
                                <a:pt x="0" y="729996"/>
                              </a:lnTo>
                              <a:lnTo>
                                <a:pt x="0" y="1094232"/>
                              </a:lnTo>
                              <a:lnTo>
                                <a:pt x="0" y="1459992"/>
                              </a:lnTo>
                              <a:lnTo>
                                <a:pt x="5981065" y="1459992"/>
                              </a:lnTo>
                              <a:lnTo>
                                <a:pt x="5981065" y="1094232"/>
                              </a:lnTo>
                              <a:lnTo>
                                <a:pt x="5981065" y="729996"/>
                              </a:lnTo>
                              <a:lnTo>
                                <a:pt x="5981065" y="364236"/>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8.111723pt;width:470.95pt;height:172.5pt;mso-position-horizontal-relative:page;mso-position-vertical-relative:paragraph;z-index:-25275904" id="docshape78" coordorigin="1412,162" coordsize="9419,3450" path="m10831,2462l1412,2462,1412,3036,1412,3612,10831,3612,10831,3036,10831,2462xm10831,162l1412,162,1412,736,1412,1312,1412,1885,1412,2461,10831,2461,10831,1885,10831,1312,10831,736,10831,162xe" filled="true" fillcolor="#ffffff" stroked="false">
                <v:path arrowok="t"/>
                <v:fill type="solid"/>
                <w10:wrap type="none"/>
              </v:shape>
            </w:pict>
          </mc:Fallback>
        </mc:AlternateContent>
      </w:r>
      <w:r>
        <w:rPr/>
        <w:t>Foreign</w:t>
      </w:r>
      <w:r>
        <w:rPr>
          <w:spacing w:val="55"/>
          <w:w w:val="150"/>
        </w:rPr>
        <w:t> </w:t>
      </w:r>
      <w:r>
        <w:rPr/>
        <w:t>directinvestment</w:t>
      </w:r>
      <w:r>
        <w:rPr>
          <w:spacing w:val="56"/>
          <w:w w:val="150"/>
        </w:rPr>
        <w:t> </w:t>
      </w:r>
      <w:r>
        <w:rPr/>
        <w:t>(FDI)</w:t>
      </w:r>
      <w:r>
        <w:rPr>
          <w:spacing w:val="57"/>
          <w:w w:val="150"/>
        </w:rPr>
        <w:t> </w:t>
      </w:r>
      <w:r>
        <w:rPr/>
        <w:t>is</w:t>
      </w:r>
      <w:r>
        <w:rPr>
          <w:spacing w:val="57"/>
          <w:w w:val="150"/>
        </w:rPr>
        <w:t> </w:t>
      </w:r>
      <w:r>
        <w:rPr/>
        <w:t>"an</w:t>
      </w:r>
      <w:r>
        <w:rPr>
          <w:spacing w:val="55"/>
          <w:w w:val="150"/>
        </w:rPr>
        <w:t> </w:t>
      </w:r>
      <w:r>
        <w:rPr/>
        <w:t>increasein</w:t>
      </w:r>
      <w:r>
        <w:rPr>
          <w:spacing w:val="56"/>
          <w:w w:val="150"/>
        </w:rPr>
        <w:t> </w:t>
      </w:r>
      <w:r>
        <w:rPr/>
        <w:t>the</w:t>
      </w:r>
      <w:r>
        <w:rPr>
          <w:spacing w:val="55"/>
          <w:w w:val="150"/>
        </w:rPr>
        <w:t> </w:t>
      </w:r>
      <w:r>
        <w:rPr/>
        <w:t>book</w:t>
      </w:r>
      <w:r>
        <w:rPr>
          <w:spacing w:val="55"/>
          <w:w w:val="150"/>
        </w:rPr>
        <w:t> </w:t>
      </w:r>
      <w:r>
        <w:rPr/>
        <w:t>value</w:t>
      </w:r>
      <w:r>
        <w:rPr>
          <w:spacing w:val="57"/>
          <w:w w:val="150"/>
        </w:rPr>
        <w:t> </w:t>
      </w:r>
      <w:r>
        <w:rPr/>
        <w:t>of</w:t>
      </w:r>
      <w:r>
        <w:rPr>
          <w:spacing w:val="57"/>
          <w:w w:val="150"/>
        </w:rPr>
        <w:t> </w:t>
      </w:r>
      <w:r>
        <w:rPr/>
        <w:t>thenet</w:t>
      </w:r>
      <w:r>
        <w:rPr>
          <w:spacing w:val="56"/>
          <w:w w:val="150"/>
        </w:rPr>
        <w:t> </w:t>
      </w:r>
      <w:r>
        <w:rPr/>
        <w:t>worth</w:t>
      </w:r>
      <w:r>
        <w:rPr>
          <w:spacing w:val="55"/>
          <w:w w:val="150"/>
        </w:rPr>
        <w:t> </w:t>
      </w:r>
      <w:r>
        <w:rPr>
          <w:spacing w:val="-5"/>
        </w:rPr>
        <w:t>of</w:t>
      </w:r>
    </w:p>
    <w:p>
      <w:pPr>
        <w:pStyle w:val="BodyText"/>
        <w:spacing w:before="286"/>
      </w:pPr>
      <w:r>
        <w:rPr/>
        <w:t>investment</w:t>
      </w:r>
      <w:r>
        <w:rPr>
          <w:spacing w:val="52"/>
        </w:rPr>
        <w:t> </w:t>
      </w:r>
      <w:r>
        <w:rPr/>
        <w:t>in</w:t>
      </w:r>
      <w:r>
        <w:rPr>
          <w:spacing w:val="52"/>
        </w:rPr>
        <w:t> </w:t>
      </w:r>
      <w:r>
        <w:rPr/>
        <w:t>onecountry</w:t>
      </w:r>
      <w:r>
        <w:rPr>
          <w:spacing w:val="52"/>
        </w:rPr>
        <w:t> </w:t>
      </w:r>
      <w:r>
        <w:rPr/>
        <w:t>held</w:t>
      </w:r>
      <w:r>
        <w:rPr>
          <w:spacing w:val="53"/>
        </w:rPr>
        <w:t> </w:t>
      </w:r>
      <w:r>
        <w:rPr/>
        <w:t>by</w:t>
      </w:r>
      <w:r>
        <w:rPr>
          <w:spacing w:val="52"/>
        </w:rPr>
        <w:t> </w:t>
      </w:r>
      <w:r>
        <w:rPr/>
        <w:t>investorsof</w:t>
      </w:r>
      <w:r>
        <w:rPr>
          <w:spacing w:val="50"/>
        </w:rPr>
        <w:t> </w:t>
      </w:r>
      <w:r>
        <w:rPr/>
        <w:t>another</w:t>
      </w:r>
      <w:r>
        <w:rPr>
          <w:spacing w:val="52"/>
        </w:rPr>
        <w:t> </w:t>
      </w:r>
      <w:r>
        <w:rPr/>
        <w:t>country</w:t>
      </w:r>
      <w:r>
        <w:rPr>
          <w:spacing w:val="53"/>
        </w:rPr>
        <w:t> </w:t>
      </w:r>
      <w:r>
        <w:rPr/>
        <w:t>wherethe</w:t>
      </w:r>
      <w:r>
        <w:rPr>
          <w:spacing w:val="51"/>
        </w:rPr>
        <w:t> </w:t>
      </w:r>
      <w:r>
        <w:rPr/>
        <w:t>investments</w:t>
      </w:r>
      <w:r>
        <w:rPr>
          <w:spacing w:val="53"/>
        </w:rPr>
        <w:t> </w:t>
      </w:r>
      <w:r>
        <w:rPr>
          <w:spacing w:val="-5"/>
        </w:rPr>
        <w:t>are</w:t>
      </w:r>
    </w:p>
    <w:p>
      <w:pPr>
        <w:pStyle w:val="BodyText"/>
        <w:spacing w:before="1"/>
        <w:ind w:left="0"/>
      </w:pPr>
    </w:p>
    <w:p>
      <w:pPr>
        <w:pStyle w:val="BodyText"/>
        <w:spacing w:before="1"/>
      </w:pPr>
      <w:r>
        <w:rPr/>
        <w:t>under</w:t>
      </w:r>
      <w:r>
        <w:rPr>
          <w:spacing w:val="-6"/>
        </w:rPr>
        <w:t> </w:t>
      </w:r>
      <w:r>
        <w:rPr/>
        <w:t>the</w:t>
      </w:r>
      <w:r>
        <w:rPr>
          <w:spacing w:val="-6"/>
        </w:rPr>
        <w:t> </w:t>
      </w:r>
      <w:r>
        <w:rPr/>
        <w:t>managerialcontrol</w:t>
      </w:r>
      <w:r>
        <w:rPr>
          <w:spacing w:val="-5"/>
        </w:rPr>
        <w:t> </w:t>
      </w:r>
      <w:r>
        <w:rPr/>
        <w:t>of</w:t>
      </w:r>
      <w:r>
        <w:rPr>
          <w:spacing w:val="-5"/>
        </w:rPr>
        <w:t> </w:t>
      </w:r>
      <w:r>
        <w:rPr/>
        <w:t>theinvestor"</w:t>
      </w:r>
      <w:r>
        <w:rPr>
          <w:spacing w:val="-6"/>
        </w:rPr>
        <w:t> </w:t>
      </w:r>
      <w:r>
        <w:rPr/>
        <w:t>(Graham,</w:t>
      </w:r>
      <w:r>
        <w:rPr>
          <w:spacing w:val="-5"/>
        </w:rPr>
        <w:t> </w:t>
      </w:r>
      <w:r>
        <w:rPr/>
        <w:t>1995).</w:t>
      </w:r>
      <w:r>
        <w:rPr>
          <w:spacing w:val="-5"/>
        </w:rPr>
        <w:t> </w:t>
      </w:r>
      <w:r>
        <w:rPr/>
        <w:t>To</w:t>
      </w:r>
      <w:r>
        <w:rPr>
          <w:spacing w:val="-4"/>
        </w:rPr>
        <w:t> </w:t>
      </w:r>
      <w:r>
        <w:rPr/>
        <w:t>buttress</w:t>
      </w:r>
      <w:r>
        <w:rPr>
          <w:spacing w:val="-4"/>
        </w:rPr>
        <w:t> </w:t>
      </w:r>
      <w:r>
        <w:rPr/>
        <w:t>thedefinition</w:t>
      </w:r>
      <w:r>
        <w:rPr>
          <w:spacing w:val="-5"/>
        </w:rPr>
        <w:t> </w:t>
      </w:r>
      <w:r>
        <w:rPr>
          <w:spacing w:val="-2"/>
        </w:rPr>
        <w:t>above,</w:t>
      </w:r>
    </w:p>
    <w:p>
      <w:pPr>
        <w:pStyle w:val="BodyText"/>
        <w:spacing w:before="286"/>
      </w:pPr>
      <w:r>
        <w:rPr/>
        <w:t>Oloyede,</w:t>
      </w:r>
      <w:r>
        <w:rPr>
          <w:spacing w:val="46"/>
        </w:rPr>
        <w:t> </w:t>
      </w:r>
      <w:r>
        <w:rPr/>
        <w:t>(2014)</w:t>
      </w:r>
      <w:r>
        <w:rPr>
          <w:spacing w:val="47"/>
        </w:rPr>
        <w:t> </w:t>
      </w:r>
      <w:r>
        <w:rPr/>
        <w:t>noted</w:t>
      </w:r>
      <w:r>
        <w:rPr>
          <w:spacing w:val="48"/>
        </w:rPr>
        <w:t> </w:t>
      </w:r>
      <w:r>
        <w:rPr/>
        <w:t>thatmost</w:t>
      </w:r>
      <w:r>
        <w:rPr>
          <w:spacing w:val="46"/>
        </w:rPr>
        <w:t> </w:t>
      </w:r>
      <w:r>
        <w:rPr/>
        <w:t>FDI</w:t>
      </w:r>
      <w:r>
        <w:rPr>
          <w:spacing w:val="46"/>
        </w:rPr>
        <w:t> </w:t>
      </w:r>
      <w:r>
        <w:rPr/>
        <w:t>are</w:t>
      </w:r>
      <w:r>
        <w:rPr>
          <w:spacing w:val="46"/>
        </w:rPr>
        <w:t> </w:t>
      </w:r>
      <w:r>
        <w:rPr/>
        <w:t>in</w:t>
      </w:r>
      <w:r>
        <w:rPr>
          <w:spacing w:val="46"/>
        </w:rPr>
        <w:t> </w:t>
      </w:r>
      <w:r>
        <w:rPr/>
        <w:t>factsubsidiaries</w:t>
      </w:r>
      <w:r>
        <w:rPr>
          <w:spacing w:val="46"/>
        </w:rPr>
        <w:t> </w:t>
      </w:r>
      <w:r>
        <w:rPr/>
        <w:t>of</w:t>
      </w:r>
      <w:r>
        <w:rPr>
          <w:spacing w:val="46"/>
        </w:rPr>
        <w:t> </w:t>
      </w:r>
      <w:r>
        <w:rPr>
          <w:spacing w:val="-2"/>
        </w:rPr>
        <w:t>MultinationalCorporations</w:t>
      </w:r>
    </w:p>
    <w:p>
      <w:pPr>
        <w:pStyle w:val="BodyText"/>
        <w:spacing w:before="1"/>
        <w:ind w:left="0"/>
      </w:pPr>
    </w:p>
    <w:p>
      <w:pPr>
        <w:pStyle w:val="BodyText"/>
      </w:pPr>
      <w:r>
        <w:rPr/>
        <w:t>(MNCs)</w:t>
      </w:r>
      <w:r>
        <w:rPr>
          <w:spacing w:val="55"/>
        </w:rPr>
        <w:t> </w:t>
      </w:r>
      <w:r>
        <w:rPr/>
        <w:t>such</w:t>
      </w:r>
      <w:r>
        <w:rPr>
          <w:spacing w:val="55"/>
        </w:rPr>
        <w:t> </w:t>
      </w:r>
      <w:r>
        <w:rPr/>
        <w:t>that</w:t>
      </w:r>
      <w:r>
        <w:rPr>
          <w:spacing w:val="54"/>
        </w:rPr>
        <w:t> </w:t>
      </w:r>
      <w:r>
        <w:rPr/>
        <w:t>theinvestors</w:t>
      </w:r>
      <w:r>
        <w:rPr>
          <w:spacing w:val="56"/>
        </w:rPr>
        <w:t> </w:t>
      </w:r>
      <w:r>
        <w:rPr/>
        <w:t>are</w:t>
      </w:r>
      <w:r>
        <w:rPr>
          <w:spacing w:val="54"/>
        </w:rPr>
        <w:t> </w:t>
      </w:r>
      <w:r>
        <w:rPr/>
        <w:t>the</w:t>
      </w:r>
      <w:r>
        <w:rPr>
          <w:spacing w:val="55"/>
        </w:rPr>
        <w:t> </w:t>
      </w:r>
      <w:r>
        <w:rPr/>
        <w:t>parentorganizations</w:t>
      </w:r>
      <w:r>
        <w:rPr>
          <w:spacing w:val="56"/>
        </w:rPr>
        <w:t> </w:t>
      </w:r>
      <w:r>
        <w:rPr/>
        <w:t>offirms.</w:t>
      </w:r>
      <w:r>
        <w:rPr>
          <w:spacing w:val="53"/>
        </w:rPr>
        <w:t> </w:t>
      </w:r>
      <w:r>
        <w:rPr/>
        <w:t>Thus,</w:t>
      </w:r>
      <w:r>
        <w:rPr>
          <w:spacing w:val="55"/>
        </w:rPr>
        <w:t> </w:t>
      </w:r>
      <w:r>
        <w:rPr/>
        <w:t>foreign</w:t>
      </w:r>
      <w:r>
        <w:rPr>
          <w:spacing w:val="54"/>
        </w:rPr>
        <w:t> </w:t>
      </w:r>
      <w:r>
        <w:rPr>
          <w:spacing w:val="-2"/>
        </w:rPr>
        <w:t>direct</w:t>
      </w:r>
    </w:p>
    <w:p>
      <w:pPr>
        <w:pStyle w:val="BodyText"/>
        <w:spacing w:line="480" w:lineRule="auto" w:before="286"/>
        <w:ind w:right="734"/>
        <w:jc w:val="both"/>
      </w:pPr>
      <w:r>
        <w:rPr/>
        <w:t>investmentinflows represent the expansionof the international activitiesof </w:t>
      </w:r>
      <w:r>
        <w:rPr/>
        <w:t>Multinational Corporations. Otto andUkpere, (2014) defines Foreigndirect investment (FDI) as a direct investment intoproduction or business in acountry by an individualor company of another country,</w:t>
      </w:r>
      <w:r>
        <w:rPr>
          <w:spacing w:val="28"/>
        </w:rPr>
        <w:t> </w:t>
      </w:r>
      <w:r>
        <w:rPr/>
        <w:t>either</w:t>
      </w:r>
      <w:r>
        <w:rPr>
          <w:spacing w:val="29"/>
        </w:rPr>
        <w:t> </w:t>
      </w:r>
      <w:r>
        <w:rPr/>
        <w:t>bybuying</w:t>
      </w:r>
      <w:r>
        <w:rPr>
          <w:spacing w:val="29"/>
        </w:rPr>
        <w:t> </w:t>
      </w:r>
      <w:r>
        <w:rPr/>
        <w:t>a</w:t>
      </w:r>
      <w:r>
        <w:rPr>
          <w:spacing w:val="28"/>
        </w:rPr>
        <w:t> </w:t>
      </w:r>
      <w:r>
        <w:rPr/>
        <w:t>company</w:t>
      </w:r>
      <w:r>
        <w:rPr>
          <w:spacing w:val="28"/>
        </w:rPr>
        <w:t> </w:t>
      </w:r>
      <w:r>
        <w:rPr/>
        <w:t>in</w:t>
      </w:r>
      <w:r>
        <w:rPr>
          <w:spacing w:val="29"/>
        </w:rPr>
        <w:t> </w:t>
      </w:r>
      <w:r>
        <w:rPr/>
        <w:t>thetarget</w:t>
      </w:r>
      <w:r>
        <w:rPr>
          <w:spacing w:val="28"/>
        </w:rPr>
        <w:t> </w:t>
      </w:r>
      <w:r>
        <w:rPr/>
        <w:t>country</w:t>
      </w:r>
      <w:r>
        <w:rPr>
          <w:spacing w:val="29"/>
        </w:rPr>
        <w:t> </w:t>
      </w:r>
      <w:r>
        <w:rPr/>
        <w:t>or</w:t>
      </w:r>
      <w:r>
        <w:rPr>
          <w:spacing w:val="29"/>
        </w:rPr>
        <w:t> </w:t>
      </w:r>
      <w:r>
        <w:rPr/>
        <w:t>byexpanding</w:t>
      </w:r>
      <w:r>
        <w:rPr>
          <w:spacing w:val="29"/>
        </w:rPr>
        <w:t> </w:t>
      </w:r>
      <w:r>
        <w:rPr/>
        <w:t>operations</w:t>
      </w:r>
      <w:r>
        <w:rPr>
          <w:spacing w:val="30"/>
        </w:rPr>
        <w:t> </w:t>
      </w:r>
      <w:r>
        <w:rPr/>
        <w:t>of</w:t>
      </w:r>
      <w:r>
        <w:rPr>
          <w:spacing w:val="29"/>
        </w:rPr>
        <w:t> </w:t>
      </w:r>
      <w:r>
        <w:rPr>
          <w:spacing w:val="-5"/>
        </w:rPr>
        <w:t>an</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w:t>existing businessin that country. Foreign directinvestment is in contrast toportfolio investmentwhich is a passive investmentin the securities of anothercountry such as stockand </w:t>
      </w:r>
      <w:r>
        <w:rPr>
          <w:spacing w:val="-2"/>
        </w:rPr>
        <w:t>bond.</w:t>
      </w:r>
    </w:p>
    <w:p>
      <w:pPr>
        <w:pStyle w:val="BodyText"/>
        <w:spacing w:before="161"/>
      </w:pPr>
      <w:r>
        <w:rPr/>
        <mc:AlternateContent>
          <mc:Choice Requires="wps">
            <w:drawing>
              <wp:anchor distT="0" distB="0" distL="0" distR="0" allowOverlap="1" layoutInCell="1" locked="0" behindDoc="1" simplePos="0" relativeHeight="478041088">
                <wp:simplePos x="0" y="0"/>
                <wp:positionH relativeFrom="page">
                  <wp:posOffset>950112</wp:posOffset>
                </wp:positionH>
                <wp:positionV relativeFrom="paragraph">
                  <wp:posOffset>187671</wp:posOffset>
                </wp:positionV>
                <wp:extent cx="5505450" cy="566102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4.777295pt;width:433.5pt;height:445.75pt;mso-position-horizontal-relative:page;mso-position-vertical-relative:paragraph;z-index:-25275392" id="docshape79" coordorigin="1496,296" coordsize="8670,8915" path="m2562,9015l1691,8144,1496,8339,2367,9210,2562,9015xm3154,8339l3153,8300,3148,8257,3139,8213,3125,8169,3106,8126,3083,8082,3055,8040,3025,7999,2991,7959,2954,7920,2435,7400,2241,7595,2772,8126,2805,8162,2829,8198,2846,8232,2856,8267,2858,8299,2851,8330,2837,8358,2816,8385,2790,8406,2761,8420,2730,8426,2697,8424,2663,8414,2628,8398,2593,8373,2557,8342,2026,7810,1831,8004,2351,8523,2385,8556,2424,8588,2468,8620,2516,8653,2548,8672,2583,8687,2620,8701,2658,8711,2697,8719,2733,8723,2767,8723,2800,8720,2831,8713,2863,8701,2895,8685,2926,8664,2957,8641,2985,8618,3011,8595,3035,8573,3071,8532,3102,8492,3125,8450,3142,8408,3150,8375,3154,8339xm3882,7556l3876,7492,3860,7426,3834,7360,3806,7305,3771,7249,3728,7192,3678,7133,3661,7114,3621,7072,3597,7050,3597,7544,3592,7584,3577,7621,3551,7654,3518,7679,3481,7694,3441,7699,3396,7693,3347,7674,3294,7643,3235,7598,3171,7539,3112,7475,3066,7416,3035,7361,3016,7312,3010,7268,3014,7228,3029,7192,3053,7160,3086,7134,3122,7119,3163,7114,3207,7119,3255,7136,3307,7166,3363,7208,3423,7263,3488,7333,3538,7396,3572,7452,3591,7500,3597,7544,3597,7050,3551,7007,3482,6952,3413,6907,3344,6872,3276,6846,3209,6830,3130,6824,3055,6834,2983,6860,2914,6900,2850,6956,2796,7019,2756,7087,2732,7159,2723,7234,2729,7314,2746,7382,2772,7451,2808,7521,2854,7591,2910,7661,2976,7732,3036,7789,3096,7839,3156,7881,3215,7916,3273,7943,3344,7967,3411,7981,3475,7984,3535,7978,3593,7962,3649,7935,3705,7897,3758,7849,3805,7795,3841,7739,3858,7699,3866,7680,3879,7619,3882,7556xm4153,6976l3966,6789,3712,7044,3899,7231,4153,6976xm4664,6914l3793,6043,3598,6238,4469,7109,4664,6914xm4998,6580l4675,6256,4781,6150,4832,6090,4837,6080,4866,6028,4883,5965,4882,5900,4866,5835,4843,5784,4836,5769,4792,5703,4733,5637,4670,5580,4607,5537,4598,5532,4598,5926,4597,5951,4587,5977,4570,6004,4546,6032,4498,6080,4304,5885,4359,5830,4386,5807,4412,5791,4438,5784,4462,5784,4486,5791,4509,5801,4531,5815,4552,5834,4570,5855,4584,5878,4593,5901,4598,5926,4598,5532,4544,5507,4483,5491,4423,5490,4365,5505,4309,5535,4255,5580,3931,5904,4803,6775,4998,6580xm5788,5790l5132,5134,5330,4935,5115,4720,4524,5312,4739,5527,4937,5328,5593,5984,5788,5790xm6423,5154l5767,4498,5966,4300,5751,4085,5159,4676,5374,4891,5573,4693,6229,5349,6423,5154xm7157,4281l7151,4217,7135,4151,7109,4085,7081,4030,7046,3974,7003,3917,6953,3858,6935,3839,6896,3798,6872,3775,6872,4269,6867,4309,6851,4346,6825,4379,6793,4405,6756,4420,6716,4424,6671,4418,6622,4399,6569,4368,6510,4323,6446,4264,6387,4200,6341,4141,6309,4086,6291,4037,6285,3993,6289,3953,6304,3917,6328,3885,6361,3860,6397,3844,6438,3839,6482,3844,6530,3862,6582,3891,6638,3934,6698,3989,6763,4058,6813,4121,6847,4177,6866,4226,6872,4269,6872,3775,6826,3732,6756,3677,6687,3632,6619,3597,6551,3571,6483,3555,6405,3550,6329,3560,6258,3585,6189,3625,6125,3681,6071,3744,6031,3812,6007,3884,5998,3959,6004,4039,6021,4107,6047,4176,6083,4246,6129,4316,6184,4386,6250,4457,6311,4514,6371,4564,6431,4606,6490,4641,6548,4668,6619,4692,6686,4706,6750,4710,6810,4703,6868,4687,6924,4660,6979,4622,7033,4574,7080,4520,7116,4464,7133,4424,7141,4405,7154,4344,7157,4281xm8170,3286l8165,3237,8153,3186,8134,3134,8109,3079,8079,3023,8041,2966,7980,2991,7799,3065,7831,3112,7855,3155,7873,3195,7884,3233,7887,3268,7881,3301,7866,3332,7843,3361,7812,3385,7778,3399,7740,3403,7700,3397,7653,3378,7600,3344,7538,3295,7469,3230,7417,3174,7375,3122,7344,3074,7324,3031,7311,2980,7312,2933,7325,2892,7352,2856,7367,2843,7384,2833,7402,2825,7422,2820,7442,2818,7464,2819,7486,2822,7509,2828,7524,2834,7542,2842,7563,2853,7586,2867,7705,2642,7622,2596,7543,2564,7469,2545,7400,2539,7333,2547,7269,2569,7206,2607,7146,2660,7092,2722,7054,2789,7030,2859,7021,2933,7027,3011,7044,3078,7070,3145,7106,3214,7153,3284,7209,3355,7276,3427,7341,3487,7404,3539,7467,3583,7529,3618,7590,3646,7662,3669,7730,3682,7791,3685,7847,3678,7900,3661,7952,3635,8004,3598,8056,3552,8094,3509,8125,3466,8147,3422,8161,3378,8169,3333,8170,3286xm8868,2570l8861,2506,8846,2441,8820,2374,8792,2319,8757,2263,8714,2206,8664,2147,8646,2128,8607,2087,8583,2064,8583,2558,8578,2598,8562,2635,8536,2668,8504,2694,8467,2709,8427,2713,8382,2707,8333,2689,8279,2657,8221,2612,8157,2553,8098,2489,8052,2430,8020,2376,8002,2327,7996,2282,8000,2242,8014,2206,8039,2174,8071,2149,8108,2133,8149,2128,8193,2133,8241,2151,8293,2180,8349,2223,8409,2278,8474,2347,8524,2410,8558,2466,8577,2515,8583,2558,8583,2064,8537,2021,8467,1966,8398,1921,8330,1886,8262,1860,8194,1844,8116,1839,8040,1849,7968,1874,7900,1915,7835,1970,7781,2034,7742,2101,7718,2173,7709,2249,7715,2328,7731,2397,7758,2466,7794,2535,7839,2605,7895,2676,7961,2746,8022,2804,8082,2853,8142,2895,8201,2930,8259,2957,8329,2982,8397,2995,8461,2999,8521,2992,8579,2976,8635,2949,8690,2911,8744,2863,8791,2809,8827,2753,8844,2713,8852,2694,8865,2633,8868,2570xm9348,2229l9025,1906,9132,1799,9182,1739,9188,1730,9216,1678,9233,1615,9233,1550,9217,1484,9194,1433,9187,1418,9142,1353,9084,1287,9020,1229,8957,1186,8948,1182,8948,1575,8947,1601,8938,1627,8921,1654,8896,1682,8849,1730,8654,1535,8710,1480,8737,1456,8763,1441,8788,1433,8812,1434,8836,1440,8859,1451,8881,1465,8902,1484,8920,1505,8934,1528,8943,1551,8948,1575,8948,1182,8895,1157,8833,1141,8773,1140,8715,1155,8659,1185,8605,1230,8282,1554,9153,2425,9348,2229xm10166,1412l9801,1047,9748,897,9593,446,9540,296,9325,511,9353,581,9436,792,9492,932,9422,904,9211,821,9071,765,8854,981,9005,1034,9456,1189,9606,1242,9971,1607,10166,1412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041600">
                <wp:simplePos x="0" y="0"/>
                <wp:positionH relativeFrom="page">
                  <wp:posOffset>896416</wp:posOffset>
                </wp:positionH>
                <wp:positionV relativeFrom="paragraph">
                  <wp:posOffset>727</wp:posOffset>
                </wp:positionV>
                <wp:extent cx="5981065" cy="604520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5981065" cy="6045200"/>
                        </a:xfrm>
                        <a:custGeom>
                          <a:avLst/>
                          <a:gdLst/>
                          <a:ahLst/>
                          <a:cxnLst/>
                          <a:rect l="l" t="t" r="r" b="b"/>
                          <a:pathLst>
                            <a:path w="5981065" h="6045200">
                              <a:moveTo>
                                <a:pt x="5981065" y="5314899"/>
                              </a:moveTo>
                              <a:lnTo>
                                <a:pt x="0" y="5314899"/>
                              </a:lnTo>
                              <a:lnTo>
                                <a:pt x="0" y="5679440"/>
                              </a:lnTo>
                              <a:lnTo>
                                <a:pt x="0" y="6045200"/>
                              </a:lnTo>
                              <a:lnTo>
                                <a:pt x="5981065" y="6045200"/>
                              </a:lnTo>
                              <a:lnTo>
                                <a:pt x="5981065" y="5679440"/>
                              </a:lnTo>
                              <a:lnTo>
                                <a:pt x="5981065" y="5314899"/>
                              </a:lnTo>
                              <a:close/>
                            </a:path>
                            <a:path w="5981065" h="6045200">
                              <a:moveTo>
                                <a:pt x="5981065" y="830656"/>
                              </a:moveTo>
                              <a:lnTo>
                                <a:pt x="0" y="830656"/>
                              </a:lnTo>
                              <a:lnTo>
                                <a:pt x="0" y="1196721"/>
                              </a:lnTo>
                              <a:lnTo>
                                <a:pt x="0" y="1562481"/>
                              </a:lnTo>
                              <a:lnTo>
                                <a:pt x="0" y="5314823"/>
                              </a:lnTo>
                              <a:lnTo>
                                <a:pt x="5981065" y="5314823"/>
                              </a:lnTo>
                              <a:lnTo>
                                <a:pt x="5981065" y="1196721"/>
                              </a:lnTo>
                              <a:lnTo>
                                <a:pt x="5981065" y="830656"/>
                              </a:lnTo>
                              <a:close/>
                            </a:path>
                            <a:path w="5981065" h="6045200">
                              <a:moveTo>
                                <a:pt x="5981065" y="466356"/>
                              </a:moveTo>
                              <a:lnTo>
                                <a:pt x="0" y="466356"/>
                              </a:lnTo>
                              <a:lnTo>
                                <a:pt x="0" y="830580"/>
                              </a:lnTo>
                              <a:lnTo>
                                <a:pt x="5981065" y="830580"/>
                              </a:lnTo>
                              <a:lnTo>
                                <a:pt x="5981065" y="466356"/>
                              </a:lnTo>
                              <a:close/>
                            </a:path>
                            <a:path w="5981065" h="6045200">
                              <a:moveTo>
                                <a:pt x="5981065" y="0"/>
                              </a:moveTo>
                              <a:lnTo>
                                <a:pt x="0" y="0"/>
                              </a:lnTo>
                              <a:lnTo>
                                <a:pt x="0" y="466344"/>
                              </a:lnTo>
                              <a:lnTo>
                                <a:pt x="5981065" y="466344"/>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057294pt;width:470.95pt;height:476pt;mso-position-horizontal-relative:page;mso-position-vertical-relative:paragraph;z-index:-25274880" id="docshape80" coordorigin="1412,1" coordsize="9419,9520" path="m10831,8371l1412,8371,1412,8945,1412,9521,10831,9521,10831,8945,10831,8371xm10831,1309l1412,1309,1412,1886,1412,2462,1412,3035,1412,3611,1412,4185,1412,4761,1412,4761,1412,5496,1412,6072,1412,6645,1412,7221,1412,7795,1412,8371,10831,8371,10831,7795,10831,7221,10831,6645,10831,6072,10831,5496,10831,4761,10831,4761,10831,4185,10831,3611,10831,3035,10831,2462,10831,1886,10831,1309xm10831,736l1412,736,1412,1309,10831,1309,10831,736xm10831,1l1412,1,1412,736,10831,736,10831,1xe" filled="true" fillcolor="#ffffff" stroked="false">
                <v:path arrowok="t"/>
                <v:fill type="solid"/>
                <w10:wrap type="none"/>
              </v:shape>
            </w:pict>
          </mc:Fallback>
        </mc:AlternateContent>
      </w:r>
      <w:r>
        <w:rPr/>
        <w:t>Oji-Okoro,</w:t>
      </w:r>
      <w:r>
        <w:rPr>
          <w:spacing w:val="8"/>
        </w:rPr>
        <w:t> </w:t>
      </w:r>
      <w:r>
        <w:rPr/>
        <w:t>Huang,</w:t>
      </w:r>
      <w:r>
        <w:rPr>
          <w:spacing w:val="7"/>
        </w:rPr>
        <w:t> </w:t>
      </w:r>
      <w:r>
        <w:rPr/>
        <w:t>Abbaand</w:t>
      </w:r>
      <w:r>
        <w:rPr>
          <w:spacing w:val="7"/>
        </w:rPr>
        <w:t> </w:t>
      </w:r>
      <w:r>
        <w:rPr/>
        <w:t>Edun</w:t>
      </w:r>
      <w:r>
        <w:rPr>
          <w:spacing w:val="8"/>
        </w:rPr>
        <w:t> </w:t>
      </w:r>
      <w:r>
        <w:rPr/>
        <w:t>(2014)</w:t>
      </w:r>
      <w:r>
        <w:rPr>
          <w:spacing w:val="10"/>
        </w:rPr>
        <w:t> </w:t>
      </w:r>
      <w:r>
        <w:rPr/>
        <w:t>defined</w:t>
      </w:r>
      <w:r>
        <w:rPr>
          <w:spacing w:val="8"/>
        </w:rPr>
        <w:t> </w:t>
      </w:r>
      <w:r>
        <w:rPr/>
        <w:t>FDI</w:t>
      </w:r>
      <w:r>
        <w:rPr>
          <w:spacing w:val="8"/>
        </w:rPr>
        <w:t> </w:t>
      </w:r>
      <w:r>
        <w:rPr/>
        <w:t>as</w:t>
      </w:r>
      <w:r>
        <w:rPr>
          <w:spacing w:val="8"/>
        </w:rPr>
        <w:t> </w:t>
      </w:r>
      <w:r>
        <w:rPr/>
        <w:t>an</w:t>
      </w:r>
      <w:r>
        <w:rPr>
          <w:spacing w:val="7"/>
        </w:rPr>
        <w:t> </w:t>
      </w:r>
      <w:r>
        <w:rPr/>
        <w:t>investmentmade</w:t>
      </w:r>
      <w:r>
        <w:rPr>
          <w:spacing w:val="7"/>
        </w:rPr>
        <w:t> </w:t>
      </w:r>
      <w:r>
        <w:rPr/>
        <w:t>by</w:t>
      </w:r>
      <w:r>
        <w:rPr>
          <w:spacing w:val="8"/>
        </w:rPr>
        <w:t> </w:t>
      </w:r>
      <w:r>
        <w:rPr/>
        <w:t>a</w:t>
      </w:r>
      <w:r>
        <w:rPr>
          <w:spacing w:val="7"/>
        </w:rPr>
        <w:t> </w:t>
      </w:r>
      <w:r>
        <w:rPr>
          <w:spacing w:val="-2"/>
        </w:rPr>
        <w:t>company</w:t>
      </w:r>
    </w:p>
    <w:p>
      <w:pPr>
        <w:pStyle w:val="BodyText"/>
        <w:spacing w:before="286"/>
      </w:pPr>
      <w:r>
        <w:rPr/>
        <w:t>or</w:t>
      </w:r>
      <w:r>
        <w:rPr>
          <w:spacing w:val="42"/>
        </w:rPr>
        <w:t> </w:t>
      </w:r>
      <w:r>
        <w:rPr/>
        <w:t>entity</w:t>
      </w:r>
      <w:r>
        <w:rPr>
          <w:spacing w:val="41"/>
        </w:rPr>
        <w:t> </w:t>
      </w:r>
      <w:r>
        <w:rPr/>
        <w:t>basedin</w:t>
      </w:r>
      <w:r>
        <w:rPr>
          <w:spacing w:val="40"/>
        </w:rPr>
        <w:t> </w:t>
      </w:r>
      <w:r>
        <w:rPr/>
        <w:t>one</w:t>
      </w:r>
      <w:r>
        <w:rPr>
          <w:spacing w:val="40"/>
        </w:rPr>
        <w:t> </w:t>
      </w:r>
      <w:r>
        <w:rPr/>
        <w:t>country,</w:t>
      </w:r>
      <w:r>
        <w:rPr>
          <w:spacing w:val="42"/>
        </w:rPr>
        <w:t> </w:t>
      </w:r>
      <w:r>
        <w:rPr/>
        <w:t>into</w:t>
      </w:r>
      <w:r>
        <w:rPr>
          <w:spacing w:val="41"/>
        </w:rPr>
        <w:t> </w:t>
      </w:r>
      <w:r>
        <w:rPr/>
        <w:t>acompany</w:t>
      </w:r>
      <w:r>
        <w:rPr>
          <w:spacing w:val="43"/>
        </w:rPr>
        <w:t> </w:t>
      </w:r>
      <w:r>
        <w:rPr/>
        <w:t>or</w:t>
      </w:r>
      <w:r>
        <w:rPr>
          <w:spacing w:val="41"/>
        </w:rPr>
        <w:t> </w:t>
      </w:r>
      <w:r>
        <w:rPr/>
        <w:t>entity</w:t>
      </w:r>
      <w:r>
        <w:rPr>
          <w:spacing w:val="41"/>
        </w:rPr>
        <w:t> </w:t>
      </w:r>
      <w:r>
        <w:rPr/>
        <w:t>based</w:t>
      </w:r>
      <w:r>
        <w:rPr>
          <w:spacing w:val="40"/>
        </w:rPr>
        <w:t> </w:t>
      </w:r>
      <w:r>
        <w:rPr/>
        <w:t>inanother</w:t>
      </w:r>
      <w:r>
        <w:rPr>
          <w:spacing w:val="42"/>
        </w:rPr>
        <w:t> </w:t>
      </w:r>
      <w:r>
        <w:rPr/>
        <w:t>country.</w:t>
      </w:r>
      <w:r>
        <w:rPr>
          <w:spacing w:val="41"/>
        </w:rPr>
        <w:t> </w:t>
      </w:r>
      <w:r>
        <w:rPr>
          <w:spacing w:val="-2"/>
        </w:rPr>
        <w:t>Foreign</w:t>
      </w:r>
    </w:p>
    <w:p>
      <w:pPr>
        <w:pStyle w:val="BodyText"/>
        <w:spacing w:before="286"/>
      </w:pPr>
      <w:r>
        <w:rPr/>
        <w:t>direct</w:t>
      </w:r>
      <w:r>
        <w:rPr>
          <w:spacing w:val="63"/>
          <w:w w:val="150"/>
        </w:rPr>
        <w:t> </w:t>
      </w:r>
      <w:r>
        <w:rPr/>
        <w:t>investmentsdiffer</w:t>
      </w:r>
      <w:r>
        <w:rPr>
          <w:spacing w:val="63"/>
          <w:w w:val="150"/>
        </w:rPr>
        <w:t> </w:t>
      </w:r>
      <w:r>
        <w:rPr/>
        <w:t>substantially</w:t>
      </w:r>
      <w:r>
        <w:rPr>
          <w:spacing w:val="63"/>
          <w:w w:val="150"/>
        </w:rPr>
        <w:t> </w:t>
      </w:r>
      <w:r>
        <w:rPr/>
        <w:t>fromindirect</w:t>
      </w:r>
      <w:r>
        <w:rPr>
          <w:spacing w:val="63"/>
          <w:w w:val="150"/>
        </w:rPr>
        <w:t> </w:t>
      </w:r>
      <w:r>
        <w:rPr/>
        <w:t>investments</w:t>
      </w:r>
      <w:r>
        <w:rPr>
          <w:spacing w:val="64"/>
          <w:w w:val="150"/>
        </w:rPr>
        <w:t> </w:t>
      </w:r>
      <w:r>
        <w:rPr/>
        <w:t>suchas</w:t>
      </w:r>
      <w:r>
        <w:rPr>
          <w:spacing w:val="63"/>
          <w:w w:val="150"/>
        </w:rPr>
        <w:t> </w:t>
      </w:r>
      <w:r>
        <w:rPr/>
        <w:t>portfolio</w:t>
      </w:r>
      <w:r>
        <w:rPr>
          <w:spacing w:val="63"/>
          <w:w w:val="150"/>
        </w:rPr>
        <w:t> </w:t>
      </w:r>
      <w:r>
        <w:rPr>
          <w:spacing w:val="-2"/>
        </w:rPr>
        <w:t>flows,</w:t>
      </w:r>
    </w:p>
    <w:p>
      <w:pPr>
        <w:pStyle w:val="BodyText"/>
        <w:spacing w:before="2"/>
        <w:ind w:left="0"/>
      </w:pPr>
    </w:p>
    <w:p>
      <w:pPr>
        <w:pStyle w:val="BodyText"/>
      </w:pPr>
      <w:r>
        <w:rPr/>
        <w:t>wherein</w:t>
      </w:r>
      <w:r>
        <w:rPr>
          <w:spacing w:val="44"/>
        </w:rPr>
        <w:t> </w:t>
      </w:r>
      <w:r>
        <w:rPr/>
        <w:t>overseasinstitutions</w:t>
      </w:r>
      <w:r>
        <w:rPr>
          <w:spacing w:val="46"/>
        </w:rPr>
        <w:t> </w:t>
      </w:r>
      <w:r>
        <w:rPr/>
        <w:t>invest</w:t>
      </w:r>
      <w:r>
        <w:rPr>
          <w:spacing w:val="45"/>
        </w:rPr>
        <w:t> </w:t>
      </w:r>
      <w:r>
        <w:rPr/>
        <w:t>inequities</w:t>
      </w:r>
      <w:r>
        <w:rPr>
          <w:spacing w:val="48"/>
        </w:rPr>
        <w:t> </w:t>
      </w:r>
      <w:r>
        <w:rPr/>
        <w:t>listed</w:t>
      </w:r>
      <w:r>
        <w:rPr>
          <w:spacing w:val="44"/>
        </w:rPr>
        <w:t> </w:t>
      </w:r>
      <w:r>
        <w:rPr/>
        <w:t>on</w:t>
      </w:r>
      <w:r>
        <w:rPr>
          <w:spacing w:val="44"/>
        </w:rPr>
        <w:t> </w:t>
      </w:r>
      <w:r>
        <w:rPr/>
        <w:t>a</w:t>
      </w:r>
      <w:r>
        <w:rPr>
          <w:spacing w:val="44"/>
        </w:rPr>
        <w:t> </w:t>
      </w:r>
      <w:r>
        <w:rPr/>
        <w:t>nation's</w:t>
      </w:r>
      <w:r>
        <w:rPr>
          <w:spacing w:val="46"/>
        </w:rPr>
        <w:t> </w:t>
      </w:r>
      <w:r>
        <w:rPr/>
        <w:t>stockexchange.</w:t>
      </w:r>
      <w:r>
        <w:rPr>
          <w:spacing w:val="44"/>
        </w:rPr>
        <w:t> </w:t>
      </w:r>
      <w:r>
        <w:rPr>
          <w:spacing w:val="-2"/>
        </w:rPr>
        <w:t>Entities</w:t>
      </w:r>
    </w:p>
    <w:p>
      <w:pPr>
        <w:pStyle w:val="BodyText"/>
        <w:spacing w:before="1"/>
        <w:ind w:left="0"/>
      </w:pPr>
    </w:p>
    <w:p>
      <w:pPr>
        <w:pStyle w:val="BodyText"/>
      </w:pPr>
      <w:r>
        <w:rPr/>
        <w:t>making directinvestments</w:t>
      </w:r>
      <w:r>
        <w:rPr>
          <w:spacing w:val="2"/>
        </w:rPr>
        <w:t> </w:t>
      </w:r>
      <w:r>
        <w:rPr/>
        <w:t>typically</w:t>
      </w:r>
      <w:r>
        <w:rPr>
          <w:spacing w:val="1"/>
        </w:rPr>
        <w:t> </w:t>
      </w:r>
      <w:r>
        <w:rPr/>
        <w:t>have asignificant degree of</w:t>
      </w:r>
      <w:r>
        <w:rPr>
          <w:spacing w:val="1"/>
        </w:rPr>
        <w:t> </w:t>
      </w:r>
      <w:r>
        <w:rPr/>
        <w:t>influenceand control</w:t>
      </w:r>
      <w:r>
        <w:rPr>
          <w:spacing w:val="1"/>
        </w:rPr>
        <w:t> </w:t>
      </w:r>
      <w:r>
        <w:rPr/>
        <w:t>over</w:t>
      </w:r>
      <w:r>
        <w:rPr>
          <w:spacing w:val="1"/>
        </w:rPr>
        <w:t> </w:t>
      </w:r>
      <w:r>
        <w:rPr>
          <w:spacing w:val="-5"/>
        </w:rPr>
        <w:t>the</w:t>
      </w:r>
    </w:p>
    <w:p>
      <w:pPr>
        <w:pStyle w:val="BodyText"/>
        <w:spacing w:before="286"/>
      </w:pPr>
      <w:r>
        <w:rPr/>
        <w:t>company</w:t>
      </w:r>
      <w:r>
        <w:rPr>
          <w:spacing w:val="-10"/>
        </w:rPr>
        <w:t> </w:t>
      </w:r>
      <w:r>
        <w:rPr/>
        <w:t>intowhich</w:t>
      </w:r>
      <w:r>
        <w:rPr>
          <w:spacing w:val="-10"/>
        </w:rPr>
        <w:t> </w:t>
      </w:r>
      <w:r>
        <w:rPr/>
        <w:t>the</w:t>
      </w:r>
      <w:r>
        <w:rPr>
          <w:spacing w:val="-7"/>
        </w:rPr>
        <w:t> </w:t>
      </w:r>
      <w:r>
        <w:rPr/>
        <w:t>investment</w:t>
      </w:r>
      <w:r>
        <w:rPr>
          <w:spacing w:val="-10"/>
        </w:rPr>
        <w:t> </w:t>
      </w:r>
      <w:r>
        <w:rPr/>
        <w:t>ismade.</w:t>
      </w:r>
      <w:r>
        <w:rPr>
          <w:spacing w:val="-9"/>
        </w:rPr>
        <w:t> </w:t>
      </w:r>
      <w:r>
        <w:rPr/>
        <w:t>Open</w:t>
      </w:r>
      <w:r>
        <w:rPr>
          <w:spacing w:val="-7"/>
        </w:rPr>
        <w:t> </w:t>
      </w:r>
      <w:r>
        <w:rPr/>
        <w:t>economieswith</w:t>
      </w:r>
      <w:r>
        <w:rPr>
          <w:spacing w:val="-10"/>
        </w:rPr>
        <w:t> </w:t>
      </w:r>
      <w:r>
        <w:rPr/>
        <w:t>skilled</w:t>
      </w:r>
      <w:r>
        <w:rPr>
          <w:spacing w:val="-7"/>
        </w:rPr>
        <w:t> </w:t>
      </w:r>
      <w:r>
        <w:rPr/>
        <w:t>workforcesand</w:t>
      </w:r>
      <w:r>
        <w:rPr>
          <w:spacing w:val="-9"/>
        </w:rPr>
        <w:t> </w:t>
      </w:r>
      <w:r>
        <w:rPr>
          <w:spacing w:val="-4"/>
        </w:rPr>
        <w:t>good</w:t>
      </w:r>
    </w:p>
    <w:p>
      <w:pPr>
        <w:pStyle w:val="BodyText"/>
        <w:spacing w:before="1"/>
        <w:ind w:left="0"/>
      </w:pPr>
    </w:p>
    <w:p>
      <w:pPr>
        <w:pStyle w:val="BodyText"/>
      </w:pPr>
      <w:r>
        <w:rPr/>
        <w:t>growth</w:t>
      </w:r>
      <w:r>
        <w:rPr>
          <w:spacing w:val="2"/>
        </w:rPr>
        <w:t> </w:t>
      </w:r>
      <w:r>
        <w:rPr/>
        <w:t>prospectstend</w:t>
      </w:r>
      <w:r>
        <w:rPr>
          <w:spacing w:val="2"/>
        </w:rPr>
        <w:t> </w:t>
      </w:r>
      <w:r>
        <w:rPr/>
        <w:t>to attract</w:t>
      </w:r>
      <w:r>
        <w:rPr>
          <w:spacing w:val="2"/>
        </w:rPr>
        <w:t> </w:t>
      </w:r>
      <w:r>
        <w:rPr/>
        <w:t>largeramounts</w:t>
      </w:r>
      <w:r>
        <w:rPr>
          <w:spacing w:val="3"/>
        </w:rPr>
        <w:t> </w:t>
      </w:r>
      <w:r>
        <w:rPr/>
        <w:t>of</w:t>
      </w:r>
      <w:r>
        <w:rPr>
          <w:spacing w:val="4"/>
        </w:rPr>
        <w:t> </w:t>
      </w:r>
      <w:r>
        <w:rPr/>
        <w:t>foreign</w:t>
      </w:r>
      <w:r>
        <w:rPr>
          <w:spacing w:val="2"/>
        </w:rPr>
        <w:t> </w:t>
      </w:r>
      <w:r>
        <w:rPr/>
        <w:t>directinvestment</w:t>
      </w:r>
      <w:r>
        <w:rPr>
          <w:spacing w:val="2"/>
        </w:rPr>
        <w:t> </w:t>
      </w:r>
      <w:r>
        <w:rPr/>
        <w:t>thanclosed,</w:t>
      </w:r>
      <w:r>
        <w:rPr>
          <w:spacing w:val="2"/>
        </w:rPr>
        <w:t> </w:t>
      </w:r>
      <w:r>
        <w:rPr>
          <w:spacing w:val="-2"/>
        </w:rPr>
        <w:t>highly</w:t>
      </w:r>
    </w:p>
    <w:p>
      <w:pPr>
        <w:pStyle w:val="BodyText"/>
        <w:spacing w:before="286"/>
      </w:pPr>
      <w:r>
        <w:rPr/>
        <w:t>regulated</w:t>
      </w:r>
      <w:r>
        <w:rPr>
          <w:spacing w:val="-12"/>
        </w:rPr>
        <w:t> </w:t>
      </w:r>
      <w:r>
        <w:rPr>
          <w:spacing w:val="-2"/>
        </w:rPr>
        <w:t>economies.</w:t>
      </w:r>
    </w:p>
    <w:p>
      <w:pPr>
        <w:pStyle w:val="BodyText"/>
        <w:spacing w:before="162"/>
        <w:ind w:left="0"/>
      </w:pPr>
    </w:p>
    <w:p>
      <w:pPr>
        <w:pStyle w:val="BodyText"/>
        <w:spacing w:before="1"/>
      </w:pPr>
      <w:r>
        <w:rPr/>
        <w:t>FDI</w:t>
      </w:r>
      <w:r>
        <w:rPr>
          <w:spacing w:val="44"/>
        </w:rPr>
        <w:t> </w:t>
      </w:r>
      <w:r>
        <w:rPr/>
        <w:t>is</w:t>
      </w:r>
      <w:r>
        <w:rPr>
          <w:spacing w:val="44"/>
        </w:rPr>
        <w:t> </w:t>
      </w:r>
      <w:r>
        <w:rPr/>
        <w:t>the</w:t>
      </w:r>
      <w:r>
        <w:rPr>
          <w:spacing w:val="44"/>
        </w:rPr>
        <w:t> </w:t>
      </w:r>
      <w:r>
        <w:rPr/>
        <w:t>transfer</w:t>
      </w:r>
      <w:r>
        <w:rPr>
          <w:spacing w:val="44"/>
        </w:rPr>
        <w:t> </w:t>
      </w:r>
      <w:r>
        <w:rPr/>
        <w:t>of</w:t>
      </w:r>
      <w:r>
        <w:rPr>
          <w:spacing w:val="44"/>
        </w:rPr>
        <w:t> </w:t>
      </w:r>
      <w:r>
        <w:rPr/>
        <w:t>foreigncapital</w:t>
      </w:r>
      <w:r>
        <w:rPr>
          <w:spacing w:val="44"/>
        </w:rPr>
        <w:t> </w:t>
      </w:r>
      <w:r>
        <w:rPr/>
        <w:t>in</w:t>
      </w:r>
      <w:r>
        <w:rPr>
          <w:spacing w:val="43"/>
        </w:rPr>
        <w:t> </w:t>
      </w:r>
      <w:r>
        <w:rPr/>
        <w:t>form</w:t>
      </w:r>
      <w:r>
        <w:rPr>
          <w:spacing w:val="46"/>
        </w:rPr>
        <w:t> </w:t>
      </w:r>
      <w:r>
        <w:rPr/>
        <w:t>ofequity</w:t>
      </w:r>
      <w:r>
        <w:rPr>
          <w:spacing w:val="43"/>
        </w:rPr>
        <w:t> </w:t>
      </w:r>
      <w:r>
        <w:rPr/>
        <w:t>and</w:t>
      </w:r>
      <w:r>
        <w:rPr>
          <w:spacing w:val="44"/>
        </w:rPr>
        <w:t> </w:t>
      </w:r>
      <w:r>
        <w:rPr/>
        <w:t>other</w:t>
      </w:r>
      <w:r>
        <w:rPr>
          <w:spacing w:val="46"/>
        </w:rPr>
        <w:t> </w:t>
      </w:r>
      <w:r>
        <w:rPr/>
        <w:t>assets</w:t>
      </w:r>
      <w:r>
        <w:rPr>
          <w:spacing w:val="44"/>
        </w:rPr>
        <w:t> </w:t>
      </w:r>
      <w:r>
        <w:rPr/>
        <w:t>ofinternational</w:t>
      </w:r>
      <w:r>
        <w:rPr>
          <w:spacing w:val="44"/>
        </w:rPr>
        <w:t> </w:t>
      </w:r>
      <w:r>
        <w:rPr>
          <w:spacing w:val="-5"/>
        </w:rPr>
        <w:t>or</w:t>
      </w:r>
    </w:p>
    <w:p>
      <w:pPr>
        <w:pStyle w:val="BodyText"/>
        <w:spacing w:before="286"/>
      </w:pPr>
      <w:r>
        <w:rPr/>
        <w:t>multinationalcorporations.</w:t>
      </w:r>
      <w:r>
        <w:rPr>
          <w:spacing w:val="12"/>
        </w:rPr>
        <w:t> </w:t>
      </w:r>
      <w:r>
        <w:rPr/>
        <w:t>It</w:t>
      </w:r>
      <w:r>
        <w:rPr>
          <w:spacing w:val="13"/>
        </w:rPr>
        <w:t> </w:t>
      </w:r>
      <w:r>
        <w:rPr/>
        <w:t>may</w:t>
      </w:r>
      <w:r>
        <w:rPr>
          <w:spacing w:val="13"/>
        </w:rPr>
        <w:t> </w:t>
      </w:r>
      <w:r>
        <w:rPr/>
        <w:t>involve</w:t>
      </w:r>
      <w:r>
        <w:rPr>
          <w:spacing w:val="13"/>
        </w:rPr>
        <w:t> </w:t>
      </w:r>
      <w:r>
        <w:rPr/>
        <w:t>the</w:t>
      </w:r>
      <w:r>
        <w:rPr>
          <w:spacing w:val="13"/>
        </w:rPr>
        <w:t> </w:t>
      </w:r>
      <w:r>
        <w:rPr/>
        <w:t>jointownership</w:t>
      </w:r>
      <w:r>
        <w:rPr>
          <w:spacing w:val="13"/>
        </w:rPr>
        <w:t> </w:t>
      </w:r>
      <w:r>
        <w:rPr/>
        <w:t>between</w:t>
      </w:r>
      <w:r>
        <w:rPr>
          <w:spacing w:val="15"/>
        </w:rPr>
        <w:t> </w:t>
      </w:r>
      <w:r>
        <w:rPr/>
        <w:t>theforeigners</w:t>
      </w:r>
      <w:r>
        <w:rPr>
          <w:spacing w:val="14"/>
        </w:rPr>
        <w:t> </w:t>
      </w:r>
      <w:r>
        <w:rPr/>
        <w:t>and</w:t>
      </w:r>
      <w:r>
        <w:rPr>
          <w:spacing w:val="12"/>
        </w:rPr>
        <w:t> </w:t>
      </w:r>
      <w:r>
        <w:rPr>
          <w:spacing w:val="-5"/>
        </w:rPr>
        <w:t>the</w:t>
      </w:r>
    </w:p>
    <w:p>
      <w:pPr>
        <w:pStyle w:val="BodyText"/>
        <w:spacing w:before="1"/>
        <w:ind w:left="0"/>
      </w:pPr>
    </w:p>
    <w:p>
      <w:pPr>
        <w:pStyle w:val="BodyText"/>
      </w:pPr>
      <w:r>
        <w:rPr/>
        <w:t>government</w:t>
      </w:r>
      <w:r>
        <w:rPr>
          <w:spacing w:val="40"/>
        </w:rPr>
        <w:t> </w:t>
      </w:r>
      <w:r>
        <w:rPr/>
        <w:t>of</w:t>
      </w:r>
      <w:r>
        <w:rPr>
          <w:spacing w:val="41"/>
        </w:rPr>
        <w:t> </w:t>
      </w:r>
      <w:r>
        <w:rPr/>
        <w:t>thedomestic</w:t>
      </w:r>
      <w:r>
        <w:rPr>
          <w:spacing w:val="41"/>
        </w:rPr>
        <w:t> </w:t>
      </w:r>
      <w:r>
        <w:rPr/>
        <w:t>economywhere</w:t>
      </w:r>
      <w:r>
        <w:rPr>
          <w:spacing w:val="41"/>
        </w:rPr>
        <w:t> </w:t>
      </w:r>
      <w:r>
        <w:rPr/>
        <w:t>the</w:t>
      </w:r>
      <w:r>
        <w:rPr>
          <w:spacing w:val="40"/>
        </w:rPr>
        <w:t> </w:t>
      </w:r>
      <w:r>
        <w:rPr/>
        <w:t>capital</w:t>
      </w:r>
      <w:r>
        <w:rPr>
          <w:spacing w:val="43"/>
        </w:rPr>
        <w:t> </w:t>
      </w:r>
      <w:r>
        <w:rPr/>
        <w:t>is</w:t>
      </w:r>
      <w:r>
        <w:rPr>
          <w:spacing w:val="41"/>
        </w:rPr>
        <w:t> </w:t>
      </w:r>
      <w:r>
        <w:rPr/>
        <w:t>investedand</w:t>
      </w:r>
      <w:r>
        <w:rPr>
          <w:spacing w:val="41"/>
        </w:rPr>
        <w:t> </w:t>
      </w:r>
      <w:r>
        <w:rPr/>
        <w:t>it</w:t>
      </w:r>
      <w:r>
        <w:rPr>
          <w:spacing w:val="41"/>
        </w:rPr>
        <w:t> </w:t>
      </w:r>
      <w:r>
        <w:rPr/>
        <w:t>is</w:t>
      </w:r>
      <w:r>
        <w:rPr>
          <w:spacing w:val="42"/>
        </w:rPr>
        <w:t> </w:t>
      </w:r>
      <w:r>
        <w:rPr/>
        <w:t>called</w:t>
      </w:r>
      <w:r>
        <w:rPr>
          <w:spacing w:val="43"/>
        </w:rPr>
        <w:t> </w:t>
      </w:r>
      <w:r>
        <w:rPr>
          <w:spacing w:val="-2"/>
        </w:rPr>
        <w:t>thejoint</w:t>
      </w:r>
    </w:p>
    <w:p>
      <w:pPr>
        <w:pStyle w:val="BodyText"/>
        <w:spacing w:before="286"/>
      </w:pPr>
      <w:r>
        <w:rPr/>
        <w:t>venturecompanies.</w:t>
      </w:r>
      <w:r>
        <w:rPr>
          <w:spacing w:val="4"/>
        </w:rPr>
        <w:t> </w:t>
      </w:r>
      <w:r>
        <w:rPr/>
        <w:t>According</w:t>
      </w:r>
      <w:r>
        <w:rPr>
          <w:spacing w:val="4"/>
        </w:rPr>
        <w:t> </w:t>
      </w:r>
      <w:r>
        <w:rPr/>
        <w:t>to</w:t>
      </w:r>
      <w:r>
        <w:rPr>
          <w:spacing w:val="4"/>
        </w:rPr>
        <w:t> </w:t>
      </w:r>
      <w:r>
        <w:rPr/>
        <w:t>Egbo</w:t>
      </w:r>
      <w:r>
        <w:rPr>
          <w:spacing w:val="4"/>
        </w:rPr>
        <w:t> </w:t>
      </w:r>
      <w:r>
        <w:rPr/>
        <w:t>(2012),</w:t>
      </w:r>
      <w:r>
        <w:rPr>
          <w:spacing w:val="5"/>
        </w:rPr>
        <w:t> </w:t>
      </w:r>
      <w:r>
        <w:rPr/>
        <w:t>FDI</w:t>
      </w:r>
      <w:r>
        <w:rPr>
          <w:spacing w:val="5"/>
        </w:rPr>
        <w:t> </w:t>
      </w:r>
      <w:r>
        <w:rPr/>
        <w:t>is</w:t>
      </w:r>
      <w:r>
        <w:rPr>
          <w:spacing w:val="5"/>
        </w:rPr>
        <w:t> </w:t>
      </w:r>
      <w:r>
        <w:rPr/>
        <w:t>an</w:t>
      </w:r>
      <w:r>
        <w:rPr>
          <w:spacing w:val="4"/>
        </w:rPr>
        <w:t> </w:t>
      </w:r>
      <w:r>
        <w:rPr/>
        <w:t>investmentmade</w:t>
      </w:r>
      <w:r>
        <w:rPr>
          <w:spacing w:val="4"/>
        </w:rPr>
        <w:t> </w:t>
      </w:r>
      <w:r>
        <w:rPr/>
        <w:t>to</w:t>
      </w:r>
      <w:r>
        <w:rPr>
          <w:spacing w:val="5"/>
        </w:rPr>
        <w:t> </w:t>
      </w:r>
      <w:r>
        <w:rPr/>
        <w:t>acquire</w:t>
      </w:r>
      <w:r>
        <w:rPr>
          <w:spacing w:val="4"/>
        </w:rPr>
        <w:t> </w:t>
      </w:r>
      <w:r>
        <w:rPr>
          <w:spacing w:val="-2"/>
        </w:rPr>
        <w:t>alasting</w:t>
      </w:r>
    </w:p>
    <w:p>
      <w:pPr>
        <w:pStyle w:val="BodyText"/>
        <w:spacing w:before="1"/>
        <w:ind w:left="0"/>
      </w:pPr>
    </w:p>
    <w:p>
      <w:pPr>
        <w:pStyle w:val="BodyText"/>
      </w:pPr>
      <w:r>
        <w:rPr/>
        <w:t>management</w:t>
      </w:r>
      <w:r>
        <w:rPr>
          <w:spacing w:val="16"/>
        </w:rPr>
        <w:t> </w:t>
      </w:r>
      <w:r>
        <w:rPr/>
        <w:t>interestin</w:t>
      </w:r>
      <w:r>
        <w:rPr>
          <w:spacing w:val="20"/>
        </w:rPr>
        <w:t> </w:t>
      </w:r>
      <w:r>
        <w:rPr/>
        <w:t>a</w:t>
      </w:r>
      <w:r>
        <w:rPr>
          <w:spacing w:val="17"/>
        </w:rPr>
        <w:t> </w:t>
      </w:r>
      <w:r>
        <w:rPr/>
        <w:t>business</w:t>
      </w:r>
      <w:r>
        <w:rPr>
          <w:spacing w:val="17"/>
        </w:rPr>
        <w:t> </w:t>
      </w:r>
      <w:r>
        <w:rPr/>
        <w:t>enterprisein</w:t>
      </w:r>
      <w:r>
        <w:rPr>
          <w:spacing w:val="17"/>
        </w:rPr>
        <w:t> </w:t>
      </w:r>
      <w:r>
        <w:rPr/>
        <w:t>a</w:t>
      </w:r>
      <w:r>
        <w:rPr>
          <w:spacing w:val="17"/>
        </w:rPr>
        <w:t> </w:t>
      </w:r>
      <w:r>
        <w:rPr/>
        <w:t>given</w:t>
      </w:r>
      <w:r>
        <w:rPr>
          <w:spacing w:val="17"/>
        </w:rPr>
        <w:t> </w:t>
      </w:r>
      <w:r>
        <w:rPr/>
        <w:t>country</w:t>
      </w:r>
      <w:r>
        <w:rPr>
          <w:spacing w:val="17"/>
        </w:rPr>
        <w:t> </w:t>
      </w:r>
      <w:r>
        <w:rPr/>
        <w:t>otherthan</w:t>
      </w:r>
      <w:r>
        <w:rPr>
          <w:spacing w:val="17"/>
        </w:rPr>
        <w:t> </w:t>
      </w:r>
      <w:r>
        <w:rPr/>
        <w:t>that</w:t>
      </w:r>
      <w:r>
        <w:rPr>
          <w:spacing w:val="17"/>
        </w:rPr>
        <w:t> </w:t>
      </w:r>
      <w:r>
        <w:rPr/>
        <w:t>of</w:t>
      </w:r>
      <w:r>
        <w:rPr>
          <w:spacing w:val="17"/>
        </w:rPr>
        <w:t> </w:t>
      </w:r>
      <w:r>
        <w:rPr>
          <w:spacing w:val="-2"/>
        </w:rPr>
        <w:t>theinvestor</w:t>
      </w:r>
    </w:p>
    <w:p>
      <w:pPr>
        <w:pStyle w:val="BodyText"/>
        <w:spacing w:before="286"/>
      </w:pPr>
      <w:r>
        <w:rPr/>
        <w:t>defined</w:t>
      </w:r>
      <w:r>
        <w:rPr>
          <w:spacing w:val="7"/>
        </w:rPr>
        <w:t> </w:t>
      </w:r>
      <w:r>
        <w:rPr/>
        <w:t>accordingto</w:t>
      </w:r>
      <w:r>
        <w:rPr>
          <w:spacing w:val="8"/>
        </w:rPr>
        <w:t> </w:t>
      </w:r>
      <w:r>
        <w:rPr/>
        <w:t>residency.</w:t>
      </w:r>
      <w:r>
        <w:rPr>
          <w:spacing w:val="7"/>
        </w:rPr>
        <w:t> </w:t>
      </w:r>
      <w:r>
        <w:rPr/>
        <w:t>He</w:t>
      </w:r>
      <w:r>
        <w:rPr>
          <w:spacing w:val="6"/>
        </w:rPr>
        <w:t> </w:t>
      </w:r>
      <w:r>
        <w:rPr/>
        <w:t>added</w:t>
      </w:r>
      <w:r>
        <w:rPr>
          <w:spacing w:val="7"/>
        </w:rPr>
        <w:t> </w:t>
      </w:r>
      <w:r>
        <w:rPr/>
        <w:t>that</w:t>
      </w:r>
      <w:r>
        <w:rPr>
          <w:spacing w:val="8"/>
        </w:rPr>
        <w:t> </w:t>
      </w:r>
      <w:r>
        <w:rPr/>
        <w:t>FDI</w:t>
      </w:r>
      <w:r>
        <w:rPr>
          <w:spacing w:val="7"/>
        </w:rPr>
        <w:t> </w:t>
      </w:r>
      <w:r>
        <w:rPr/>
        <w:t>is</w:t>
      </w:r>
      <w:r>
        <w:rPr>
          <w:spacing w:val="9"/>
        </w:rPr>
        <w:t> </w:t>
      </w:r>
      <w:r>
        <w:rPr/>
        <w:t>acombination</w:t>
      </w:r>
      <w:r>
        <w:rPr>
          <w:spacing w:val="8"/>
        </w:rPr>
        <w:t> </w:t>
      </w:r>
      <w:r>
        <w:rPr/>
        <w:t>of</w:t>
      </w:r>
      <w:r>
        <w:rPr>
          <w:spacing w:val="7"/>
        </w:rPr>
        <w:t> </w:t>
      </w:r>
      <w:r>
        <w:rPr/>
        <w:t>merger</w:t>
      </w:r>
      <w:r>
        <w:rPr>
          <w:spacing w:val="9"/>
        </w:rPr>
        <w:t> </w:t>
      </w:r>
      <w:r>
        <w:rPr>
          <w:spacing w:val="-2"/>
        </w:rPr>
        <w:t>andacquisition</w:t>
      </w:r>
    </w:p>
    <w:p>
      <w:pPr>
        <w:pStyle w:val="BodyText"/>
        <w:spacing w:before="1"/>
        <w:ind w:left="0"/>
      </w:pPr>
    </w:p>
    <w:p>
      <w:pPr>
        <w:pStyle w:val="BodyText"/>
        <w:spacing w:before="1"/>
      </w:pPr>
      <w:r>
        <w:rPr/>
        <w:t>and</w:t>
      </w:r>
      <w:r>
        <w:rPr>
          <w:spacing w:val="56"/>
        </w:rPr>
        <w:t> </w:t>
      </w:r>
      <w:r>
        <w:rPr/>
        <w:t>new</w:t>
      </w:r>
      <w:r>
        <w:rPr>
          <w:spacing w:val="56"/>
        </w:rPr>
        <w:t> </w:t>
      </w:r>
      <w:r>
        <w:rPr/>
        <w:t>investmentsas</w:t>
      </w:r>
      <w:r>
        <w:rPr>
          <w:spacing w:val="57"/>
        </w:rPr>
        <w:t> </w:t>
      </w:r>
      <w:r>
        <w:rPr/>
        <w:t>well</w:t>
      </w:r>
      <w:r>
        <w:rPr>
          <w:spacing w:val="56"/>
        </w:rPr>
        <w:t> </w:t>
      </w:r>
      <w:r>
        <w:rPr/>
        <w:t>as</w:t>
      </w:r>
      <w:r>
        <w:rPr>
          <w:spacing w:val="57"/>
        </w:rPr>
        <w:t> </w:t>
      </w:r>
      <w:r>
        <w:rPr/>
        <w:t>thereinvested</w:t>
      </w:r>
      <w:r>
        <w:rPr>
          <w:spacing w:val="56"/>
        </w:rPr>
        <w:t> </w:t>
      </w:r>
      <w:r>
        <w:rPr/>
        <w:t>earnings</w:t>
      </w:r>
      <w:r>
        <w:rPr>
          <w:spacing w:val="58"/>
        </w:rPr>
        <w:t> </w:t>
      </w:r>
      <w:r>
        <w:rPr/>
        <w:t>andloans</w:t>
      </w:r>
      <w:r>
        <w:rPr>
          <w:spacing w:val="57"/>
        </w:rPr>
        <w:t> </w:t>
      </w:r>
      <w:r>
        <w:rPr/>
        <w:t>from</w:t>
      </w:r>
      <w:r>
        <w:rPr>
          <w:spacing w:val="57"/>
        </w:rPr>
        <w:t> </w:t>
      </w:r>
      <w:r>
        <w:rPr/>
        <w:t>and</w:t>
      </w:r>
      <w:r>
        <w:rPr>
          <w:spacing w:val="56"/>
        </w:rPr>
        <w:t> </w:t>
      </w:r>
      <w:r>
        <w:rPr>
          <w:spacing w:val="-2"/>
        </w:rPr>
        <w:t>similarcapital</w:t>
      </w:r>
    </w:p>
    <w:p>
      <w:pPr>
        <w:pStyle w:val="BodyText"/>
        <w:spacing w:line="480" w:lineRule="auto" w:before="286"/>
        <w:ind w:right="733"/>
        <w:jc w:val="both"/>
      </w:pPr>
      <w:r>
        <w:rPr/>
        <w:t>transfers betweenparent companies andtheir affiliates. FDI is seen to play akey role in the growth anddevelopment process ofdeveloping nations, like Nigeriawhose human and materialresources</w:t>
      </w:r>
      <w:r>
        <w:rPr>
          <w:spacing w:val="75"/>
        </w:rPr>
        <w:t> </w:t>
      </w:r>
      <w:r>
        <w:rPr/>
        <w:t>are</w:t>
      </w:r>
      <w:r>
        <w:rPr>
          <w:spacing w:val="72"/>
        </w:rPr>
        <w:t> </w:t>
      </w:r>
      <w:r>
        <w:rPr/>
        <w:t>underemployedor</w:t>
      </w:r>
      <w:r>
        <w:rPr>
          <w:spacing w:val="75"/>
        </w:rPr>
        <w:t> </w:t>
      </w:r>
      <w:r>
        <w:rPr/>
        <w:t>not</w:t>
      </w:r>
      <w:r>
        <w:rPr>
          <w:spacing w:val="77"/>
        </w:rPr>
        <w:t> </w:t>
      </w:r>
      <w:r>
        <w:rPr/>
        <w:t>fully</w:t>
      </w:r>
      <w:r>
        <w:rPr>
          <w:spacing w:val="74"/>
        </w:rPr>
        <w:t> </w:t>
      </w:r>
      <w:r>
        <w:rPr/>
        <w:t>employed.</w:t>
      </w:r>
      <w:r>
        <w:rPr>
          <w:spacing w:val="74"/>
        </w:rPr>
        <w:t> </w:t>
      </w:r>
      <w:r>
        <w:rPr/>
        <w:t>Accordingto</w:t>
      </w:r>
      <w:r>
        <w:rPr>
          <w:spacing w:val="74"/>
        </w:rPr>
        <w:t> </w:t>
      </w:r>
      <w:r>
        <w:rPr/>
        <w:t>Shiro</w:t>
      </w:r>
      <w:r>
        <w:rPr>
          <w:spacing w:val="75"/>
        </w:rPr>
        <w:t> </w:t>
      </w:r>
      <w:r>
        <w:rPr>
          <w:spacing w:val="-2"/>
        </w:rPr>
        <w:t>(2008),</w:t>
      </w:r>
    </w:p>
    <w:p>
      <w:pPr>
        <w:spacing w:after="0" w:line="480" w:lineRule="auto"/>
        <w:jc w:val="both"/>
        <w:sectPr>
          <w:pgSz w:w="12240" w:h="15840"/>
          <w:pgMar w:header="0" w:footer="1012" w:top="1380" w:bottom="1200" w:left="1220" w:right="700"/>
        </w:sectPr>
      </w:pPr>
    </w:p>
    <w:p>
      <w:pPr>
        <w:pStyle w:val="BodyText"/>
        <w:spacing w:line="480" w:lineRule="auto" w:before="60"/>
      </w:pPr>
      <w:r>
        <w:rPr/>
        <w:t>foreign investments consist of foreign</w:t>
      </w:r>
      <w:r>
        <w:rPr>
          <w:spacing w:val="-1"/>
        </w:rPr>
        <w:t> </w:t>
      </w:r>
      <w:r>
        <w:rPr/>
        <w:t>resourcessuch astechnology, managerialand marketing expertise andcapital which have considerable impacton the host nation's production capacity.</w:t>
      </w:r>
    </w:p>
    <w:p>
      <w:pPr>
        <w:pStyle w:val="BodyText"/>
        <w:spacing w:before="160"/>
      </w:pPr>
      <w:r>
        <w:rPr/>
        <w:t>Foreign</w:t>
      </w:r>
      <w:r>
        <w:rPr>
          <w:spacing w:val="-5"/>
        </w:rPr>
        <w:t> </w:t>
      </w:r>
      <w:r>
        <w:rPr/>
        <w:t>Direct</w:t>
      </w:r>
      <w:r>
        <w:rPr>
          <w:spacing w:val="-5"/>
        </w:rPr>
        <w:t> </w:t>
      </w:r>
      <w:r>
        <w:rPr/>
        <w:t>Investment</w:t>
      </w:r>
      <w:r>
        <w:rPr>
          <w:spacing w:val="-4"/>
        </w:rPr>
        <w:t> </w:t>
      </w:r>
      <w:r>
        <w:rPr/>
        <w:t>(FDI)</w:t>
      </w:r>
      <w:r>
        <w:rPr>
          <w:spacing w:val="-5"/>
        </w:rPr>
        <w:t> </w:t>
      </w:r>
      <w:r>
        <w:rPr/>
        <w:t>occurswhen</w:t>
      </w:r>
      <w:r>
        <w:rPr>
          <w:spacing w:val="-5"/>
        </w:rPr>
        <w:t> </w:t>
      </w:r>
      <w:r>
        <w:rPr/>
        <w:t>a</w:t>
      </w:r>
      <w:r>
        <w:rPr>
          <w:spacing w:val="-6"/>
        </w:rPr>
        <w:t> </w:t>
      </w:r>
      <w:r>
        <w:rPr/>
        <w:t>firm</w:t>
      </w:r>
      <w:r>
        <w:rPr>
          <w:spacing w:val="-4"/>
        </w:rPr>
        <w:t> </w:t>
      </w:r>
      <w:r>
        <w:rPr/>
        <w:t>invests</w:t>
      </w:r>
      <w:r>
        <w:rPr>
          <w:spacing w:val="-2"/>
        </w:rPr>
        <w:t> </w:t>
      </w:r>
      <w:r>
        <w:rPr/>
        <w:t>directly</w:t>
      </w:r>
      <w:r>
        <w:rPr>
          <w:spacing w:val="-5"/>
        </w:rPr>
        <w:t> </w:t>
      </w:r>
      <w:r>
        <w:rPr/>
        <w:t>in</w:t>
      </w:r>
      <w:r>
        <w:rPr>
          <w:spacing w:val="-4"/>
        </w:rPr>
        <w:t> </w:t>
      </w:r>
      <w:r>
        <w:rPr/>
        <w:t>theproduction</w:t>
      </w:r>
      <w:r>
        <w:rPr>
          <w:spacing w:val="-5"/>
        </w:rPr>
        <w:t> </w:t>
      </w:r>
      <w:r>
        <w:rPr/>
        <w:t>or</w:t>
      </w:r>
      <w:r>
        <w:rPr>
          <w:spacing w:val="-4"/>
        </w:rPr>
        <w:t> </w:t>
      </w:r>
      <w:r>
        <w:rPr>
          <w:spacing w:val="-2"/>
        </w:rPr>
        <w:t>other</w:t>
      </w:r>
    </w:p>
    <w:p>
      <w:pPr>
        <w:pStyle w:val="BodyText"/>
        <w:spacing w:before="286"/>
      </w:pPr>
      <w:r>
        <w:rPr/>
        <mc:AlternateContent>
          <mc:Choice Requires="wps">
            <w:drawing>
              <wp:anchor distT="0" distB="0" distL="0" distR="0" allowOverlap="1" layoutInCell="1" locked="0" behindDoc="1" simplePos="0" relativeHeight="478042112">
                <wp:simplePos x="0" y="0"/>
                <wp:positionH relativeFrom="page">
                  <wp:posOffset>950112</wp:posOffset>
                </wp:positionH>
                <wp:positionV relativeFrom="paragraph">
                  <wp:posOffset>268618</wp:posOffset>
                </wp:positionV>
                <wp:extent cx="5505450" cy="566102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21.151073pt;width:433.5pt;height:445.75pt;mso-position-horizontal-relative:page;mso-position-vertical-relative:paragraph;z-index:-25274368" id="docshape81" coordorigin="1496,423" coordsize="8670,8915" path="m2562,9143l1691,8272,1496,8467,2367,9338,2562,9143xm3154,8467l3153,8427,3148,8384,3139,8341,3125,8297,3106,8253,3083,8210,3055,8168,3025,8126,2991,8086,2954,8047,2435,7528,2241,7722,2772,8254,2805,8290,2829,8325,2846,8360,2856,8394,2858,8427,2851,8457,2837,8486,2816,8512,2790,8534,2761,8548,2730,8554,2697,8551,2663,8542,2628,8525,2593,8501,2557,8469,2026,7937,1831,8131,2351,8651,2385,8683,2424,8715,2468,8748,2516,8780,2548,8799,2583,8815,2620,8828,2658,8839,2697,8847,2733,8850,2767,8851,2800,8847,2831,8840,2863,8829,2895,8812,2926,8792,2957,8769,2985,8746,3011,8723,3035,8700,3071,8660,3102,8619,3125,8577,3142,8535,3150,8503,3154,8467xm3882,7683l3876,7619,3860,7554,3834,7487,3806,7433,3771,7377,3728,7319,3678,7260,3661,7241,3621,7200,3597,7177,3597,7671,3592,7712,3577,7748,3551,7781,3518,7807,3481,7822,3441,7826,3396,7820,3347,7802,3294,7770,3235,7725,3171,7666,3112,7602,3066,7543,3035,7489,3016,7440,3010,7395,3014,7355,3029,7319,3053,7287,3086,7262,3122,7246,3163,7241,3207,7246,3255,7264,3307,7294,3363,7336,3423,7391,3488,7461,3538,7523,3572,7579,3591,7628,3597,7671,3597,7177,3551,7135,3482,7080,3413,7034,3344,6999,3276,6973,3209,6957,3130,6952,3055,6962,2983,6987,2914,7028,2850,7083,2796,7147,2756,7214,2732,7286,2723,7362,2729,7441,2746,7510,2772,7579,2808,7648,2854,7718,2910,7789,2976,7860,3036,7917,3096,7966,3156,8008,3215,8043,3273,8070,3344,8095,3411,8108,3475,8112,3535,8106,3593,8089,3649,8062,3705,8024,3758,7976,3805,7923,3841,7866,3858,7826,3866,7808,3879,7746,3882,7683xm4153,7104l3966,6917,3712,7171,3899,7358,4153,7104xm4664,7041l3793,6170,3598,6365,4469,7236,4664,7041xm4998,6707l4675,6384,4781,6277,4832,6217,4837,6207,4866,6156,4883,6092,4882,6028,4866,5962,4843,5911,4836,5896,4792,5830,4733,5764,4670,5707,4607,5664,4598,5660,4598,6053,4597,6079,4587,6105,4570,6132,4546,6160,4498,6207,4304,6013,4359,5957,4386,5934,4412,5919,4438,5911,4462,5912,4486,5918,4509,5929,4531,5943,4552,5961,4570,5983,4584,6005,4593,6029,4598,6053,4598,5660,4544,5635,4483,5619,4423,5618,4365,5632,4309,5663,4255,5708,3931,6031,4803,6902,4998,6707xm5788,5917l5132,5261,5330,5063,5115,4848,4524,5439,4739,5654,4937,5456,5593,6112,5788,5917xm6423,5282l5767,4626,5966,4427,5751,4212,5159,4804,5374,5019,5573,4820,6229,5476,6423,5282xm7157,4409l7151,4344,7135,4279,7109,4212,7081,4158,7046,4102,7003,4044,6953,3985,6935,3966,6896,3925,6872,3903,6872,4396,6867,4437,6851,4473,6825,4507,6793,4532,6756,4547,6716,4551,6671,4545,6622,4527,6569,4495,6510,4450,6446,4391,6387,4327,6341,4268,6309,4214,6291,4165,6285,4120,6289,4080,6304,4044,6328,4013,6361,3987,6397,3972,6438,3966,6482,3972,6530,3989,6582,4019,6638,4061,6698,4116,6763,4186,6813,4248,6847,4304,6866,4353,6872,4396,6872,3903,6826,3860,6756,3805,6687,3760,6619,3724,6551,3699,6483,3683,6405,3677,6329,3687,6258,3712,6189,3753,6125,3808,6071,3872,6031,3940,6007,4011,5998,4087,6004,4167,6021,4235,6047,4304,6083,4373,6129,4443,6184,4514,6250,4585,6311,4642,6371,4691,6431,4734,6490,4768,6548,4796,6619,4820,6686,4834,6750,4837,6810,4831,6868,4815,6924,4787,6979,4750,7033,4702,7080,4648,7116,4592,7133,4551,7141,4533,7154,4472,7157,4409xm8170,3413l8165,3364,8153,3314,8134,3261,8109,3207,8079,3151,8041,3094,7980,3118,7799,3193,7831,3239,7855,3282,7873,3323,7884,3360,7887,3395,7881,3428,7866,3459,7843,3488,7812,3512,7778,3526,7740,3530,7700,3524,7653,3505,7600,3471,7538,3422,7469,3357,7417,3301,7375,3249,7344,3202,7324,3159,7311,3107,7312,3061,7325,3020,7352,2984,7367,2971,7384,2960,7402,2952,7422,2948,7442,2946,7464,2946,7486,2949,7509,2955,7524,2961,7542,2969,7563,2980,7586,2995,7705,2770,7622,2724,7543,2692,7469,2673,7400,2666,7333,2674,7269,2697,7206,2735,7146,2787,7092,2850,7054,2916,7030,2986,7021,3060,7027,3138,7044,3205,7070,3273,7106,3342,7153,3412,7209,3482,7276,3554,7341,3615,7404,3667,7467,3710,7529,3746,7590,3773,7662,3797,7730,3810,7791,3813,7847,3806,7900,3789,7952,3762,8004,3725,8056,3679,8094,3636,8125,3593,8147,3550,8161,3505,8169,3460,8170,3413xm8868,2698l8861,2634,8846,2568,8820,2501,8792,2447,8757,2391,8714,2333,8664,2274,8646,2256,8607,2214,8583,2192,8583,2686,8578,2726,8562,2763,8536,2796,8504,2821,8467,2836,8427,2841,8382,2834,8333,2816,8279,2785,8221,2739,8157,2680,8098,2616,8052,2557,8020,2503,8002,2454,7996,2410,8000,2369,8014,2333,8039,2302,8071,2276,8108,2261,8149,2256,8193,2261,8241,2278,8293,2308,8349,2350,8409,2405,8474,2475,8524,2538,8558,2593,8577,2642,8583,2686,8583,2192,8537,2149,8467,2094,8398,2049,8330,2013,8262,1988,8194,1972,8116,1966,8040,1976,7968,2002,7900,2042,7835,2098,7781,2161,7742,2229,7718,2300,7709,2376,7715,2456,7731,2524,7758,2593,7794,2663,7839,2733,7895,2803,7961,2874,8022,2931,8082,2981,8142,3023,8201,3057,8259,3085,8329,3109,8397,3123,8461,3126,8521,3120,8579,3104,8635,3077,8690,3039,8744,2991,8791,2937,8827,2881,8844,2841,8852,2822,8865,2761,8868,2698xm9348,2357l9025,2033,9132,1927,9182,1867,9188,1857,9216,1805,9233,1742,9233,1677,9217,1612,9194,1561,9187,1546,9142,1480,9084,1414,9020,1357,8957,1314,8948,1310,8948,1703,8947,1728,8938,1755,8921,1782,8896,1809,8849,1857,8654,1663,8710,1607,8737,1584,8763,1568,8788,1561,8812,1561,8836,1568,8859,1578,8881,1593,8902,1611,8920,1633,8934,1655,8943,1679,8948,1703,8948,1310,8895,1284,8833,1268,8773,1267,8715,1282,8659,1312,8605,1357,8282,1681,9153,2552,9348,2357xm10166,1539l9801,1174,9748,1024,9593,573,9540,423,9325,638,9353,708,9436,919,9492,1060,9422,1031,9211,948,9071,892,8854,1108,9005,1161,9456,1317,9606,1369,9971,1734,10166,1539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042624">
                <wp:simplePos x="0" y="0"/>
                <wp:positionH relativeFrom="page">
                  <wp:posOffset>896416</wp:posOffset>
                </wp:positionH>
                <wp:positionV relativeFrom="paragraph">
                  <wp:posOffset>182258</wp:posOffset>
                </wp:positionV>
                <wp:extent cx="5981065" cy="584263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5981065" cy="5842635"/>
                        </a:xfrm>
                        <a:custGeom>
                          <a:avLst/>
                          <a:gdLst/>
                          <a:ahLst/>
                          <a:cxnLst/>
                          <a:rect l="l" t="t" r="r" b="b"/>
                          <a:pathLst>
                            <a:path w="5981065" h="5842635">
                              <a:moveTo>
                                <a:pt x="5981065" y="5112207"/>
                              </a:moveTo>
                              <a:lnTo>
                                <a:pt x="0" y="5112207"/>
                              </a:lnTo>
                              <a:lnTo>
                                <a:pt x="0" y="5478272"/>
                              </a:lnTo>
                              <a:lnTo>
                                <a:pt x="0" y="5842508"/>
                              </a:lnTo>
                              <a:lnTo>
                                <a:pt x="5981065" y="5842508"/>
                              </a:lnTo>
                              <a:lnTo>
                                <a:pt x="5981065" y="5478272"/>
                              </a:lnTo>
                              <a:lnTo>
                                <a:pt x="5981065" y="5112207"/>
                              </a:lnTo>
                              <a:close/>
                            </a:path>
                            <a:path w="5981065" h="5842635">
                              <a:moveTo>
                                <a:pt x="5981065" y="730072"/>
                              </a:moveTo>
                              <a:lnTo>
                                <a:pt x="0" y="730072"/>
                              </a:lnTo>
                              <a:lnTo>
                                <a:pt x="0" y="1096137"/>
                              </a:lnTo>
                              <a:lnTo>
                                <a:pt x="0" y="1461897"/>
                              </a:lnTo>
                              <a:lnTo>
                                <a:pt x="0" y="5112131"/>
                              </a:lnTo>
                              <a:lnTo>
                                <a:pt x="5981065" y="5112131"/>
                              </a:lnTo>
                              <a:lnTo>
                                <a:pt x="5981065" y="1096137"/>
                              </a:lnTo>
                              <a:lnTo>
                                <a:pt x="5981065" y="730072"/>
                              </a:lnTo>
                              <a:close/>
                            </a:path>
                            <a:path w="5981065" h="5842635">
                              <a:moveTo>
                                <a:pt x="5981065" y="365772"/>
                              </a:moveTo>
                              <a:lnTo>
                                <a:pt x="0" y="365772"/>
                              </a:lnTo>
                              <a:lnTo>
                                <a:pt x="0" y="729996"/>
                              </a:lnTo>
                              <a:lnTo>
                                <a:pt x="5981065" y="729996"/>
                              </a:lnTo>
                              <a:lnTo>
                                <a:pt x="5981065" y="365772"/>
                              </a:lnTo>
                              <a:close/>
                            </a:path>
                            <a:path w="5981065" h="5842635">
                              <a:moveTo>
                                <a:pt x="5981065" y="0"/>
                              </a:moveTo>
                              <a:lnTo>
                                <a:pt x="0" y="0"/>
                              </a:lnTo>
                              <a:lnTo>
                                <a:pt x="0" y="365760"/>
                              </a:lnTo>
                              <a:lnTo>
                                <a:pt x="5981065" y="365760"/>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4.351074pt;width:470.95pt;height:460.05pt;mso-position-horizontal-relative:page;mso-position-vertical-relative:paragraph;z-index:-25273856" id="docshape82" coordorigin="1412,287" coordsize="9419,9201" path="m10831,8338l1412,8338,1412,8914,1412,9488,10831,9488,10831,8914,10831,8338xm10831,1437l1412,1437,1412,2013,1412,2589,1412,3163,1412,3739,1412,4312,1412,4888,1412,4888,1412,5462,1412,6038,1412,6614,1412,7188,1412,7764,1412,8338,10831,8338,10831,7764,10831,7188,10831,6614,10831,6038,10831,5462,10831,4888,10831,4888,10831,4312,10831,3739,10831,3163,10831,2589,10831,2013,10831,1437xm10831,863l1412,863,1412,1437,10831,1437,10831,863xm10831,287l1412,287,1412,863,10831,863,10831,287xe" filled="true" fillcolor="#ffffff" stroked="false">
                <v:path arrowok="t"/>
                <v:fill type="solid"/>
                <w10:wrap type="none"/>
              </v:shape>
            </w:pict>
          </mc:Fallback>
        </mc:AlternateContent>
      </w:r>
      <w:r>
        <w:rPr/>
        <w:t>facilities</w:t>
      </w:r>
      <w:r>
        <w:rPr>
          <w:spacing w:val="17"/>
        </w:rPr>
        <w:t> </w:t>
      </w:r>
      <w:r>
        <w:rPr/>
        <w:t>in</w:t>
      </w:r>
      <w:r>
        <w:rPr>
          <w:spacing w:val="17"/>
        </w:rPr>
        <w:t> </w:t>
      </w:r>
      <w:r>
        <w:rPr/>
        <w:t>aforeign</w:t>
      </w:r>
      <w:r>
        <w:rPr>
          <w:spacing w:val="17"/>
        </w:rPr>
        <w:t> </w:t>
      </w:r>
      <w:r>
        <w:rPr/>
        <w:t>country</w:t>
      </w:r>
      <w:r>
        <w:rPr>
          <w:spacing w:val="17"/>
        </w:rPr>
        <w:t> </w:t>
      </w:r>
      <w:r>
        <w:rPr/>
        <w:t>in</w:t>
      </w:r>
      <w:r>
        <w:rPr>
          <w:spacing w:val="16"/>
        </w:rPr>
        <w:t> </w:t>
      </w:r>
      <w:r>
        <w:rPr/>
        <w:t>which</w:t>
      </w:r>
      <w:r>
        <w:rPr>
          <w:spacing w:val="17"/>
        </w:rPr>
        <w:t> </w:t>
      </w:r>
      <w:r>
        <w:rPr/>
        <w:t>it</w:t>
      </w:r>
      <w:r>
        <w:rPr>
          <w:spacing w:val="18"/>
        </w:rPr>
        <w:t> </w:t>
      </w:r>
      <w:r>
        <w:rPr/>
        <w:t>hasaffective</w:t>
      </w:r>
      <w:r>
        <w:rPr>
          <w:spacing w:val="17"/>
        </w:rPr>
        <w:t> </w:t>
      </w:r>
      <w:r>
        <w:rPr/>
        <w:t>control</w:t>
      </w:r>
      <w:r>
        <w:rPr>
          <w:spacing w:val="17"/>
        </w:rPr>
        <w:t> </w:t>
      </w:r>
      <w:r>
        <w:rPr/>
        <w:t>(Shenkar,</w:t>
      </w:r>
      <w:r>
        <w:rPr>
          <w:spacing w:val="18"/>
        </w:rPr>
        <w:t> </w:t>
      </w:r>
      <w:r>
        <w:rPr/>
        <w:t>2007).</w:t>
      </w:r>
      <w:r>
        <w:rPr>
          <w:spacing w:val="20"/>
        </w:rPr>
        <w:t> </w:t>
      </w:r>
      <w:r>
        <w:rPr/>
        <w:t>FDI</w:t>
      </w:r>
      <w:r>
        <w:rPr>
          <w:spacing w:val="17"/>
        </w:rPr>
        <w:t> </w:t>
      </w:r>
      <w:r>
        <w:rPr>
          <w:spacing w:val="-2"/>
        </w:rPr>
        <w:t>requires</w:t>
      </w:r>
    </w:p>
    <w:p>
      <w:pPr>
        <w:pStyle w:val="BodyText"/>
        <w:spacing w:before="1"/>
        <w:ind w:left="0"/>
      </w:pPr>
    </w:p>
    <w:p>
      <w:pPr>
        <w:pStyle w:val="BodyText"/>
      </w:pPr>
      <w:r>
        <w:rPr/>
        <w:t>the</w:t>
      </w:r>
      <w:r>
        <w:rPr>
          <w:spacing w:val="6"/>
        </w:rPr>
        <w:t> </w:t>
      </w:r>
      <w:r>
        <w:rPr/>
        <w:t>establishmentof</w:t>
      </w:r>
      <w:r>
        <w:rPr>
          <w:spacing w:val="8"/>
        </w:rPr>
        <w:t> </w:t>
      </w:r>
      <w:r>
        <w:rPr/>
        <w:t>production</w:t>
      </w:r>
      <w:r>
        <w:rPr>
          <w:spacing w:val="8"/>
        </w:rPr>
        <w:t> </w:t>
      </w:r>
      <w:r>
        <w:rPr/>
        <w:t>facilities</w:t>
      </w:r>
      <w:r>
        <w:rPr>
          <w:spacing w:val="7"/>
        </w:rPr>
        <w:t> </w:t>
      </w:r>
      <w:r>
        <w:rPr/>
        <w:t>abroadand</w:t>
      </w:r>
      <w:r>
        <w:rPr>
          <w:spacing w:val="7"/>
        </w:rPr>
        <w:t> </w:t>
      </w:r>
      <w:r>
        <w:rPr/>
        <w:t>on</w:t>
      </w:r>
      <w:r>
        <w:rPr>
          <w:spacing w:val="8"/>
        </w:rPr>
        <w:t> </w:t>
      </w:r>
      <w:r>
        <w:rPr/>
        <w:t>the</w:t>
      </w:r>
      <w:r>
        <w:rPr>
          <w:spacing w:val="7"/>
        </w:rPr>
        <w:t> </w:t>
      </w:r>
      <w:r>
        <w:rPr/>
        <w:t>otherhand</w:t>
      </w:r>
      <w:r>
        <w:rPr>
          <w:spacing w:val="6"/>
        </w:rPr>
        <w:t> </w:t>
      </w:r>
      <w:r>
        <w:rPr/>
        <w:t>the</w:t>
      </w:r>
      <w:r>
        <w:rPr>
          <w:spacing w:val="7"/>
        </w:rPr>
        <w:t> </w:t>
      </w:r>
      <w:r>
        <w:rPr/>
        <w:t>service</w:t>
      </w:r>
      <w:r>
        <w:rPr>
          <w:spacing w:val="7"/>
        </w:rPr>
        <w:t> </w:t>
      </w:r>
      <w:r>
        <w:rPr/>
        <w:t>facilities</w:t>
      </w:r>
      <w:r>
        <w:rPr>
          <w:spacing w:val="8"/>
        </w:rPr>
        <w:t> </w:t>
      </w:r>
      <w:r>
        <w:rPr>
          <w:spacing w:val="-5"/>
        </w:rPr>
        <w:t>or</w:t>
      </w:r>
    </w:p>
    <w:p>
      <w:pPr>
        <w:pStyle w:val="BodyText"/>
        <w:spacing w:before="286"/>
      </w:pPr>
      <w:r>
        <w:rPr/>
        <w:t>establishment</w:t>
      </w:r>
      <w:r>
        <w:rPr>
          <w:spacing w:val="56"/>
          <w:w w:val="150"/>
        </w:rPr>
        <w:t> </w:t>
      </w:r>
      <w:r>
        <w:rPr/>
        <w:t>of</w:t>
      </w:r>
      <w:r>
        <w:rPr>
          <w:spacing w:val="57"/>
          <w:w w:val="150"/>
        </w:rPr>
        <w:t> </w:t>
      </w:r>
      <w:r>
        <w:rPr/>
        <w:t>aninvestment</w:t>
      </w:r>
      <w:r>
        <w:rPr>
          <w:spacing w:val="57"/>
          <w:w w:val="150"/>
        </w:rPr>
        <w:t> </w:t>
      </w:r>
      <w:r>
        <w:rPr/>
        <w:t>presence</w:t>
      </w:r>
      <w:r>
        <w:rPr>
          <w:spacing w:val="55"/>
          <w:w w:val="150"/>
        </w:rPr>
        <w:t> </w:t>
      </w:r>
      <w:r>
        <w:rPr/>
        <w:t>throughcapital</w:t>
      </w:r>
      <w:r>
        <w:rPr>
          <w:spacing w:val="57"/>
          <w:w w:val="150"/>
        </w:rPr>
        <w:t> </w:t>
      </w:r>
      <w:r>
        <w:rPr/>
        <w:t>contribution</w:t>
      </w:r>
      <w:r>
        <w:rPr>
          <w:spacing w:val="57"/>
          <w:w w:val="150"/>
        </w:rPr>
        <w:t> </w:t>
      </w:r>
      <w:r>
        <w:rPr/>
        <w:t>andbuilding</w:t>
      </w:r>
      <w:r>
        <w:rPr>
          <w:spacing w:val="56"/>
          <w:w w:val="150"/>
        </w:rPr>
        <w:t> </w:t>
      </w:r>
      <w:r>
        <w:rPr>
          <w:spacing w:val="-2"/>
        </w:rPr>
        <w:t>office</w:t>
      </w:r>
    </w:p>
    <w:p>
      <w:pPr>
        <w:pStyle w:val="BodyText"/>
        <w:spacing w:before="2"/>
        <w:ind w:left="0"/>
      </w:pPr>
    </w:p>
    <w:p>
      <w:pPr>
        <w:pStyle w:val="BodyText"/>
      </w:pPr>
      <w:r>
        <w:rPr/>
        <w:t>facilities.</w:t>
      </w:r>
      <w:r>
        <w:rPr>
          <w:spacing w:val="7"/>
        </w:rPr>
        <w:t> </w:t>
      </w:r>
      <w:r>
        <w:rPr/>
        <w:t>The</w:t>
      </w:r>
      <w:r>
        <w:rPr>
          <w:spacing w:val="8"/>
        </w:rPr>
        <w:t> </w:t>
      </w:r>
      <w:r>
        <w:rPr/>
        <w:t>Organizationfor</w:t>
      </w:r>
      <w:r>
        <w:rPr>
          <w:spacing w:val="8"/>
        </w:rPr>
        <w:t> </w:t>
      </w:r>
      <w:r>
        <w:rPr/>
        <w:t>Economic</w:t>
      </w:r>
      <w:r>
        <w:rPr>
          <w:spacing w:val="8"/>
        </w:rPr>
        <w:t> </w:t>
      </w:r>
      <w:r>
        <w:rPr/>
        <w:t>Cooperation</w:t>
      </w:r>
      <w:r>
        <w:rPr>
          <w:spacing w:val="9"/>
        </w:rPr>
        <w:t> </w:t>
      </w:r>
      <w:r>
        <w:rPr/>
        <w:t>and</w:t>
      </w:r>
      <w:r>
        <w:rPr>
          <w:spacing w:val="7"/>
        </w:rPr>
        <w:t> </w:t>
      </w:r>
      <w:r>
        <w:rPr/>
        <w:t>development</w:t>
      </w:r>
      <w:r>
        <w:rPr>
          <w:spacing w:val="11"/>
        </w:rPr>
        <w:t> </w:t>
      </w:r>
      <w:r>
        <w:rPr/>
        <w:t>conceptualized</w:t>
      </w:r>
      <w:r>
        <w:rPr>
          <w:spacing w:val="7"/>
        </w:rPr>
        <w:t> </w:t>
      </w:r>
      <w:r>
        <w:rPr>
          <w:spacing w:val="-5"/>
        </w:rPr>
        <w:t>FDI</w:t>
      </w:r>
    </w:p>
    <w:p>
      <w:pPr>
        <w:pStyle w:val="BodyText"/>
        <w:spacing w:before="1"/>
        <w:ind w:left="0"/>
      </w:pPr>
    </w:p>
    <w:p>
      <w:pPr>
        <w:pStyle w:val="BodyText"/>
      </w:pPr>
      <w:r>
        <w:rPr/>
        <w:t>as</w:t>
      </w:r>
      <w:r>
        <w:rPr>
          <w:spacing w:val="53"/>
          <w:w w:val="150"/>
        </w:rPr>
        <w:t> </w:t>
      </w:r>
      <w:r>
        <w:rPr/>
        <w:t>net</w:t>
      </w:r>
      <w:r>
        <w:rPr>
          <w:spacing w:val="53"/>
          <w:w w:val="150"/>
        </w:rPr>
        <w:t> </w:t>
      </w:r>
      <w:r>
        <w:rPr/>
        <w:t>financingby</w:t>
      </w:r>
      <w:r>
        <w:rPr>
          <w:spacing w:val="55"/>
          <w:w w:val="150"/>
        </w:rPr>
        <w:t> </w:t>
      </w:r>
      <w:r>
        <w:rPr/>
        <w:t>an</w:t>
      </w:r>
      <w:r>
        <w:rPr>
          <w:spacing w:val="54"/>
          <w:w w:val="150"/>
        </w:rPr>
        <w:t> </w:t>
      </w:r>
      <w:r>
        <w:rPr/>
        <w:t>entity</w:t>
      </w:r>
      <w:r>
        <w:rPr>
          <w:spacing w:val="53"/>
          <w:w w:val="150"/>
        </w:rPr>
        <w:t> </w:t>
      </w:r>
      <w:r>
        <w:rPr/>
        <w:t>in</w:t>
      </w:r>
      <w:r>
        <w:rPr>
          <w:spacing w:val="53"/>
          <w:w w:val="150"/>
        </w:rPr>
        <w:t> </w:t>
      </w:r>
      <w:r>
        <w:rPr/>
        <w:t>adeveloping</w:t>
      </w:r>
      <w:r>
        <w:rPr>
          <w:spacing w:val="55"/>
          <w:w w:val="150"/>
        </w:rPr>
        <w:t> </w:t>
      </w:r>
      <w:r>
        <w:rPr/>
        <w:t>countryOyeranti,</w:t>
      </w:r>
      <w:r>
        <w:rPr>
          <w:spacing w:val="53"/>
          <w:w w:val="150"/>
        </w:rPr>
        <w:t> </w:t>
      </w:r>
      <w:r>
        <w:rPr/>
        <w:t>2003).</w:t>
      </w:r>
      <w:r>
        <w:rPr>
          <w:spacing w:val="52"/>
          <w:w w:val="150"/>
        </w:rPr>
        <w:t> </w:t>
      </w:r>
      <w:r>
        <w:rPr/>
        <w:t>Alfaro,</w:t>
      </w:r>
      <w:r>
        <w:rPr>
          <w:spacing w:val="53"/>
          <w:w w:val="150"/>
        </w:rPr>
        <w:t> </w:t>
      </w:r>
      <w:r>
        <w:rPr>
          <w:spacing w:val="-2"/>
        </w:rPr>
        <w:t>Chanda,</w:t>
      </w:r>
    </w:p>
    <w:p>
      <w:pPr>
        <w:pStyle w:val="BodyText"/>
        <w:spacing w:before="286"/>
      </w:pPr>
      <w:r>
        <w:rPr/>
        <w:t>KalemliOzcan</w:t>
      </w:r>
      <w:r>
        <w:rPr>
          <w:spacing w:val="38"/>
        </w:rPr>
        <w:t> </w:t>
      </w:r>
      <w:r>
        <w:rPr/>
        <w:t>andSayek</w:t>
      </w:r>
      <w:r>
        <w:rPr>
          <w:spacing w:val="39"/>
        </w:rPr>
        <w:t> </w:t>
      </w:r>
      <w:r>
        <w:rPr/>
        <w:t>(2006)</w:t>
      </w:r>
      <w:r>
        <w:rPr>
          <w:spacing w:val="40"/>
        </w:rPr>
        <w:t> </w:t>
      </w:r>
      <w:r>
        <w:rPr/>
        <w:t>defined</w:t>
      </w:r>
      <w:r>
        <w:rPr>
          <w:spacing w:val="39"/>
        </w:rPr>
        <w:t> </w:t>
      </w:r>
      <w:r>
        <w:rPr/>
        <w:t>ForeignDirect</w:t>
      </w:r>
      <w:r>
        <w:rPr>
          <w:spacing w:val="40"/>
        </w:rPr>
        <w:t> </w:t>
      </w:r>
      <w:r>
        <w:rPr/>
        <w:t>Investment</w:t>
      </w:r>
      <w:r>
        <w:rPr>
          <w:spacing w:val="40"/>
        </w:rPr>
        <w:t> </w:t>
      </w:r>
      <w:r>
        <w:rPr/>
        <w:t>as</w:t>
      </w:r>
      <w:r>
        <w:rPr>
          <w:spacing w:val="42"/>
        </w:rPr>
        <w:t> </w:t>
      </w:r>
      <w:r>
        <w:rPr/>
        <w:t>the</w:t>
      </w:r>
      <w:r>
        <w:rPr>
          <w:spacing w:val="39"/>
        </w:rPr>
        <w:t> </w:t>
      </w:r>
      <w:r>
        <w:rPr>
          <w:spacing w:val="-2"/>
        </w:rPr>
        <w:t>processwhereby</w:t>
      </w:r>
    </w:p>
    <w:p>
      <w:pPr>
        <w:pStyle w:val="BodyText"/>
        <w:spacing w:before="1"/>
        <w:ind w:left="0"/>
      </w:pPr>
    </w:p>
    <w:p>
      <w:pPr>
        <w:pStyle w:val="BodyText"/>
      </w:pPr>
      <w:r>
        <w:rPr/>
        <w:t>people</w:t>
      </w:r>
      <w:r>
        <w:rPr>
          <w:spacing w:val="23"/>
        </w:rPr>
        <w:t> </w:t>
      </w:r>
      <w:r>
        <w:rPr/>
        <w:t>in</w:t>
      </w:r>
      <w:r>
        <w:rPr>
          <w:spacing w:val="24"/>
        </w:rPr>
        <w:t> </w:t>
      </w:r>
      <w:r>
        <w:rPr/>
        <w:t>one</w:t>
      </w:r>
      <w:r>
        <w:rPr>
          <w:spacing w:val="24"/>
        </w:rPr>
        <w:t> </w:t>
      </w:r>
      <w:r>
        <w:rPr/>
        <w:t>countryobtain</w:t>
      </w:r>
      <w:r>
        <w:rPr>
          <w:spacing w:val="23"/>
        </w:rPr>
        <w:t> </w:t>
      </w:r>
      <w:r>
        <w:rPr/>
        <w:t>ownership</w:t>
      </w:r>
      <w:r>
        <w:rPr>
          <w:spacing w:val="25"/>
        </w:rPr>
        <w:t> </w:t>
      </w:r>
      <w:r>
        <w:rPr/>
        <w:t>ofassets</w:t>
      </w:r>
      <w:r>
        <w:rPr>
          <w:spacing w:val="24"/>
        </w:rPr>
        <w:t> </w:t>
      </w:r>
      <w:r>
        <w:rPr/>
        <w:t>for</w:t>
      </w:r>
      <w:r>
        <w:rPr>
          <w:spacing w:val="23"/>
        </w:rPr>
        <w:t> </w:t>
      </w:r>
      <w:r>
        <w:rPr/>
        <w:t>the</w:t>
      </w:r>
      <w:r>
        <w:rPr>
          <w:spacing w:val="23"/>
        </w:rPr>
        <w:t> </w:t>
      </w:r>
      <w:r>
        <w:rPr/>
        <w:t>purpose</w:t>
      </w:r>
      <w:r>
        <w:rPr>
          <w:spacing w:val="24"/>
        </w:rPr>
        <w:t> </w:t>
      </w:r>
      <w:r>
        <w:rPr/>
        <w:t>of</w:t>
      </w:r>
      <w:r>
        <w:rPr>
          <w:spacing w:val="24"/>
        </w:rPr>
        <w:t> </w:t>
      </w:r>
      <w:r>
        <w:rPr/>
        <w:t>gainingcontrol</w:t>
      </w:r>
      <w:r>
        <w:rPr>
          <w:spacing w:val="25"/>
        </w:rPr>
        <w:t> </w:t>
      </w:r>
      <w:r>
        <w:rPr/>
        <w:t>over</w:t>
      </w:r>
      <w:r>
        <w:rPr>
          <w:spacing w:val="23"/>
        </w:rPr>
        <w:t> </w:t>
      </w:r>
      <w:r>
        <w:rPr>
          <w:spacing w:val="-5"/>
        </w:rPr>
        <w:t>the</w:t>
      </w:r>
    </w:p>
    <w:p>
      <w:pPr>
        <w:pStyle w:val="BodyText"/>
        <w:spacing w:before="286"/>
      </w:pPr>
      <w:r>
        <w:rPr/>
        <w:t>production,</w:t>
      </w:r>
      <w:r>
        <w:rPr>
          <w:spacing w:val="71"/>
        </w:rPr>
        <w:t> </w:t>
      </w:r>
      <w:r>
        <w:rPr/>
        <w:t>distributionand</w:t>
      </w:r>
      <w:r>
        <w:rPr>
          <w:spacing w:val="72"/>
        </w:rPr>
        <w:t> </w:t>
      </w:r>
      <w:r>
        <w:rPr/>
        <w:t>other</w:t>
      </w:r>
      <w:r>
        <w:rPr>
          <w:spacing w:val="72"/>
        </w:rPr>
        <w:t> </w:t>
      </w:r>
      <w:r>
        <w:rPr/>
        <w:t>activitiesof</w:t>
      </w:r>
      <w:r>
        <w:rPr>
          <w:spacing w:val="74"/>
        </w:rPr>
        <w:t> </w:t>
      </w:r>
      <w:r>
        <w:rPr/>
        <w:t>a</w:t>
      </w:r>
      <w:r>
        <w:rPr>
          <w:spacing w:val="72"/>
        </w:rPr>
        <w:t> </w:t>
      </w:r>
      <w:r>
        <w:rPr/>
        <w:t>firm</w:t>
      </w:r>
      <w:r>
        <w:rPr>
          <w:spacing w:val="72"/>
        </w:rPr>
        <w:t> </w:t>
      </w:r>
      <w:r>
        <w:rPr/>
        <w:t>in</w:t>
      </w:r>
      <w:r>
        <w:rPr>
          <w:spacing w:val="71"/>
        </w:rPr>
        <w:t> </w:t>
      </w:r>
      <w:r>
        <w:rPr/>
        <w:t>a</w:t>
      </w:r>
      <w:r>
        <w:rPr>
          <w:spacing w:val="72"/>
        </w:rPr>
        <w:t> </w:t>
      </w:r>
      <w:r>
        <w:rPr/>
        <w:t>foreigncountry.</w:t>
      </w:r>
      <w:r>
        <w:rPr>
          <w:spacing w:val="72"/>
        </w:rPr>
        <w:t> </w:t>
      </w:r>
      <w:r>
        <w:rPr/>
        <w:t>An</w:t>
      </w:r>
      <w:r>
        <w:rPr>
          <w:spacing w:val="72"/>
        </w:rPr>
        <w:t> </w:t>
      </w:r>
      <w:r>
        <w:rPr>
          <w:spacing w:val="-2"/>
        </w:rPr>
        <w:t>expanded</w:t>
      </w:r>
    </w:p>
    <w:p>
      <w:pPr>
        <w:pStyle w:val="BodyText"/>
        <w:spacing w:before="1"/>
        <w:ind w:left="0"/>
      </w:pPr>
    </w:p>
    <w:p>
      <w:pPr>
        <w:pStyle w:val="BodyText"/>
      </w:pPr>
      <w:r>
        <w:rPr/>
        <w:t>explanation</w:t>
      </w:r>
      <w:r>
        <w:rPr>
          <w:spacing w:val="38"/>
        </w:rPr>
        <w:t> </w:t>
      </w:r>
      <w:r>
        <w:rPr/>
        <w:t>of</w:t>
      </w:r>
      <w:r>
        <w:rPr>
          <w:spacing w:val="39"/>
        </w:rPr>
        <w:t> </w:t>
      </w:r>
      <w:r>
        <w:rPr/>
        <w:t>theoperational</w:t>
      </w:r>
      <w:r>
        <w:rPr>
          <w:spacing w:val="38"/>
        </w:rPr>
        <w:t> </w:t>
      </w:r>
      <w:r>
        <w:rPr/>
        <w:t>meaning</w:t>
      </w:r>
      <w:r>
        <w:rPr>
          <w:spacing w:val="39"/>
        </w:rPr>
        <w:t> </w:t>
      </w:r>
      <w:r>
        <w:rPr/>
        <w:t>of</w:t>
      </w:r>
      <w:r>
        <w:rPr>
          <w:spacing w:val="39"/>
        </w:rPr>
        <w:t> </w:t>
      </w:r>
      <w:r>
        <w:rPr/>
        <w:t>FDI</w:t>
      </w:r>
      <w:r>
        <w:rPr>
          <w:spacing w:val="41"/>
        </w:rPr>
        <w:t> </w:t>
      </w:r>
      <w:r>
        <w:rPr/>
        <w:t>has</w:t>
      </w:r>
      <w:r>
        <w:rPr>
          <w:spacing w:val="41"/>
        </w:rPr>
        <w:t> </w:t>
      </w:r>
      <w:r>
        <w:rPr/>
        <w:t>been</w:t>
      </w:r>
      <w:r>
        <w:rPr>
          <w:spacing w:val="40"/>
        </w:rPr>
        <w:t> </w:t>
      </w:r>
      <w:r>
        <w:rPr/>
        <w:t>offeredby</w:t>
      </w:r>
      <w:r>
        <w:rPr>
          <w:spacing w:val="38"/>
        </w:rPr>
        <w:t> </w:t>
      </w:r>
      <w:r>
        <w:rPr/>
        <w:t>Ayanwale</w:t>
      </w:r>
      <w:r>
        <w:rPr>
          <w:spacing w:val="40"/>
        </w:rPr>
        <w:t> </w:t>
      </w:r>
      <w:r>
        <w:rPr/>
        <w:t>and</w:t>
      </w:r>
      <w:r>
        <w:rPr>
          <w:spacing w:val="39"/>
        </w:rPr>
        <w:t> </w:t>
      </w:r>
      <w:r>
        <w:rPr>
          <w:spacing w:val="-2"/>
        </w:rPr>
        <w:t>Bamire</w:t>
      </w:r>
    </w:p>
    <w:p>
      <w:pPr>
        <w:pStyle w:val="BodyText"/>
        <w:spacing w:before="287"/>
      </w:pPr>
      <w:r>
        <w:rPr/>
        <w:t>(2007)</w:t>
      </w:r>
      <w:r>
        <w:rPr>
          <w:spacing w:val="58"/>
        </w:rPr>
        <w:t> </w:t>
      </w:r>
      <w:r>
        <w:rPr/>
        <w:t>as</w:t>
      </w:r>
      <w:r>
        <w:rPr>
          <w:spacing w:val="58"/>
        </w:rPr>
        <w:t> </w:t>
      </w:r>
      <w:r>
        <w:rPr/>
        <w:t>ownership</w:t>
      </w:r>
      <w:r>
        <w:rPr>
          <w:spacing w:val="59"/>
        </w:rPr>
        <w:t> </w:t>
      </w:r>
      <w:r>
        <w:rPr/>
        <w:t>of</w:t>
      </w:r>
      <w:r>
        <w:rPr>
          <w:spacing w:val="58"/>
        </w:rPr>
        <w:t> </w:t>
      </w:r>
      <w:r>
        <w:rPr/>
        <w:t>"atleast</w:t>
      </w:r>
      <w:r>
        <w:rPr>
          <w:spacing w:val="59"/>
        </w:rPr>
        <w:t> </w:t>
      </w:r>
      <w:r>
        <w:rPr/>
        <w:t>10%</w:t>
      </w:r>
      <w:r>
        <w:rPr>
          <w:spacing w:val="58"/>
        </w:rPr>
        <w:t> </w:t>
      </w:r>
      <w:r>
        <w:rPr/>
        <w:t>of</w:t>
      </w:r>
      <w:r>
        <w:rPr>
          <w:spacing w:val="59"/>
        </w:rPr>
        <w:t> </w:t>
      </w:r>
      <w:r>
        <w:rPr/>
        <w:t>the</w:t>
      </w:r>
      <w:r>
        <w:rPr>
          <w:spacing w:val="57"/>
        </w:rPr>
        <w:t> </w:t>
      </w:r>
      <w:r>
        <w:rPr/>
        <w:t>ordinaryshares</w:t>
      </w:r>
      <w:r>
        <w:rPr>
          <w:spacing w:val="60"/>
        </w:rPr>
        <w:t> </w:t>
      </w:r>
      <w:r>
        <w:rPr/>
        <w:t>or</w:t>
      </w:r>
      <w:r>
        <w:rPr>
          <w:spacing w:val="58"/>
        </w:rPr>
        <w:t> </w:t>
      </w:r>
      <w:r>
        <w:rPr/>
        <w:t>voting</w:t>
      </w:r>
      <w:r>
        <w:rPr>
          <w:spacing w:val="59"/>
        </w:rPr>
        <w:t> </w:t>
      </w:r>
      <w:r>
        <w:rPr/>
        <w:t>stock</w:t>
      </w:r>
      <w:r>
        <w:rPr>
          <w:spacing w:val="57"/>
        </w:rPr>
        <w:t> </w:t>
      </w:r>
      <w:r>
        <w:rPr/>
        <w:t>in</w:t>
      </w:r>
      <w:r>
        <w:rPr>
          <w:spacing w:val="59"/>
        </w:rPr>
        <w:t> </w:t>
      </w:r>
      <w:r>
        <w:rPr>
          <w:spacing w:val="-2"/>
        </w:rPr>
        <w:t>aforeign</w:t>
      </w:r>
    </w:p>
    <w:p>
      <w:pPr>
        <w:pStyle w:val="BodyText"/>
        <w:spacing w:before="1"/>
        <w:ind w:left="0"/>
      </w:pPr>
    </w:p>
    <w:p>
      <w:pPr>
        <w:pStyle w:val="BodyText"/>
      </w:pPr>
      <w:r>
        <w:rPr/>
        <w:t>enterprise.</w:t>
      </w:r>
      <w:r>
        <w:rPr>
          <w:spacing w:val="4"/>
        </w:rPr>
        <w:t> </w:t>
      </w:r>
      <w:r>
        <w:rPr/>
        <w:t>Thusownership</w:t>
      </w:r>
      <w:r>
        <w:rPr>
          <w:spacing w:val="5"/>
        </w:rPr>
        <w:t> </w:t>
      </w:r>
      <w:r>
        <w:rPr/>
        <w:t>of</w:t>
      </w:r>
      <w:r>
        <w:rPr>
          <w:spacing w:val="6"/>
        </w:rPr>
        <w:t> </w:t>
      </w:r>
      <w:r>
        <w:rPr/>
        <w:t>10%</w:t>
      </w:r>
      <w:r>
        <w:rPr>
          <w:spacing w:val="6"/>
        </w:rPr>
        <w:t> </w:t>
      </w:r>
      <w:r>
        <w:rPr/>
        <w:t>ordinaryshares</w:t>
      </w:r>
      <w:r>
        <w:rPr>
          <w:spacing w:val="6"/>
        </w:rPr>
        <w:t> </w:t>
      </w:r>
      <w:r>
        <w:rPr/>
        <w:t>is</w:t>
      </w:r>
      <w:r>
        <w:rPr>
          <w:spacing w:val="6"/>
        </w:rPr>
        <w:t> </w:t>
      </w:r>
      <w:r>
        <w:rPr/>
        <w:t>the</w:t>
      </w:r>
      <w:r>
        <w:rPr>
          <w:spacing w:val="5"/>
        </w:rPr>
        <w:t> </w:t>
      </w:r>
      <w:r>
        <w:rPr/>
        <w:t>criterion</w:t>
      </w:r>
      <w:r>
        <w:rPr>
          <w:spacing w:val="6"/>
        </w:rPr>
        <w:t> </w:t>
      </w:r>
      <w:r>
        <w:rPr/>
        <w:t>for</w:t>
      </w:r>
      <w:r>
        <w:rPr>
          <w:spacing w:val="6"/>
        </w:rPr>
        <w:t> </w:t>
      </w:r>
      <w:r>
        <w:rPr/>
        <w:t>theexistence</w:t>
      </w:r>
      <w:r>
        <w:rPr>
          <w:spacing w:val="4"/>
        </w:rPr>
        <w:t> </w:t>
      </w:r>
      <w:r>
        <w:rPr/>
        <w:t>of</w:t>
      </w:r>
      <w:r>
        <w:rPr>
          <w:spacing w:val="6"/>
        </w:rPr>
        <w:t> </w:t>
      </w:r>
      <w:r>
        <w:rPr/>
        <w:t>a</w:t>
      </w:r>
      <w:r>
        <w:rPr>
          <w:spacing w:val="7"/>
        </w:rPr>
        <w:t> </w:t>
      </w:r>
      <w:r>
        <w:rPr>
          <w:spacing w:val="-2"/>
        </w:rPr>
        <w:t>direct</w:t>
      </w:r>
    </w:p>
    <w:p>
      <w:pPr>
        <w:pStyle w:val="BodyText"/>
        <w:spacing w:before="1"/>
        <w:ind w:left="0"/>
      </w:pPr>
    </w:p>
    <w:p>
      <w:pPr>
        <w:pStyle w:val="BodyText"/>
      </w:pPr>
      <w:r>
        <w:rPr/>
        <w:t>investmentrelationship</w:t>
      </w:r>
      <w:r>
        <w:rPr>
          <w:spacing w:val="11"/>
        </w:rPr>
        <w:t> </w:t>
      </w:r>
      <w:r>
        <w:rPr/>
        <w:t>whileownership</w:t>
      </w:r>
      <w:r>
        <w:rPr>
          <w:spacing w:val="11"/>
        </w:rPr>
        <w:t> </w:t>
      </w:r>
      <w:r>
        <w:rPr/>
        <w:t>of</w:t>
      </w:r>
      <w:r>
        <w:rPr>
          <w:spacing w:val="11"/>
        </w:rPr>
        <w:t> </w:t>
      </w:r>
      <w:r>
        <w:rPr/>
        <w:t>less</w:t>
      </w:r>
      <w:r>
        <w:rPr>
          <w:spacing w:val="9"/>
        </w:rPr>
        <w:t> </w:t>
      </w:r>
      <w:r>
        <w:rPr/>
        <w:t>than</w:t>
      </w:r>
      <w:r>
        <w:rPr>
          <w:spacing w:val="10"/>
        </w:rPr>
        <w:t> </w:t>
      </w:r>
      <w:r>
        <w:rPr/>
        <w:t>10%</w:t>
      </w:r>
      <w:r>
        <w:rPr>
          <w:spacing w:val="11"/>
        </w:rPr>
        <w:t> </w:t>
      </w:r>
      <w:r>
        <w:rPr/>
        <w:t>is</w:t>
      </w:r>
      <w:r>
        <w:rPr>
          <w:spacing w:val="12"/>
        </w:rPr>
        <w:t> </w:t>
      </w:r>
      <w:r>
        <w:rPr/>
        <w:t>recordedas</w:t>
      </w:r>
      <w:r>
        <w:rPr>
          <w:spacing w:val="10"/>
        </w:rPr>
        <w:t> </w:t>
      </w:r>
      <w:r>
        <w:rPr/>
        <w:t>portfolio</w:t>
      </w:r>
      <w:r>
        <w:rPr>
          <w:spacing w:val="12"/>
        </w:rPr>
        <w:t> </w:t>
      </w:r>
      <w:r>
        <w:rPr>
          <w:spacing w:val="-2"/>
        </w:rPr>
        <w:t>investment.</w:t>
      </w:r>
    </w:p>
    <w:p>
      <w:pPr>
        <w:pStyle w:val="BodyText"/>
        <w:spacing w:before="286"/>
      </w:pPr>
      <w:r>
        <w:rPr/>
        <w:t>From</w:t>
      </w:r>
      <w:r>
        <w:rPr>
          <w:spacing w:val="13"/>
        </w:rPr>
        <w:t> </w:t>
      </w:r>
      <w:r>
        <w:rPr/>
        <w:t>the</w:t>
      </w:r>
      <w:r>
        <w:rPr>
          <w:spacing w:val="13"/>
        </w:rPr>
        <w:t> </w:t>
      </w:r>
      <w:r>
        <w:rPr/>
        <w:t>foregoingappraisal,</w:t>
      </w:r>
      <w:r>
        <w:rPr>
          <w:spacing w:val="13"/>
        </w:rPr>
        <w:t> </w:t>
      </w:r>
      <w:r>
        <w:rPr/>
        <w:t>it</w:t>
      </w:r>
      <w:r>
        <w:rPr>
          <w:spacing w:val="14"/>
        </w:rPr>
        <w:t> </w:t>
      </w:r>
      <w:r>
        <w:rPr/>
        <w:t>is</w:t>
      </w:r>
      <w:r>
        <w:rPr>
          <w:spacing w:val="15"/>
        </w:rPr>
        <w:t> </w:t>
      </w:r>
      <w:r>
        <w:rPr/>
        <w:t>clear</w:t>
      </w:r>
      <w:r>
        <w:rPr>
          <w:spacing w:val="14"/>
        </w:rPr>
        <w:t> </w:t>
      </w:r>
      <w:r>
        <w:rPr/>
        <w:t>that</w:t>
      </w:r>
      <w:r>
        <w:rPr>
          <w:spacing w:val="13"/>
        </w:rPr>
        <w:t> </w:t>
      </w:r>
      <w:r>
        <w:rPr/>
        <w:t>anagreed</w:t>
      </w:r>
      <w:r>
        <w:rPr>
          <w:spacing w:val="13"/>
        </w:rPr>
        <w:t> </w:t>
      </w:r>
      <w:r>
        <w:rPr/>
        <w:t>meaning</w:t>
      </w:r>
      <w:r>
        <w:rPr>
          <w:spacing w:val="13"/>
        </w:rPr>
        <w:t> </w:t>
      </w:r>
      <w:r>
        <w:rPr/>
        <w:t>of</w:t>
      </w:r>
      <w:r>
        <w:rPr>
          <w:spacing w:val="14"/>
        </w:rPr>
        <w:t> </w:t>
      </w:r>
      <w:r>
        <w:rPr/>
        <w:t>FDI</w:t>
      </w:r>
      <w:r>
        <w:rPr>
          <w:spacing w:val="17"/>
        </w:rPr>
        <w:t> </w:t>
      </w:r>
      <w:r>
        <w:rPr/>
        <w:t>exists</w:t>
      </w:r>
      <w:r>
        <w:rPr>
          <w:spacing w:val="15"/>
        </w:rPr>
        <w:t> </w:t>
      </w:r>
      <w:r>
        <w:rPr/>
        <w:t>in</w:t>
      </w:r>
      <w:r>
        <w:rPr>
          <w:spacing w:val="14"/>
        </w:rPr>
        <w:t> </w:t>
      </w:r>
      <w:r>
        <w:rPr>
          <w:spacing w:val="-2"/>
        </w:rPr>
        <w:t>theliterature</w:t>
      </w:r>
    </w:p>
    <w:p>
      <w:pPr>
        <w:pStyle w:val="BodyText"/>
        <w:spacing w:before="1"/>
        <w:ind w:left="0"/>
      </w:pPr>
    </w:p>
    <w:p>
      <w:pPr>
        <w:pStyle w:val="BodyText"/>
      </w:pPr>
      <w:r>
        <w:rPr/>
        <w:t>(Dutse,</w:t>
      </w:r>
      <w:r>
        <w:rPr>
          <w:spacing w:val="17"/>
        </w:rPr>
        <w:t> </w:t>
      </w:r>
      <w:r>
        <w:rPr/>
        <w:t>2008).</w:t>
      </w:r>
      <w:r>
        <w:rPr>
          <w:spacing w:val="19"/>
        </w:rPr>
        <w:t> </w:t>
      </w:r>
      <w:r>
        <w:rPr/>
        <w:t>Aremu</w:t>
      </w:r>
      <w:r>
        <w:rPr>
          <w:spacing w:val="18"/>
        </w:rPr>
        <w:t> </w:t>
      </w:r>
      <w:r>
        <w:rPr/>
        <w:t>(2005)</w:t>
      </w:r>
      <w:r>
        <w:rPr>
          <w:spacing w:val="19"/>
        </w:rPr>
        <w:t> </w:t>
      </w:r>
      <w:r>
        <w:rPr/>
        <w:t>categorizes</w:t>
      </w:r>
      <w:r>
        <w:rPr>
          <w:spacing w:val="19"/>
        </w:rPr>
        <w:t> </w:t>
      </w:r>
      <w:r>
        <w:rPr/>
        <w:t>thevarious</w:t>
      </w:r>
      <w:r>
        <w:rPr>
          <w:spacing w:val="20"/>
        </w:rPr>
        <w:t> </w:t>
      </w:r>
      <w:r>
        <w:rPr/>
        <w:t>types</w:t>
      </w:r>
      <w:r>
        <w:rPr>
          <w:spacing w:val="19"/>
        </w:rPr>
        <w:t> </w:t>
      </w:r>
      <w:r>
        <w:rPr/>
        <w:t>of</w:t>
      </w:r>
      <w:r>
        <w:rPr>
          <w:spacing w:val="18"/>
        </w:rPr>
        <w:t> </w:t>
      </w:r>
      <w:r>
        <w:rPr/>
        <w:t>ForeignInvestment</w:t>
      </w:r>
      <w:r>
        <w:rPr>
          <w:spacing w:val="19"/>
        </w:rPr>
        <w:t> </w:t>
      </w:r>
      <w:r>
        <w:rPr/>
        <w:t>in</w:t>
      </w:r>
      <w:r>
        <w:rPr>
          <w:spacing w:val="18"/>
        </w:rPr>
        <w:t> </w:t>
      </w:r>
      <w:r>
        <w:rPr>
          <w:spacing w:val="-2"/>
        </w:rPr>
        <w:t>Nigeria</w:t>
      </w:r>
    </w:p>
    <w:p>
      <w:pPr>
        <w:pStyle w:val="BodyText"/>
        <w:spacing w:before="286"/>
      </w:pPr>
      <w:r>
        <w:rPr/>
        <w:t>into</w:t>
      </w:r>
      <w:r>
        <w:rPr>
          <w:spacing w:val="78"/>
        </w:rPr>
        <w:t> </w:t>
      </w:r>
      <w:r>
        <w:rPr/>
        <w:t>five:</w:t>
      </w:r>
      <w:r>
        <w:rPr>
          <w:spacing w:val="78"/>
        </w:rPr>
        <w:t> </w:t>
      </w:r>
      <w:r>
        <w:rPr/>
        <w:t>whollyforeign</w:t>
      </w:r>
      <w:r>
        <w:rPr>
          <w:spacing w:val="78"/>
        </w:rPr>
        <w:t> </w:t>
      </w:r>
      <w:r>
        <w:rPr/>
        <w:t>owned:</w:t>
      </w:r>
      <w:r>
        <w:rPr>
          <w:spacing w:val="78"/>
        </w:rPr>
        <w:t> </w:t>
      </w:r>
      <w:r>
        <w:rPr/>
        <w:t>jointventures;</w:t>
      </w:r>
      <w:r>
        <w:rPr>
          <w:spacing w:val="79"/>
        </w:rPr>
        <w:t> </w:t>
      </w:r>
      <w:r>
        <w:rPr/>
        <w:t>special</w:t>
      </w:r>
      <w:r>
        <w:rPr>
          <w:spacing w:val="79"/>
        </w:rPr>
        <w:t> </w:t>
      </w:r>
      <w:r>
        <w:rPr/>
        <w:t>contractarrangement;</w:t>
      </w:r>
      <w:r>
        <w:rPr>
          <w:spacing w:val="79"/>
        </w:rPr>
        <w:t> </w:t>
      </w:r>
      <w:r>
        <w:rPr>
          <w:spacing w:val="-2"/>
        </w:rPr>
        <w:t>technology</w:t>
      </w:r>
    </w:p>
    <w:p>
      <w:pPr>
        <w:pStyle w:val="BodyText"/>
        <w:spacing w:before="2"/>
        <w:ind w:left="0"/>
      </w:pPr>
    </w:p>
    <w:p>
      <w:pPr>
        <w:pStyle w:val="BodyText"/>
        <w:jc w:val="both"/>
      </w:pPr>
      <w:r>
        <w:rPr/>
        <w:t>management</w:t>
      </w:r>
      <w:r>
        <w:rPr>
          <w:spacing w:val="-13"/>
        </w:rPr>
        <w:t> </w:t>
      </w:r>
      <w:r>
        <w:rPr/>
        <w:t>andmarketing</w:t>
      </w:r>
      <w:r>
        <w:rPr>
          <w:spacing w:val="-12"/>
        </w:rPr>
        <w:t> </w:t>
      </w:r>
      <w:r>
        <w:rPr/>
        <w:t>arrangements,</w:t>
      </w:r>
      <w:r>
        <w:rPr>
          <w:spacing w:val="-12"/>
        </w:rPr>
        <w:t> </w:t>
      </w:r>
      <w:r>
        <w:rPr/>
        <w:t>and</w:t>
      </w:r>
      <w:r>
        <w:rPr>
          <w:spacing w:val="-12"/>
        </w:rPr>
        <w:t> </w:t>
      </w:r>
      <w:r>
        <w:rPr/>
        <w:t>subcontractcoproduction</w:t>
      </w:r>
      <w:r>
        <w:rPr>
          <w:spacing w:val="-10"/>
        </w:rPr>
        <w:t> </w:t>
      </w:r>
      <w:r>
        <w:rPr/>
        <w:t>and</w:t>
      </w:r>
      <w:r>
        <w:rPr>
          <w:spacing w:val="-12"/>
        </w:rPr>
        <w:t> </w:t>
      </w:r>
      <w:r>
        <w:rPr>
          <w:spacing w:val="-2"/>
        </w:rPr>
        <w:t>specialization.</w:t>
      </w:r>
    </w:p>
    <w:p>
      <w:pPr>
        <w:pStyle w:val="BodyText"/>
        <w:spacing w:before="159"/>
        <w:ind w:left="0"/>
      </w:pPr>
    </w:p>
    <w:p>
      <w:pPr>
        <w:pStyle w:val="BodyText"/>
        <w:spacing w:line="480" w:lineRule="auto"/>
        <w:ind w:right="736"/>
        <w:jc w:val="both"/>
      </w:pPr>
      <w:r>
        <w:rPr/>
        <w:t>Todaro and Smith (2009) defineFDI simply as 'a corporation thatconducts andcontrols productive activitiesin more than onecountry'. Buttressing this, Nobel laureatePaul Krugman defines</w:t>
      </w:r>
      <w:r>
        <w:rPr>
          <w:spacing w:val="8"/>
        </w:rPr>
        <w:t> </w:t>
      </w:r>
      <w:r>
        <w:rPr/>
        <w:t>FDI</w:t>
      </w:r>
      <w:r>
        <w:rPr>
          <w:spacing w:val="8"/>
        </w:rPr>
        <w:t> </w:t>
      </w:r>
      <w:r>
        <w:rPr/>
        <w:t>as</w:t>
      </w:r>
      <w:r>
        <w:rPr>
          <w:spacing w:val="8"/>
        </w:rPr>
        <w:t> </w:t>
      </w:r>
      <w:r>
        <w:rPr/>
        <w:t>'internationalcapital</w:t>
      </w:r>
      <w:r>
        <w:rPr>
          <w:spacing w:val="7"/>
        </w:rPr>
        <w:t> </w:t>
      </w:r>
      <w:r>
        <w:rPr/>
        <w:t>flows</w:t>
      </w:r>
      <w:r>
        <w:rPr>
          <w:spacing w:val="9"/>
        </w:rPr>
        <w:t> </w:t>
      </w:r>
      <w:r>
        <w:rPr/>
        <w:t>in</w:t>
      </w:r>
      <w:r>
        <w:rPr>
          <w:spacing w:val="8"/>
        </w:rPr>
        <w:t> </w:t>
      </w:r>
      <w:r>
        <w:rPr/>
        <w:t>which</w:t>
      </w:r>
      <w:r>
        <w:rPr>
          <w:spacing w:val="7"/>
        </w:rPr>
        <w:t> </w:t>
      </w:r>
      <w:r>
        <w:rPr/>
        <w:t>a</w:t>
      </w:r>
      <w:r>
        <w:rPr>
          <w:spacing w:val="7"/>
        </w:rPr>
        <w:t> </w:t>
      </w:r>
      <w:r>
        <w:rPr/>
        <w:t>firm</w:t>
      </w:r>
      <w:r>
        <w:rPr>
          <w:spacing w:val="8"/>
        </w:rPr>
        <w:t> </w:t>
      </w:r>
      <w:r>
        <w:rPr/>
        <w:t>in</w:t>
      </w:r>
      <w:r>
        <w:rPr>
          <w:spacing w:val="8"/>
        </w:rPr>
        <w:t> </w:t>
      </w:r>
      <w:r>
        <w:rPr/>
        <w:t>onecountry</w:t>
      </w:r>
      <w:r>
        <w:rPr>
          <w:spacing w:val="10"/>
        </w:rPr>
        <w:t> </w:t>
      </w:r>
      <w:r>
        <w:rPr/>
        <w:t>creates</w:t>
      </w:r>
      <w:r>
        <w:rPr>
          <w:spacing w:val="8"/>
        </w:rPr>
        <w:t> </w:t>
      </w:r>
      <w:r>
        <w:rPr/>
        <w:t>orexpands</w:t>
      </w:r>
      <w:r>
        <w:rPr>
          <w:spacing w:val="9"/>
        </w:rPr>
        <w:t> </w:t>
      </w:r>
      <w:r>
        <w:rPr>
          <w:spacing w:val="-10"/>
        </w:rPr>
        <w:t>a</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w:t>subsidiary inanother'. Also, in his ownwords, Rutherford (1992) defines FDI asinvestment in businesses of anothercountry which often takes theform of setting up a localproduction facilities</w:t>
      </w:r>
      <w:r>
        <w:rPr>
          <w:spacing w:val="33"/>
        </w:rPr>
        <w:t> </w:t>
      </w:r>
      <w:r>
        <w:rPr/>
        <w:t>or</w:t>
      </w:r>
      <w:r>
        <w:rPr>
          <w:spacing w:val="33"/>
        </w:rPr>
        <w:t> </w:t>
      </w:r>
      <w:r>
        <w:rPr/>
        <w:t>thepurchase</w:t>
      </w:r>
      <w:r>
        <w:rPr>
          <w:spacing w:val="32"/>
        </w:rPr>
        <w:t> </w:t>
      </w:r>
      <w:r>
        <w:rPr/>
        <w:t>of</w:t>
      </w:r>
      <w:r>
        <w:rPr>
          <w:spacing w:val="33"/>
        </w:rPr>
        <w:t> </w:t>
      </w:r>
      <w:r>
        <w:rPr/>
        <w:t>existingbusinesses.</w:t>
      </w:r>
      <w:r>
        <w:rPr>
          <w:spacing w:val="30"/>
        </w:rPr>
        <w:t> </w:t>
      </w:r>
      <w:r>
        <w:rPr/>
        <w:t>A</w:t>
      </w:r>
      <w:r>
        <w:rPr>
          <w:spacing w:val="32"/>
        </w:rPr>
        <w:t> </w:t>
      </w:r>
      <w:r>
        <w:rPr/>
        <w:t>lead</w:t>
      </w:r>
      <w:r>
        <w:rPr>
          <w:spacing w:val="33"/>
        </w:rPr>
        <w:t> </w:t>
      </w:r>
      <w:r>
        <w:rPr/>
        <w:t>driver</w:t>
      </w:r>
      <w:r>
        <w:rPr>
          <w:spacing w:val="33"/>
        </w:rPr>
        <w:t> </w:t>
      </w:r>
      <w:r>
        <w:rPr/>
        <w:t>of</w:t>
      </w:r>
      <w:r>
        <w:rPr>
          <w:spacing w:val="33"/>
        </w:rPr>
        <w:t> </w:t>
      </w:r>
      <w:r>
        <w:rPr/>
        <w:t>foreigndirect</w:t>
      </w:r>
      <w:r>
        <w:rPr>
          <w:spacing w:val="34"/>
        </w:rPr>
        <w:t> </w:t>
      </w:r>
      <w:r>
        <w:rPr>
          <w:spacing w:val="-2"/>
        </w:rPr>
        <w:t>investments,</w:t>
      </w:r>
    </w:p>
    <w:p>
      <w:pPr>
        <w:pStyle w:val="BodyText"/>
      </w:pPr>
      <w:r>
        <w:rPr/>
        <mc:AlternateContent>
          <mc:Choice Requires="wps">
            <w:drawing>
              <wp:anchor distT="0" distB="0" distL="0" distR="0" allowOverlap="1" layoutInCell="1" locked="0" behindDoc="1" simplePos="0" relativeHeight="478043648">
                <wp:simplePos x="0" y="0"/>
                <wp:positionH relativeFrom="page">
                  <wp:posOffset>896416</wp:posOffset>
                </wp:positionH>
                <wp:positionV relativeFrom="paragraph">
                  <wp:posOffset>740</wp:posOffset>
                </wp:positionV>
                <wp:extent cx="5981065" cy="594360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5981065" cy="5943600"/>
                        </a:xfrm>
                        <a:custGeom>
                          <a:avLst/>
                          <a:gdLst/>
                          <a:ahLst/>
                          <a:cxnLst/>
                          <a:rect l="l" t="t" r="r" b="b"/>
                          <a:pathLst>
                            <a:path w="5981065" h="5943600">
                              <a:moveTo>
                                <a:pt x="5981065" y="5212778"/>
                              </a:moveTo>
                              <a:lnTo>
                                <a:pt x="0" y="5212778"/>
                              </a:lnTo>
                              <a:lnTo>
                                <a:pt x="0" y="5578843"/>
                              </a:lnTo>
                              <a:lnTo>
                                <a:pt x="0" y="5943079"/>
                              </a:lnTo>
                              <a:lnTo>
                                <a:pt x="5981065" y="5943079"/>
                              </a:lnTo>
                              <a:lnTo>
                                <a:pt x="5981065" y="5578843"/>
                              </a:lnTo>
                              <a:lnTo>
                                <a:pt x="5981065" y="5212778"/>
                              </a:lnTo>
                              <a:close/>
                            </a:path>
                            <a:path w="5981065" h="5943600">
                              <a:moveTo>
                                <a:pt x="5981065" y="1094295"/>
                              </a:moveTo>
                              <a:lnTo>
                                <a:pt x="0" y="1094295"/>
                              </a:lnTo>
                              <a:lnTo>
                                <a:pt x="0" y="1460360"/>
                              </a:lnTo>
                              <a:lnTo>
                                <a:pt x="0" y="1826120"/>
                              </a:lnTo>
                              <a:lnTo>
                                <a:pt x="0" y="5212702"/>
                              </a:lnTo>
                              <a:lnTo>
                                <a:pt x="5981065" y="5212702"/>
                              </a:lnTo>
                              <a:lnTo>
                                <a:pt x="5981065" y="1460360"/>
                              </a:lnTo>
                              <a:lnTo>
                                <a:pt x="5981065" y="1094295"/>
                              </a:lnTo>
                              <a:close/>
                            </a:path>
                            <a:path w="5981065" h="5943600">
                              <a:moveTo>
                                <a:pt x="5981065" y="729996"/>
                              </a:moveTo>
                              <a:lnTo>
                                <a:pt x="0" y="729996"/>
                              </a:lnTo>
                              <a:lnTo>
                                <a:pt x="0" y="1094219"/>
                              </a:lnTo>
                              <a:lnTo>
                                <a:pt x="5981065" y="1094219"/>
                              </a:lnTo>
                              <a:lnTo>
                                <a:pt x="5981065" y="729996"/>
                              </a:lnTo>
                              <a:close/>
                            </a:path>
                            <a:path w="5981065" h="5943600">
                              <a:moveTo>
                                <a:pt x="5981065" y="0"/>
                              </a:moveTo>
                              <a:lnTo>
                                <a:pt x="0" y="0"/>
                              </a:lnTo>
                              <a:lnTo>
                                <a:pt x="0" y="364223"/>
                              </a:lnTo>
                              <a:lnTo>
                                <a:pt x="0" y="729983"/>
                              </a:lnTo>
                              <a:lnTo>
                                <a:pt x="5981065" y="729983"/>
                              </a:lnTo>
                              <a:lnTo>
                                <a:pt x="5981065" y="364223"/>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058294pt;width:470.95pt;height:468pt;mso-position-horizontal-relative:page;mso-position-vertical-relative:paragraph;z-index:-25272832" id="docshape83" coordorigin="1412,1" coordsize="9419,9360" path="m10831,8210l1412,8210,1412,8787,1412,9360,10831,9360,10831,8787,10831,8210xm10831,1724l1412,1724,1412,2301,1412,2877,1412,3451,1412,4027,1412,4600,1412,4600,1412,5177,1412,5750,1412,6326,1412,6900,1412,7476,1412,8210,10831,8210,10831,7476,10831,6900,10831,6326,10831,5750,10831,5177,10831,4600,10831,4600,10831,4027,10831,3451,10831,2877,10831,2301,10831,1724xm10831,1151l1412,1151,1412,1724,10831,1724,10831,1151xm10831,1l1412,1,1412,575,1412,1151,10831,1151,10831,575,10831,1xe" filled="true" fillcolor="#ffffff" stroked="false">
                <v:path arrowok="t"/>
                <v:fill type="solid"/>
                <w10:wrap type="none"/>
              </v:shape>
            </w:pict>
          </mc:Fallback>
        </mc:AlternateContent>
      </w:r>
      <w:r>
        <w:rPr/>
        <w:t>especially</w:t>
      </w:r>
      <w:r>
        <w:rPr>
          <w:spacing w:val="52"/>
          <w:w w:val="150"/>
        </w:rPr>
        <w:t> </w:t>
      </w:r>
      <w:r>
        <w:rPr/>
        <w:t>in</w:t>
      </w:r>
      <w:r>
        <w:rPr>
          <w:spacing w:val="52"/>
          <w:w w:val="150"/>
        </w:rPr>
        <w:t> </w:t>
      </w:r>
      <w:r>
        <w:rPr/>
        <w:t>LessDeveloped</w:t>
      </w:r>
      <w:r>
        <w:rPr>
          <w:spacing w:val="51"/>
          <w:w w:val="150"/>
        </w:rPr>
        <w:t> </w:t>
      </w:r>
      <w:r>
        <w:rPr/>
        <w:t>Countries</w:t>
      </w:r>
      <w:r>
        <w:rPr>
          <w:spacing w:val="53"/>
          <w:w w:val="150"/>
        </w:rPr>
        <w:t> </w:t>
      </w:r>
      <w:r>
        <w:rPr/>
        <w:t>(LDCs),</w:t>
      </w:r>
      <w:r>
        <w:rPr>
          <w:spacing w:val="52"/>
          <w:w w:val="150"/>
        </w:rPr>
        <w:t> </w:t>
      </w:r>
      <w:r>
        <w:rPr/>
        <w:t>is</w:t>
      </w:r>
      <w:r>
        <w:rPr>
          <w:spacing w:val="53"/>
          <w:w w:val="150"/>
        </w:rPr>
        <w:t> </w:t>
      </w:r>
      <w:r>
        <w:rPr/>
        <w:t>MultinationalCorporations</w:t>
      </w:r>
      <w:r>
        <w:rPr>
          <w:spacing w:val="53"/>
          <w:w w:val="150"/>
        </w:rPr>
        <w:t> </w:t>
      </w:r>
      <w:r>
        <w:rPr>
          <w:spacing w:val="-2"/>
        </w:rPr>
        <w:t>(MNCs).</w:t>
      </w:r>
    </w:p>
    <w:p>
      <w:pPr>
        <w:pStyle w:val="BodyText"/>
        <w:spacing w:before="286"/>
      </w:pPr>
      <w:r>
        <w:rPr/>
        <mc:AlternateContent>
          <mc:Choice Requires="wps">
            <w:drawing>
              <wp:anchor distT="0" distB="0" distL="0" distR="0" allowOverlap="1" layoutInCell="1" locked="0" behindDoc="1" simplePos="0" relativeHeight="478043136">
                <wp:simplePos x="0" y="0"/>
                <wp:positionH relativeFrom="page">
                  <wp:posOffset>950112</wp:posOffset>
                </wp:positionH>
                <wp:positionV relativeFrom="paragraph">
                  <wp:posOffset>5124</wp:posOffset>
                </wp:positionV>
                <wp:extent cx="5505450" cy="5661025"/>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03516pt;width:433.5pt;height:445.75pt;mso-position-horizontal-relative:page;mso-position-vertical-relative:paragraph;z-index:-25273344" id="docshape84" coordorigin="1496,8" coordsize="8670,8915" path="m2562,8728l1691,7857,1496,8052,2367,8923,2562,8728xm3154,8052l3153,8012,3148,7969,3139,7926,3125,7882,3106,7838,3083,7795,3055,7753,3025,7711,2991,7671,2954,7632,2435,7113,2241,7307,2772,7839,2805,7875,2829,7910,2846,7945,2856,7979,2858,8012,2851,8043,2837,8071,2816,8097,2790,8119,2761,8133,2730,8139,2697,8136,2663,8127,2628,8110,2593,8086,2557,8054,2026,7522,1831,7716,2351,8236,2385,8268,2424,8300,2468,8333,2516,8365,2548,8384,2583,8400,2620,8413,2658,8424,2697,8432,2733,8436,2767,8436,2800,8432,2831,8425,2863,8414,2895,8397,2926,8377,2957,8354,2985,8331,3011,8308,3035,8285,3071,8245,3102,8204,3125,8163,3142,8120,3150,8088,3154,8052xm3882,7269l3876,7204,3860,7139,3834,7072,3806,7018,3771,6962,3728,6904,3678,6845,3661,6826,3621,6785,3597,6762,3597,7256,3592,7297,3577,7333,3551,7366,3518,7392,3481,7407,3441,7411,3396,7405,3347,7387,3294,7355,3235,7310,3171,7251,3112,7187,3066,7128,3035,7074,3016,7025,3010,6980,3014,6940,3029,6904,3053,6872,3086,6847,3122,6832,3163,6826,3207,6832,3255,6849,3307,6879,3363,6921,3423,6976,3488,7046,3538,7108,3572,7164,3591,7213,3597,7256,3597,6762,3551,6720,3482,6665,3413,6619,3344,6584,3276,6558,3209,6542,3130,6537,3055,6547,2983,6572,2914,6613,2850,6668,2796,6732,2756,6799,2732,6871,2723,6947,2729,7026,2746,7095,2772,7164,2808,7233,2854,7303,2910,7374,2976,7445,3036,7502,3096,7551,3156,7593,3215,7628,3273,7655,3344,7680,3411,7693,3475,7697,3535,7691,3593,7674,3649,7647,3705,7610,3758,7561,3805,7508,3841,7451,3858,7411,3866,7393,3879,7331,3882,7269xm4153,6689l3966,6502,3712,6756,3899,6943,4153,6689xm4664,6626l3793,5755,3598,5950,4469,6821,4664,6626xm4998,6292l4675,5969,4781,5862,4832,5802,4837,5792,4866,5741,4883,5677,4882,5613,4866,5547,4843,5496,4836,5481,4792,5415,4733,5349,4670,5292,4607,5249,4598,5245,4598,5638,4597,5664,4587,5690,4570,5717,4546,5745,4498,5792,4304,5598,4359,5542,4386,5519,4412,5504,4438,5496,4462,5497,4486,5503,4509,5514,4531,5528,4552,5546,4570,5568,4584,5590,4593,5614,4598,5638,4598,5245,4544,5220,4483,5204,4423,5203,4365,5217,4309,5248,4255,5293,3931,5616,4803,6487,4998,6292xm5788,5502l5132,4846,5330,4648,5115,4433,4524,5024,4739,5239,4937,5041,5593,5697,5788,5502xm6423,4867l5767,4211,5966,4012,5751,3797,5159,4389,5374,4604,5573,4405,6229,5061,6423,4867xm7157,3994l7151,3929,7135,3864,7109,3797,7081,3743,7046,3687,7003,3629,6953,3570,6935,3552,6896,3510,6872,3488,6872,3982,6867,4022,6851,4058,6825,4092,6793,4117,6756,4132,6716,4136,6671,4130,6622,4112,6569,4080,6510,4035,6446,3976,6387,3912,6341,3853,6309,3799,6291,3750,6285,3705,6289,3665,6304,3629,6328,3598,6361,3572,6397,3557,6438,3552,6482,3557,6530,3574,6582,3604,6638,3646,6698,3701,6763,3771,6813,3834,6847,3889,6866,3938,6872,3982,6872,3488,6826,3445,6756,3390,6687,3345,6619,3309,6551,3284,6483,3268,6405,3262,6329,3272,6258,3297,6189,3338,6125,3393,6071,3457,6031,3525,6007,3596,5998,3672,6004,3752,6021,3820,6047,3889,6083,3958,6129,4028,6184,4099,6250,4170,6311,4227,6371,4276,6431,4319,6490,4353,6548,4381,6619,4405,6686,4419,6750,4422,6810,4416,6868,4400,6924,4372,6979,4335,7033,4287,7080,4233,7116,4177,7133,4136,7141,4118,7154,4057,7157,3994xm8170,2998l8165,2949,8153,2899,8134,2846,8109,2792,8079,2736,8041,2679,7980,2703,7799,2778,7831,2824,7855,2867,7873,2908,7884,2945,7887,2980,7881,3013,7866,3044,7843,3073,7812,3097,7778,3111,7740,3115,7700,3109,7653,3090,7600,3056,7538,3007,7469,2942,7417,2886,7375,2834,7344,2787,7324,2744,7311,2692,7312,2646,7325,2605,7352,2569,7367,2556,7384,2545,7402,2537,7422,2533,7442,2531,7464,2531,7486,2534,7509,2540,7524,2546,7542,2554,7563,2566,7586,2580,7705,2355,7622,2309,7543,2277,7469,2258,7400,2251,7333,2259,7269,2282,7206,2320,7146,2372,7092,2435,7054,2501,7030,2572,7021,2645,7027,2723,7044,2790,7070,2858,7106,2927,7153,2997,7209,3067,7276,3139,7341,3200,7404,3252,7467,3295,7529,3331,7590,3358,7662,3382,7730,3395,7791,3398,7847,3391,7900,3374,7952,3347,8004,3310,8056,3264,8094,3221,8125,3178,8147,3135,8161,3090,8169,3045,8170,2998xm8868,2283l8861,2219,8846,2153,8820,2086,8792,2032,8757,1976,8714,1918,8664,1859,8646,1841,8607,1799,8583,1777,8583,2271,8578,2311,8562,2348,8536,2381,8504,2406,8467,2421,8427,2426,8382,2419,8333,2401,8279,2370,8221,2324,8157,2265,8098,2201,8052,2142,8020,2088,8002,2039,7996,1995,8000,1954,8014,1918,8039,1887,8071,1861,8108,1846,8149,1841,8193,1846,8241,1863,8293,1893,8349,1935,8409,1990,8474,2060,8524,2123,8558,2179,8577,2227,8583,2271,8583,1777,8537,1734,8467,1679,8398,1634,8330,1598,8262,1573,8194,1557,8116,1551,8040,1561,7968,1587,7900,1627,7835,1683,7781,1746,7742,1814,7718,1885,7709,1961,7715,2041,7731,2109,7758,2178,7794,2248,7839,2318,7895,2388,7961,2459,8022,2516,8082,2566,8142,2608,8201,2642,8259,2670,8329,2694,8397,2708,8461,2711,8521,2705,8579,2689,8635,2662,8690,2624,8744,2576,8791,2522,8827,2466,8844,2426,8852,2407,8865,2346,8868,2283xm9348,1942l9025,1618,9132,1512,9182,1452,9188,1442,9216,1390,9233,1327,9233,1262,9217,1197,9194,1146,9187,1131,9142,1065,9084,999,9020,942,8957,899,8948,895,8948,1288,8947,1313,8938,1340,8921,1367,8896,1394,8849,1442,8654,1248,8710,1192,8737,1169,8763,1153,8788,1146,8812,1146,8836,1153,8859,1163,8881,1178,8902,1196,8920,1218,8934,1240,8943,1264,8948,1288,8948,895,8895,869,8833,853,8773,853,8715,867,8659,897,8605,942,8282,1266,9153,2137,9348,1942xm10166,1124l9801,759,9748,609,9593,158,9540,8,9325,223,9353,293,9436,504,9492,645,9422,617,9211,533,9071,477,8854,693,9005,746,9456,902,9606,954,9971,1319,10166,1124xe" filled="true" fillcolor="#c0c0c0" stroked="false">
                <v:path arrowok="t"/>
                <v:fill opacity="32896f" type="solid"/>
                <w10:wrap type="none"/>
              </v:shape>
            </w:pict>
          </mc:Fallback>
        </mc:AlternateContent>
      </w:r>
      <w:r>
        <w:rPr/>
        <w:t>MNCs</w:t>
      </w:r>
      <w:r>
        <w:rPr>
          <w:spacing w:val="47"/>
        </w:rPr>
        <w:t> </w:t>
      </w:r>
      <w:r>
        <w:rPr/>
        <w:t>are</w:t>
      </w:r>
      <w:r>
        <w:rPr>
          <w:spacing w:val="48"/>
        </w:rPr>
        <w:t> </w:t>
      </w:r>
      <w:r>
        <w:rPr/>
        <w:t>enterpriseswith</w:t>
      </w:r>
      <w:r>
        <w:rPr>
          <w:spacing w:val="48"/>
        </w:rPr>
        <w:t> </w:t>
      </w:r>
      <w:r>
        <w:rPr/>
        <w:t>headquarters</w:t>
      </w:r>
      <w:r>
        <w:rPr>
          <w:spacing w:val="47"/>
        </w:rPr>
        <w:t> </w:t>
      </w:r>
      <w:r>
        <w:rPr/>
        <w:t>mostly</w:t>
      </w:r>
      <w:r>
        <w:rPr>
          <w:spacing w:val="48"/>
        </w:rPr>
        <w:t> </w:t>
      </w:r>
      <w:r>
        <w:rPr/>
        <w:t>indeveloped</w:t>
      </w:r>
      <w:r>
        <w:rPr>
          <w:spacing w:val="47"/>
        </w:rPr>
        <w:t> </w:t>
      </w:r>
      <w:r>
        <w:rPr/>
        <w:t>countries</w:t>
      </w:r>
      <w:r>
        <w:rPr>
          <w:spacing w:val="48"/>
        </w:rPr>
        <w:t> </w:t>
      </w:r>
      <w:r>
        <w:rPr/>
        <w:t>and</w:t>
      </w:r>
      <w:r>
        <w:rPr>
          <w:spacing w:val="48"/>
        </w:rPr>
        <w:t> </w:t>
      </w:r>
      <w:r>
        <w:rPr/>
        <w:t>alsooperate</w:t>
      </w:r>
      <w:r>
        <w:rPr>
          <w:spacing w:val="47"/>
        </w:rPr>
        <w:t> </w:t>
      </w:r>
      <w:r>
        <w:rPr>
          <w:spacing w:val="-5"/>
        </w:rPr>
        <w:t>in</w:t>
      </w:r>
    </w:p>
    <w:p>
      <w:pPr>
        <w:pStyle w:val="BodyText"/>
        <w:spacing w:before="1"/>
        <w:ind w:left="0"/>
      </w:pPr>
    </w:p>
    <w:p>
      <w:pPr>
        <w:pStyle w:val="BodyText"/>
      </w:pPr>
      <w:r>
        <w:rPr/>
        <w:t>other</w:t>
      </w:r>
      <w:r>
        <w:rPr>
          <w:spacing w:val="-3"/>
        </w:rPr>
        <w:t> </w:t>
      </w:r>
      <w:r>
        <w:rPr/>
        <w:t>countries,</w:t>
      </w:r>
      <w:r>
        <w:rPr>
          <w:spacing w:val="-3"/>
        </w:rPr>
        <w:t> </w:t>
      </w:r>
      <w:r>
        <w:rPr/>
        <w:t>bothdeveloped</w:t>
      </w:r>
      <w:r>
        <w:rPr>
          <w:spacing w:val="-4"/>
        </w:rPr>
        <w:t> </w:t>
      </w:r>
      <w:r>
        <w:rPr/>
        <w:t>and</w:t>
      </w:r>
      <w:r>
        <w:rPr>
          <w:spacing w:val="-3"/>
        </w:rPr>
        <w:t> </w:t>
      </w:r>
      <w:r>
        <w:rPr/>
        <w:t>developing withnet</w:t>
      </w:r>
      <w:r>
        <w:rPr>
          <w:spacing w:val="-3"/>
        </w:rPr>
        <w:t> </w:t>
      </w:r>
      <w:r>
        <w:rPr/>
        <w:t>sales</w:t>
      </w:r>
      <w:r>
        <w:rPr>
          <w:spacing w:val="-2"/>
        </w:rPr>
        <w:t> </w:t>
      </w:r>
      <w:r>
        <w:rPr/>
        <w:t>of</w:t>
      </w:r>
      <w:r>
        <w:rPr>
          <w:spacing w:val="-2"/>
        </w:rPr>
        <w:t> </w:t>
      </w:r>
      <w:r>
        <w:rPr/>
        <w:t>$100milliondollars</w:t>
      </w:r>
      <w:r>
        <w:rPr>
          <w:spacing w:val="-2"/>
        </w:rPr>
        <w:t> </w:t>
      </w:r>
      <w:r>
        <w:rPr/>
        <w:t>to</w:t>
      </w:r>
      <w:r>
        <w:rPr>
          <w:spacing w:val="-3"/>
        </w:rPr>
        <w:t> </w:t>
      </w:r>
      <w:r>
        <w:rPr>
          <w:spacing w:val="-2"/>
        </w:rPr>
        <w:t>several</w:t>
      </w:r>
    </w:p>
    <w:p>
      <w:pPr>
        <w:pStyle w:val="BodyText"/>
        <w:spacing w:before="287"/>
      </w:pPr>
      <w:r>
        <w:rPr/>
        <w:t>thousand</w:t>
      </w:r>
      <w:r>
        <w:rPr>
          <w:spacing w:val="-8"/>
        </w:rPr>
        <w:t> </w:t>
      </w:r>
      <w:r>
        <w:rPr/>
        <w:t>milliondollars</w:t>
      </w:r>
      <w:r>
        <w:rPr>
          <w:spacing w:val="-6"/>
        </w:rPr>
        <w:t> </w:t>
      </w:r>
      <w:r>
        <w:rPr/>
        <w:t>(Jhingan,</w:t>
      </w:r>
      <w:r>
        <w:rPr>
          <w:spacing w:val="-8"/>
        </w:rPr>
        <w:t> </w:t>
      </w:r>
      <w:r>
        <w:rPr/>
        <w:t>2007).</w:t>
      </w:r>
      <w:r>
        <w:rPr>
          <w:spacing w:val="-7"/>
        </w:rPr>
        <w:t> </w:t>
      </w:r>
      <w:r>
        <w:rPr/>
        <w:t>FDI</w:t>
      </w:r>
      <w:r>
        <w:rPr>
          <w:spacing w:val="-8"/>
        </w:rPr>
        <w:t> </w:t>
      </w:r>
      <w:r>
        <w:rPr/>
        <w:t>is</w:t>
      </w:r>
      <w:r>
        <w:rPr>
          <w:spacing w:val="-3"/>
        </w:rPr>
        <w:t> </w:t>
      </w:r>
      <w:r>
        <w:rPr/>
        <w:t>thedistinctive</w:t>
      </w:r>
      <w:r>
        <w:rPr>
          <w:spacing w:val="-8"/>
        </w:rPr>
        <w:t> </w:t>
      </w:r>
      <w:r>
        <w:rPr/>
        <w:t>feature</w:t>
      </w:r>
      <w:r>
        <w:rPr>
          <w:spacing w:val="-7"/>
        </w:rPr>
        <w:t> </w:t>
      </w:r>
      <w:r>
        <w:rPr/>
        <w:t>of</w:t>
      </w:r>
      <w:r>
        <w:rPr>
          <w:spacing w:val="-5"/>
        </w:rPr>
        <w:t> </w:t>
      </w:r>
      <w:r>
        <w:rPr/>
        <w:t>MNC;</w:t>
      </w:r>
      <w:r>
        <w:rPr>
          <w:spacing w:val="-7"/>
        </w:rPr>
        <w:t> </w:t>
      </w:r>
      <w:r>
        <w:rPr/>
        <w:t>hencea</w:t>
      </w:r>
      <w:r>
        <w:rPr>
          <w:spacing w:val="-8"/>
        </w:rPr>
        <w:t> </w:t>
      </w:r>
      <w:r>
        <w:rPr>
          <w:spacing w:val="-2"/>
        </w:rPr>
        <w:t>theory</w:t>
      </w:r>
    </w:p>
    <w:p>
      <w:pPr>
        <w:pStyle w:val="BodyText"/>
        <w:spacing w:before="1"/>
        <w:ind w:left="0"/>
      </w:pPr>
    </w:p>
    <w:p>
      <w:pPr>
        <w:pStyle w:val="BodyText"/>
      </w:pPr>
      <w:r>
        <w:rPr/>
        <w:t>of</w:t>
      </w:r>
      <w:r>
        <w:rPr>
          <w:spacing w:val="6"/>
        </w:rPr>
        <w:t> </w:t>
      </w:r>
      <w:r>
        <w:rPr/>
        <w:t>FDI</w:t>
      </w:r>
      <w:r>
        <w:rPr>
          <w:spacing w:val="6"/>
        </w:rPr>
        <w:t> </w:t>
      </w:r>
      <w:r>
        <w:rPr/>
        <w:t>is</w:t>
      </w:r>
      <w:r>
        <w:rPr>
          <w:spacing w:val="7"/>
        </w:rPr>
        <w:t> </w:t>
      </w:r>
      <w:r>
        <w:rPr/>
        <w:t>also</w:t>
      </w:r>
      <w:r>
        <w:rPr>
          <w:spacing w:val="5"/>
        </w:rPr>
        <w:t> </w:t>
      </w:r>
      <w:r>
        <w:rPr/>
        <w:t>a</w:t>
      </w:r>
      <w:r>
        <w:rPr>
          <w:spacing w:val="6"/>
        </w:rPr>
        <w:t> </w:t>
      </w:r>
      <w:r>
        <w:rPr/>
        <w:t>theoryof</w:t>
      </w:r>
      <w:r>
        <w:rPr>
          <w:spacing w:val="6"/>
        </w:rPr>
        <w:t> </w:t>
      </w:r>
      <w:r>
        <w:rPr/>
        <w:t>multinational</w:t>
      </w:r>
      <w:r>
        <w:rPr>
          <w:spacing w:val="6"/>
        </w:rPr>
        <w:t> </w:t>
      </w:r>
      <w:r>
        <w:rPr/>
        <w:t>enterpriseas</w:t>
      </w:r>
      <w:r>
        <w:rPr>
          <w:spacing w:val="6"/>
        </w:rPr>
        <w:t> </w:t>
      </w:r>
      <w:r>
        <w:rPr/>
        <w:t>an</w:t>
      </w:r>
      <w:r>
        <w:rPr>
          <w:spacing w:val="5"/>
        </w:rPr>
        <w:t> </w:t>
      </w:r>
      <w:r>
        <w:rPr/>
        <w:t>actor</w:t>
      </w:r>
      <w:r>
        <w:rPr>
          <w:spacing w:val="7"/>
        </w:rPr>
        <w:t> </w:t>
      </w:r>
      <w:r>
        <w:rPr/>
        <w:t>in</w:t>
      </w:r>
      <w:r>
        <w:rPr>
          <w:spacing w:val="5"/>
        </w:rPr>
        <w:t> </w:t>
      </w:r>
      <w:r>
        <w:rPr/>
        <w:t>the</w:t>
      </w:r>
      <w:r>
        <w:rPr>
          <w:spacing w:val="6"/>
        </w:rPr>
        <w:t> </w:t>
      </w:r>
      <w:r>
        <w:rPr/>
        <w:t>worldeconomy.</w:t>
      </w:r>
      <w:r>
        <w:rPr>
          <w:spacing w:val="5"/>
        </w:rPr>
        <w:t> </w:t>
      </w:r>
      <w:r>
        <w:rPr/>
        <w:t>Based</w:t>
      </w:r>
      <w:r>
        <w:rPr>
          <w:spacing w:val="7"/>
        </w:rPr>
        <w:t> </w:t>
      </w:r>
      <w:r>
        <w:rPr>
          <w:spacing w:val="-5"/>
        </w:rPr>
        <w:t>on</w:t>
      </w:r>
    </w:p>
    <w:p>
      <w:pPr>
        <w:pStyle w:val="BodyText"/>
        <w:spacing w:before="1"/>
        <w:ind w:left="0"/>
      </w:pPr>
    </w:p>
    <w:p>
      <w:pPr>
        <w:pStyle w:val="BodyText"/>
      </w:pPr>
      <w:r>
        <w:rPr/>
        <w:t>this</w:t>
      </w:r>
      <w:r>
        <w:rPr>
          <w:spacing w:val="6"/>
        </w:rPr>
        <w:t> </w:t>
      </w:r>
      <w:r>
        <w:rPr/>
        <w:t>proposition,</w:t>
      </w:r>
      <w:r>
        <w:rPr>
          <w:spacing w:val="6"/>
        </w:rPr>
        <w:t> </w:t>
      </w:r>
      <w:r>
        <w:rPr/>
        <w:t>FDI</w:t>
      </w:r>
      <w:r>
        <w:rPr>
          <w:spacing w:val="6"/>
        </w:rPr>
        <w:t> </w:t>
      </w:r>
      <w:r>
        <w:rPr/>
        <w:t>is</w:t>
      </w:r>
      <w:r>
        <w:rPr>
          <w:spacing w:val="4"/>
        </w:rPr>
        <w:t> </w:t>
      </w:r>
      <w:r>
        <w:rPr/>
        <w:t>notsimply</w:t>
      </w:r>
      <w:r>
        <w:rPr>
          <w:spacing w:val="5"/>
        </w:rPr>
        <w:t> </w:t>
      </w:r>
      <w:r>
        <w:rPr/>
        <w:t>an</w:t>
      </w:r>
      <w:r>
        <w:rPr>
          <w:spacing w:val="5"/>
        </w:rPr>
        <w:t> </w:t>
      </w:r>
      <w:r>
        <w:rPr/>
        <w:t>internationaltransfer</w:t>
      </w:r>
      <w:r>
        <w:rPr>
          <w:spacing w:val="6"/>
        </w:rPr>
        <w:t> </w:t>
      </w:r>
      <w:r>
        <w:rPr/>
        <w:t>of</w:t>
      </w:r>
      <w:r>
        <w:rPr>
          <w:spacing w:val="6"/>
        </w:rPr>
        <w:t> </w:t>
      </w:r>
      <w:r>
        <w:rPr/>
        <w:t>capital</w:t>
      </w:r>
      <w:r>
        <w:rPr>
          <w:spacing w:val="4"/>
        </w:rPr>
        <w:t> </w:t>
      </w:r>
      <w:r>
        <w:rPr/>
        <w:t>but</w:t>
      </w:r>
      <w:r>
        <w:rPr>
          <w:spacing w:val="5"/>
        </w:rPr>
        <w:t> </w:t>
      </w:r>
      <w:r>
        <w:rPr/>
        <w:t>also</w:t>
      </w:r>
      <w:r>
        <w:rPr>
          <w:spacing w:val="5"/>
        </w:rPr>
        <w:t> </w:t>
      </w:r>
      <w:r>
        <w:rPr/>
        <w:t>theextension</w:t>
      </w:r>
      <w:r>
        <w:rPr>
          <w:spacing w:val="5"/>
        </w:rPr>
        <w:t> </w:t>
      </w:r>
      <w:r>
        <w:rPr>
          <w:spacing w:val="-5"/>
        </w:rPr>
        <w:t>of</w:t>
      </w:r>
    </w:p>
    <w:p>
      <w:pPr>
        <w:pStyle w:val="BodyText"/>
        <w:spacing w:before="286"/>
      </w:pPr>
      <w:r>
        <w:rPr/>
        <w:t>an</w:t>
      </w:r>
      <w:r>
        <w:rPr>
          <w:spacing w:val="37"/>
        </w:rPr>
        <w:t> </w:t>
      </w:r>
      <w:r>
        <w:rPr/>
        <w:t>enterprisefrom</w:t>
      </w:r>
      <w:r>
        <w:rPr>
          <w:spacing w:val="39"/>
        </w:rPr>
        <w:t> </w:t>
      </w:r>
      <w:r>
        <w:rPr/>
        <w:t>its</w:t>
      </w:r>
      <w:r>
        <w:rPr>
          <w:spacing w:val="40"/>
        </w:rPr>
        <w:t> </w:t>
      </w:r>
      <w:r>
        <w:rPr/>
        <w:t>home</w:t>
      </w:r>
      <w:r>
        <w:rPr>
          <w:spacing w:val="38"/>
        </w:rPr>
        <w:t> </w:t>
      </w:r>
      <w:r>
        <w:rPr/>
        <w:t>countryinto</w:t>
      </w:r>
      <w:r>
        <w:rPr>
          <w:spacing w:val="38"/>
        </w:rPr>
        <w:t> </w:t>
      </w:r>
      <w:r>
        <w:rPr/>
        <w:t>a</w:t>
      </w:r>
      <w:r>
        <w:rPr>
          <w:spacing w:val="38"/>
        </w:rPr>
        <w:t> </w:t>
      </w:r>
      <w:r>
        <w:rPr/>
        <w:t>foreign-hostcountry.</w:t>
      </w:r>
      <w:r>
        <w:rPr>
          <w:spacing w:val="39"/>
        </w:rPr>
        <w:t> </w:t>
      </w:r>
      <w:r>
        <w:rPr/>
        <w:t>Multinational</w:t>
      </w:r>
      <w:r>
        <w:rPr>
          <w:spacing w:val="38"/>
        </w:rPr>
        <w:t> </w:t>
      </w:r>
      <w:r>
        <w:rPr>
          <w:spacing w:val="-2"/>
        </w:rPr>
        <w:t>Corporations</w:t>
      </w:r>
    </w:p>
    <w:p>
      <w:pPr>
        <w:pStyle w:val="BodyText"/>
        <w:spacing w:before="1"/>
        <w:ind w:left="0"/>
      </w:pPr>
    </w:p>
    <w:p>
      <w:pPr>
        <w:pStyle w:val="BodyText"/>
      </w:pPr>
      <w:r>
        <w:rPr/>
        <w:t>(MNCs)</w:t>
      </w:r>
      <w:r>
        <w:rPr>
          <w:spacing w:val="56"/>
        </w:rPr>
        <w:t> </w:t>
      </w:r>
      <w:r>
        <w:rPr/>
        <w:t>are</w:t>
      </w:r>
      <w:r>
        <w:rPr>
          <w:spacing w:val="56"/>
        </w:rPr>
        <w:t> </w:t>
      </w:r>
      <w:r>
        <w:rPr/>
        <w:t>oligopolisticin</w:t>
      </w:r>
      <w:r>
        <w:rPr>
          <w:spacing w:val="57"/>
        </w:rPr>
        <w:t> </w:t>
      </w:r>
      <w:r>
        <w:rPr/>
        <w:t>nature</w:t>
      </w:r>
      <w:r>
        <w:rPr>
          <w:spacing w:val="56"/>
        </w:rPr>
        <w:t> </w:t>
      </w:r>
      <w:r>
        <w:rPr/>
        <w:t>hence</w:t>
      </w:r>
      <w:r>
        <w:rPr>
          <w:spacing w:val="56"/>
        </w:rPr>
        <w:t> </w:t>
      </w:r>
      <w:r>
        <w:rPr/>
        <w:t>theirinvestment</w:t>
      </w:r>
      <w:r>
        <w:rPr>
          <w:spacing w:val="56"/>
        </w:rPr>
        <w:t> </w:t>
      </w:r>
      <w:r>
        <w:rPr/>
        <w:t>capital</w:t>
      </w:r>
      <w:r>
        <w:rPr>
          <w:spacing w:val="56"/>
        </w:rPr>
        <w:t> </w:t>
      </w:r>
      <w:r>
        <w:rPr/>
        <w:t>(FDI)</w:t>
      </w:r>
      <w:r>
        <w:rPr>
          <w:spacing w:val="57"/>
        </w:rPr>
        <w:t> </w:t>
      </w:r>
      <w:r>
        <w:rPr>
          <w:spacing w:val="-2"/>
        </w:rPr>
        <w:t>gravitatestowards</w:t>
      </w:r>
    </w:p>
    <w:p>
      <w:pPr>
        <w:pStyle w:val="BodyText"/>
        <w:spacing w:before="287"/>
      </w:pPr>
      <w:r>
        <w:rPr/>
        <w:t>countries</w:t>
      </w:r>
      <w:r>
        <w:rPr>
          <w:spacing w:val="14"/>
        </w:rPr>
        <w:t> </w:t>
      </w:r>
      <w:r>
        <w:rPr/>
        <w:t>and</w:t>
      </w:r>
      <w:r>
        <w:rPr>
          <w:spacing w:val="13"/>
        </w:rPr>
        <w:t> </w:t>
      </w:r>
      <w:r>
        <w:rPr/>
        <w:t>regionswith</w:t>
      </w:r>
      <w:r>
        <w:rPr>
          <w:spacing w:val="14"/>
        </w:rPr>
        <w:t> </w:t>
      </w:r>
      <w:r>
        <w:rPr/>
        <w:t>highest</w:t>
      </w:r>
      <w:r>
        <w:rPr>
          <w:spacing w:val="14"/>
        </w:rPr>
        <w:t> </w:t>
      </w:r>
      <w:r>
        <w:rPr/>
        <w:t>financial</w:t>
      </w:r>
      <w:r>
        <w:rPr>
          <w:spacing w:val="16"/>
        </w:rPr>
        <w:t> </w:t>
      </w:r>
      <w:r>
        <w:rPr/>
        <w:t>returnsand</w:t>
      </w:r>
      <w:r>
        <w:rPr>
          <w:spacing w:val="13"/>
        </w:rPr>
        <w:t> </w:t>
      </w:r>
      <w:r>
        <w:rPr/>
        <w:t>the</w:t>
      </w:r>
      <w:r>
        <w:rPr>
          <w:spacing w:val="14"/>
        </w:rPr>
        <w:t> </w:t>
      </w:r>
      <w:r>
        <w:rPr/>
        <w:t>greatest</w:t>
      </w:r>
      <w:r>
        <w:rPr>
          <w:spacing w:val="14"/>
        </w:rPr>
        <w:t> </w:t>
      </w:r>
      <w:r>
        <w:rPr/>
        <w:t>perceivedsafety</w:t>
      </w:r>
      <w:r>
        <w:rPr>
          <w:spacing w:val="14"/>
        </w:rPr>
        <w:t> </w:t>
      </w:r>
      <w:r>
        <w:rPr/>
        <w:t>to</w:t>
      </w:r>
      <w:r>
        <w:rPr>
          <w:spacing w:val="14"/>
        </w:rPr>
        <w:t> </w:t>
      </w:r>
      <w:r>
        <w:rPr>
          <w:spacing w:val="-2"/>
        </w:rPr>
        <w:t>avoid</w:t>
      </w:r>
    </w:p>
    <w:p>
      <w:pPr>
        <w:pStyle w:val="BodyText"/>
        <w:spacing w:before="1"/>
        <w:ind w:left="0"/>
      </w:pPr>
    </w:p>
    <w:p>
      <w:pPr>
        <w:pStyle w:val="BodyText"/>
      </w:pPr>
      <w:r>
        <w:rPr/>
        <w:t>the</w:t>
      </w:r>
      <w:r>
        <w:rPr>
          <w:spacing w:val="58"/>
        </w:rPr>
        <w:t> </w:t>
      </w:r>
      <w:r>
        <w:rPr/>
        <w:t>risk</w:t>
      </w:r>
      <w:r>
        <w:rPr>
          <w:spacing w:val="59"/>
        </w:rPr>
        <w:t> </w:t>
      </w:r>
      <w:r>
        <w:rPr/>
        <w:t>ofcapital</w:t>
      </w:r>
      <w:r>
        <w:rPr>
          <w:spacing w:val="59"/>
        </w:rPr>
        <w:t> </w:t>
      </w:r>
      <w:r>
        <w:rPr/>
        <w:t>loss.</w:t>
      </w:r>
      <w:r>
        <w:rPr>
          <w:spacing w:val="59"/>
        </w:rPr>
        <w:t> </w:t>
      </w:r>
      <w:r>
        <w:rPr/>
        <w:t>Their</w:t>
      </w:r>
      <w:r>
        <w:rPr>
          <w:spacing w:val="59"/>
        </w:rPr>
        <w:t> </w:t>
      </w:r>
      <w:r>
        <w:rPr/>
        <w:t>mainobjectives</w:t>
      </w:r>
      <w:r>
        <w:rPr>
          <w:spacing w:val="62"/>
        </w:rPr>
        <w:t> </w:t>
      </w:r>
      <w:r>
        <w:rPr/>
        <w:t>is</w:t>
      </w:r>
      <w:r>
        <w:rPr>
          <w:spacing w:val="60"/>
        </w:rPr>
        <w:t> </w:t>
      </w:r>
      <w:r>
        <w:rPr/>
        <w:t>profitmaximization</w:t>
      </w:r>
      <w:r>
        <w:rPr>
          <w:spacing w:val="59"/>
        </w:rPr>
        <w:t> </w:t>
      </w:r>
      <w:r>
        <w:rPr/>
        <w:t>such</w:t>
      </w:r>
      <w:r>
        <w:rPr>
          <w:spacing w:val="58"/>
        </w:rPr>
        <w:t> </w:t>
      </w:r>
      <w:r>
        <w:rPr/>
        <w:t>thatover</w:t>
      </w:r>
      <w:r>
        <w:rPr>
          <w:spacing w:val="59"/>
        </w:rPr>
        <w:t> </w:t>
      </w:r>
      <w:r>
        <w:rPr>
          <w:spacing w:val="-4"/>
        </w:rPr>
        <w:t>(90%)</w:t>
      </w:r>
    </w:p>
    <w:p>
      <w:pPr>
        <w:pStyle w:val="BodyText"/>
        <w:spacing w:before="286"/>
      </w:pPr>
      <w:r>
        <w:rPr/>
        <w:t>ninety</w:t>
      </w:r>
      <w:r>
        <w:rPr>
          <w:spacing w:val="75"/>
        </w:rPr>
        <w:t> </w:t>
      </w:r>
      <w:r>
        <w:rPr/>
        <w:t>per</w:t>
      </w:r>
      <w:r>
        <w:rPr>
          <w:spacing w:val="77"/>
        </w:rPr>
        <w:t> </w:t>
      </w:r>
      <w:r>
        <w:rPr/>
        <w:t>cent</w:t>
      </w:r>
      <w:r>
        <w:rPr>
          <w:spacing w:val="78"/>
        </w:rPr>
        <w:t> </w:t>
      </w:r>
      <w:r>
        <w:rPr/>
        <w:t>ofglobal</w:t>
      </w:r>
      <w:r>
        <w:rPr>
          <w:spacing w:val="75"/>
        </w:rPr>
        <w:t> </w:t>
      </w:r>
      <w:r>
        <w:rPr/>
        <w:t>FDI</w:t>
      </w:r>
      <w:r>
        <w:rPr>
          <w:spacing w:val="76"/>
        </w:rPr>
        <w:t> </w:t>
      </w:r>
      <w:r>
        <w:rPr/>
        <w:t>goes</w:t>
      </w:r>
      <w:r>
        <w:rPr>
          <w:spacing w:val="76"/>
        </w:rPr>
        <w:t> </w:t>
      </w:r>
      <w:r>
        <w:rPr/>
        <w:t>to</w:t>
      </w:r>
      <w:r>
        <w:rPr>
          <w:spacing w:val="76"/>
        </w:rPr>
        <w:t> </w:t>
      </w:r>
      <w:r>
        <w:rPr/>
        <w:t>otherindustrial</w:t>
      </w:r>
      <w:r>
        <w:rPr>
          <w:spacing w:val="75"/>
        </w:rPr>
        <w:t> </w:t>
      </w:r>
      <w:r>
        <w:rPr/>
        <w:t>countries</w:t>
      </w:r>
      <w:r>
        <w:rPr>
          <w:spacing w:val="76"/>
        </w:rPr>
        <w:t> </w:t>
      </w:r>
      <w:r>
        <w:rPr/>
        <w:t>and</w:t>
      </w:r>
      <w:r>
        <w:rPr>
          <w:spacing w:val="77"/>
        </w:rPr>
        <w:t> </w:t>
      </w:r>
      <w:r>
        <w:rPr/>
        <w:t>thefastest</w:t>
      </w:r>
      <w:r>
        <w:rPr>
          <w:spacing w:val="76"/>
        </w:rPr>
        <w:t> </w:t>
      </w:r>
      <w:r>
        <w:rPr>
          <w:spacing w:val="-2"/>
        </w:rPr>
        <w:t>growing</w:t>
      </w:r>
    </w:p>
    <w:p>
      <w:pPr>
        <w:pStyle w:val="BodyText"/>
        <w:spacing w:before="1"/>
        <w:ind w:left="0"/>
      </w:pPr>
    </w:p>
    <w:p>
      <w:pPr>
        <w:pStyle w:val="BodyText"/>
      </w:pPr>
      <w:r>
        <w:rPr/>
        <w:t>developing</w:t>
      </w:r>
      <w:r>
        <w:rPr>
          <w:spacing w:val="29"/>
        </w:rPr>
        <w:t>  </w:t>
      </w:r>
      <w:r>
        <w:rPr/>
        <w:t>countrieswhile</w:t>
      </w:r>
      <w:r>
        <w:rPr>
          <w:spacing w:val="30"/>
        </w:rPr>
        <w:t>  </w:t>
      </w:r>
      <w:r>
        <w:rPr/>
        <w:t>they</w:t>
      </w:r>
      <w:r>
        <w:rPr>
          <w:spacing w:val="29"/>
        </w:rPr>
        <w:t>  </w:t>
      </w:r>
      <w:r>
        <w:rPr/>
        <w:t>are</w:t>
      </w:r>
      <w:r>
        <w:rPr>
          <w:spacing w:val="29"/>
        </w:rPr>
        <w:t>  </w:t>
      </w:r>
      <w:r>
        <w:rPr/>
        <w:t>largelyunconcerned</w:t>
      </w:r>
      <w:r>
        <w:rPr>
          <w:spacing w:val="30"/>
        </w:rPr>
        <w:t>  </w:t>
      </w:r>
      <w:r>
        <w:rPr/>
        <w:t>with</w:t>
      </w:r>
      <w:r>
        <w:rPr>
          <w:spacing w:val="29"/>
        </w:rPr>
        <w:t>  </w:t>
      </w:r>
      <w:r>
        <w:rPr/>
        <w:t>issues</w:t>
      </w:r>
      <w:r>
        <w:rPr>
          <w:spacing w:val="30"/>
        </w:rPr>
        <w:t>  </w:t>
      </w:r>
      <w:r>
        <w:rPr/>
        <w:t>such</w:t>
      </w:r>
      <w:r>
        <w:rPr>
          <w:spacing w:val="29"/>
        </w:rPr>
        <w:t>  </w:t>
      </w:r>
      <w:r>
        <w:rPr>
          <w:spacing w:val="-2"/>
        </w:rPr>
        <w:t>aspoverty,</w:t>
      </w:r>
    </w:p>
    <w:p>
      <w:pPr>
        <w:pStyle w:val="BodyText"/>
        <w:spacing w:before="286"/>
      </w:pPr>
      <w:r>
        <w:rPr/>
        <w:t>inequality</w:t>
      </w:r>
      <w:r>
        <w:rPr>
          <w:spacing w:val="-10"/>
        </w:rPr>
        <w:t> </w:t>
      </w:r>
      <w:r>
        <w:rPr/>
        <w:t>andunemployment</w:t>
      </w:r>
      <w:r>
        <w:rPr>
          <w:spacing w:val="-9"/>
        </w:rPr>
        <w:t> </w:t>
      </w:r>
      <w:r>
        <w:rPr/>
        <w:t>alleviation</w:t>
      </w:r>
      <w:r>
        <w:rPr>
          <w:spacing w:val="-9"/>
        </w:rPr>
        <w:t> </w:t>
      </w:r>
      <w:r>
        <w:rPr/>
        <w:t>(Todaro</w:t>
      </w:r>
      <w:r>
        <w:rPr>
          <w:spacing w:val="-9"/>
        </w:rPr>
        <w:t> </w:t>
      </w:r>
      <w:r>
        <w:rPr/>
        <w:t>&amp;</w:t>
      </w:r>
      <w:r>
        <w:rPr>
          <w:spacing w:val="-9"/>
        </w:rPr>
        <w:t> </w:t>
      </w:r>
      <w:r>
        <w:rPr/>
        <w:t>Smith</w:t>
      </w:r>
      <w:r>
        <w:rPr>
          <w:spacing w:val="-10"/>
        </w:rPr>
        <w:t> </w:t>
      </w:r>
      <w:r>
        <w:rPr>
          <w:spacing w:val="-2"/>
        </w:rPr>
        <w:t>2003).</w:t>
      </w:r>
    </w:p>
    <w:p>
      <w:pPr>
        <w:pStyle w:val="BodyText"/>
        <w:spacing w:before="162"/>
        <w:ind w:left="0"/>
      </w:pPr>
    </w:p>
    <w:p>
      <w:pPr>
        <w:pStyle w:val="BodyText"/>
      </w:pPr>
      <w:r>
        <w:rPr/>
        <w:t>According</w:t>
      </w:r>
      <w:r>
        <w:rPr>
          <w:spacing w:val="12"/>
        </w:rPr>
        <w:t> </w:t>
      </w:r>
      <w:r>
        <w:rPr/>
        <w:t>to</w:t>
      </w:r>
      <w:r>
        <w:rPr>
          <w:spacing w:val="12"/>
        </w:rPr>
        <w:t> </w:t>
      </w:r>
      <w:r>
        <w:rPr/>
        <w:t>Carkovic</w:t>
      </w:r>
      <w:r>
        <w:rPr>
          <w:spacing w:val="12"/>
        </w:rPr>
        <w:t> </w:t>
      </w:r>
      <w:r>
        <w:rPr/>
        <w:t>aridLevine</w:t>
      </w:r>
      <w:r>
        <w:rPr>
          <w:spacing w:val="11"/>
        </w:rPr>
        <w:t> </w:t>
      </w:r>
      <w:r>
        <w:rPr/>
        <w:t>(2003);</w:t>
      </w:r>
      <w:r>
        <w:rPr>
          <w:spacing w:val="12"/>
        </w:rPr>
        <w:t> </w:t>
      </w:r>
      <w:r>
        <w:rPr/>
        <w:t>Todaro</w:t>
      </w:r>
      <w:r>
        <w:rPr>
          <w:spacing w:val="12"/>
        </w:rPr>
        <w:t> </w:t>
      </w:r>
      <w:r>
        <w:rPr/>
        <w:t>and</w:t>
      </w:r>
      <w:r>
        <w:rPr>
          <w:spacing w:val="11"/>
        </w:rPr>
        <w:t> </w:t>
      </w:r>
      <w:r>
        <w:rPr/>
        <w:t>Smith</w:t>
      </w:r>
      <w:r>
        <w:rPr>
          <w:spacing w:val="12"/>
        </w:rPr>
        <w:t> </w:t>
      </w:r>
      <w:r>
        <w:rPr/>
        <w:t>(2003),</w:t>
      </w:r>
      <w:r>
        <w:rPr>
          <w:spacing w:val="7"/>
        </w:rPr>
        <w:t> </w:t>
      </w:r>
      <w:r>
        <w:rPr/>
        <w:t>FDI</w:t>
      </w:r>
      <w:r>
        <w:rPr>
          <w:spacing w:val="12"/>
        </w:rPr>
        <w:t> </w:t>
      </w:r>
      <w:r>
        <w:rPr/>
        <w:t>now</w:t>
      </w:r>
      <w:r>
        <w:rPr>
          <w:spacing w:val="14"/>
        </w:rPr>
        <w:t> </w:t>
      </w:r>
      <w:r>
        <w:rPr/>
        <w:t>accounts</w:t>
      </w:r>
      <w:r>
        <w:rPr>
          <w:spacing w:val="12"/>
        </w:rPr>
        <w:t> </w:t>
      </w:r>
      <w:r>
        <w:rPr>
          <w:spacing w:val="-5"/>
        </w:rPr>
        <w:t>for</w:t>
      </w:r>
    </w:p>
    <w:p>
      <w:pPr>
        <w:pStyle w:val="BodyText"/>
        <w:spacing w:before="286"/>
      </w:pPr>
      <w:r>
        <w:rPr/>
        <w:t>over</w:t>
      </w:r>
      <w:r>
        <w:rPr>
          <w:spacing w:val="9"/>
        </w:rPr>
        <w:t> </w:t>
      </w:r>
      <w:r>
        <w:rPr/>
        <w:t>sixtypercent</w:t>
      </w:r>
      <w:r>
        <w:rPr>
          <w:spacing w:val="9"/>
        </w:rPr>
        <w:t> </w:t>
      </w:r>
      <w:r>
        <w:rPr/>
        <w:t>(60%)</w:t>
      </w:r>
      <w:r>
        <w:rPr>
          <w:spacing w:val="7"/>
        </w:rPr>
        <w:t> </w:t>
      </w:r>
      <w:r>
        <w:rPr/>
        <w:t>of</w:t>
      </w:r>
      <w:r>
        <w:rPr>
          <w:spacing w:val="10"/>
        </w:rPr>
        <w:t> </w:t>
      </w:r>
      <w:r>
        <w:rPr/>
        <w:t>privatecapital</w:t>
      </w:r>
      <w:r>
        <w:rPr>
          <w:spacing w:val="9"/>
        </w:rPr>
        <w:t> </w:t>
      </w:r>
      <w:r>
        <w:rPr/>
        <w:t>flows.</w:t>
      </w:r>
      <w:r>
        <w:rPr>
          <w:spacing w:val="8"/>
        </w:rPr>
        <w:t> </w:t>
      </w:r>
      <w:r>
        <w:rPr/>
        <w:t>The</w:t>
      </w:r>
      <w:r>
        <w:rPr>
          <w:spacing w:val="9"/>
        </w:rPr>
        <w:t> </w:t>
      </w:r>
      <w:r>
        <w:rPr/>
        <w:t>flow</w:t>
      </w:r>
      <w:r>
        <w:rPr>
          <w:spacing w:val="11"/>
        </w:rPr>
        <w:t> </w:t>
      </w:r>
      <w:r>
        <w:rPr/>
        <w:t>of</w:t>
      </w:r>
      <w:r>
        <w:rPr>
          <w:spacing w:val="10"/>
        </w:rPr>
        <w:t> </w:t>
      </w:r>
      <w:r>
        <w:rPr/>
        <w:t>foreign</w:t>
      </w:r>
      <w:r>
        <w:rPr>
          <w:spacing w:val="8"/>
        </w:rPr>
        <w:t> </w:t>
      </w:r>
      <w:r>
        <w:rPr/>
        <w:t>directinvestment</w:t>
      </w:r>
      <w:r>
        <w:rPr>
          <w:spacing w:val="9"/>
        </w:rPr>
        <w:t> </w:t>
      </w:r>
      <w:r>
        <w:rPr>
          <w:spacing w:val="-2"/>
        </w:rPr>
        <w:t>(FDI)</w:t>
      </w:r>
    </w:p>
    <w:p>
      <w:pPr>
        <w:pStyle w:val="BodyText"/>
        <w:spacing w:before="2"/>
        <w:ind w:left="0"/>
      </w:pPr>
    </w:p>
    <w:p>
      <w:pPr>
        <w:pStyle w:val="BodyText"/>
        <w:spacing w:line="480" w:lineRule="auto"/>
        <w:ind w:right="735"/>
        <w:jc w:val="both"/>
      </w:pPr>
      <w:r>
        <w:rPr/>
        <w:t>from Organization forEconomic Co-operation and DevelopedCountries (OECD) has been extremely rapidwith an average of about $4.5billion in 1996, up from anaverage of US $3.8 billionin 1991-1995 (World Bank</w:t>
      </w:r>
      <w:r>
        <w:rPr>
          <w:spacing w:val="-1"/>
        </w:rPr>
        <w:t> </w:t>
      </w:r>
      <w:r>
        <w:rPr/>
        <w:t>1997). Africa receivedabout 5% of total FDI flowsand</w:t>
      </w:r>
      <w:r>
        <w:rPr>
          <w:spacing w:val="-1"/>
        </w:rPr>
        <w:t> </w:t>
      </w:r>
      <w:r>
        <w:rPr/>
        <w:t>FDI capital</w:t>
      </w:r>
      <w:r>
        <w:rPr>
          <w:spacing w:val="19"/>
        </w:rPr>
        <w:t> </w:t>
      </w:r>
      <w:r>
        <w:rPr/>
        <w:t>goesmainly</w:t>
      </w:r>
      <w:r>
        <w:rPr>
          <w:spacing w:val="20"/>
        </w:rPr>
        <w:t> </w:t>
      </w:r>
      <w:r>
        <w:rPr/>
        <w:t>into</w:t>
      </w:r>
      <w:r>
        <w:rPr>
          <w:spacing w:val="21"/>
        </w:rPr>
        <w:t> </w:t>
      </w:r>
      <w:r>
        <w:rPr/>
        <w:t>mineralextractions</w:t>
      </w:r>
      <w:r>
        <w:rPr>
          <w:spacing w:val="20"/>
        </w:rPr>
        <w:t> </w:t>
      </w:r>
      <w:r>
        <w:rPr/>
        <w:t>that</w:t>
      </w:r>
      <w:r>
        <w:rPr>
          <w:spacing w:val="22"/>
        </w:rPr>
        <w:t> </w:t>
      </w:r>
      <w:r>
        <w:rPr/>
        <w:t>is</w:t>
      </w:r>
      <w:r>
        <w:rPr>
          <w:spacing w:val="20"/>
        </w:rPr>
        <w:t> </w:t>
      </w:r>
      <w:r>
        <w:rPr/>
        <w:t>the</w:t>
      </w:r>
      <w:r>
        <w:rPr>
          <w:spacing w:val="20"/>
        </w:rPr>
        <w:t> </w:t>
      </w:r>
      <w:r>
        <w:rPr/>
        <w:t>petroleumindustry,</w:t>
      </w:r>
      <w:r>
        <w:rPr>
          <w:spacing w:val="19"/>
        </w:rPr>
        <w:t> </w:t>
      </w:r>
      <w:r>
        <w:rPr>
          <w:spacing w:val="-2"/>
        </w:rPr>
        <w:t>manufacturingand</w:t>
      </w:r>
    </w:p>
    <w:p>
      <w:pPr>
        <w:spacing w:after="0" w:line="480" w:lineRule="auto"/>
        <w:jc w:val="both"/>
        <w:sectPr>
          <w:pgSz w:w="12240" w:h="15840"/>
          <w:pgMar w:header="0" w:footer="1012" w:top="1380" w:bottom="1200" w:left="1220" w:right="700"/>
        </w:sectPr>
      </w:pPr>
    </w:p>
    <w:p>
      <w:pPr>
        <w:pStyle w:val="BodyText"/>
        <w:spacing w:line="480" w:lineRule="auto" w:before="60"/>
        <w:ind w:right="737"/>
        <w:jc w:val="both"/>
      </w:pPr>
      <w:r>
        <w:rPr/>
        <w:t>mining, withAngola, Egypt-Morocco andGabon attracting the-most (World Bank 1996). While</w:t>
      </w:r>
      <w:r>
        <w:rPr>
          <w:spacing w:val="-4"/>
        </w:rPr>
        <w:t> </w:t>
      </w:r>
      <w:r>
        <w:rPr/>
        <w:t>the</w:t>
      </w:r>
      <w:r>
        <w:rPr>
          <w:spacing w:val="-2"/>
        </w:rPr>
        <w:t> </w:t>
      </w:r>
      <w:r>
        <w:rPr/>
        <w:t>explosionof</w:t>
      </w:r>
      <w:r>
        <w:rPr>
          <w:spacing w:val="-3"/>
        </w:rPr>
        <w:t> </w:t>
      </w:r>
      <w:r>
        <w:rPr/>
        <w:t>FDI</w:t>
      </w:r>
      <w:r>
        <w:rPr>
          <w:spacing w:val="-4"/>
        </w:rPr>
        <w:t> </w:t>
      </w:r>
      <w:r>
        <w:rPr/>
        <w:t>flows</w:t>
      </w:r>
      <w:r>
        <w:rPr>
          <w:spacing w:val="-3"/>
        </w:rPr>
        <w:t> </w:t>
      </w:r>
      <w:r>
        <w:rPr/>
        <w:t>is</w:t>
      </w:r>
      <w:r>
        <w:rPr>
          <w:spacing w:val="-2"/>
        </w:rPr>
        <w:t> </w:t>
      </w:r>
      <w:r>
        <w:rPr/>
        <w:t>unmistakable,</w:t>
      </w:r>
      <w:r>
        <w:rPr>
          <w:spacing w:val="-4"/>
        </w:rPr>
        <w:t> </w:t>
      </w:r>
      <w:r>
        <w:rPr/>
        <w:t>thegrowth</w:t>
      </w:r>
      <w:r>
        <w:rPr>
          <w:spacing w:val="-1"/>
        </w:rPr>
        <w:t> </w:t>
      </w:r>
      <w:r>
        <w:rPr/>
        <w:t>effect</w:t>
      </w:r>
      <w:r>
        <w:rPr>
          <w:spacing w:val="-4"/>
        </w:rPr>
        <w:t> </w:t>
      </w:r>
      <w:r>
        <w:rPr/>
        <w:t>remainsunclear</w:t>
      </w:r>
      <w:r>
        <w:rPr>
          <w:spacing w:val="-3"/>
        </w:rPr>
        <w:t> </w:t>
      </w:r>
      <w:r>
        <w:rPr/>
        <w:t>(Carkovic &amp;</w:t>
      </w:r>
      <w:r>
        <w:rPr>
          <w:spacing w:val="34"/>
        </w:rPr>
        <w:t>  </w:t>
      </w:r>
      <w:r>
        <w:rPr/>
        <w:t>Levine</w:t>
      </w:r>
      <w:r>
        <w:rPr>
          <w:spacing w:val="35"/>
        </w:rPr>
        <w:t>  </w:t>
      </w:r>
      <w:r>
        <w:rPr/>
        <w:t>2002).</w:t>
      </w:r>
      <w:r>
        <w:rPr>
          <w:spacing w:val="36"/>
        </w:rPr>
        <w:t>  </w:t>
      </w:r>
      <w:r>
        <w:rPr/>
        <w:t>Carkovicand</w:t>
      </w:r>
      <w:r>
        <w:rPr>
          <w:spacing w:val="34"/>
        </w:rPr>
        <w:t>  </w:t>
      </w:r>
      <w:r>
        <w:rPr/>
        <w:t>Levin</w:t>
      </w:r>
      <w:r>
        <w:rPr>
          <w:spacing w:val="34"/>
        </w:rPr>
        <w:t>  </w:t>
      </w:r>
      <w:r>
        <w:rPr/>
        <w:t>(2002)</w:t>
      </w:r>
      <w:r>
        <w:rPr>
          <w:spacing w:val="35"/>
        </w:rPr>
        <w:t>  </w:t>
      </w:r>
      <w:r>
        <w:rPr/>
        <w:t>in</w:t>
      </w:r>
      <w:r>
        <w:rPr>
          <w:spacing w:val="35"/>
        </w:rPr>
        <w:t>  </w:t>
      </w:r>
      <w:r>
        <w:rPr/>
        <w:t>OyatoyeArogundade,</w:t>
      </w:r>
      <w:r>
        <w:rPr>
          <w:spacing w:val="34"/>
        </w:rPr>
        <w:t>  </w:t>
      </w:r>
      <w:r>
        <w:rPr/>
        <w:t>Adebisi</w:t>
      </w:r>
      <w:r>
        <w:rPr>
          <w:spacing w:val="35"/>
        </w:rPr>
        <w:t>  </w:t>
      </w:r>
      <w:r>
        <w:rPr>
          <w:spacing w:val="-5"/>
        </w:rPr>
        <w:t>and</w:t>
      </w:r>
    </w:p>
    <w:p>
      <w:pPr>
        <w:pStyle w:val="BodyText"/>
      </w:pPr>
      <w:r>
        <w:rPr/>
        <mc:AlternateContent>
          <mc:Choice Requires="wps">
            <w:drawing>
              <wp:anchor distT="0" distB="0" distL="0" distR="0" allowOverlap="1" layoutInCell="1" locked="0" behindDoc="1" simplePos="0" relativeHeight="478044672">
                <wp:simplePos x="0" y="0"/>
                <wp:positionH relativeFrom="page">
                  <wp:posOffset>896416</wp:posOffset>
                </wp:positionH>
                <wp:positionV relativeFrom="paragraph">
                  <wp:posOffset>740</wp:posOffset>
                </wp:positionV>
                <wp:extent cx="5981065" cy="109474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5981065" cy="1094740"/>
                        </a:xfrm>
                        <a:custGeom>
                          <a:avLst/>
                          <a:gdLst/>
                          <a:ahLst/>
                          <a:cxnLst/>
                          <a:rect l="l" t="t" r="r" b="b"/>
                          <a:pathLst>
                            <a:path w="5981065" h="1094740">
                              <a:moveTo>
                                <a:pt x="5981065" y="729996"/>
                              </a:moveTo>
                              <a:lnTo>
                                <a:pt x="0" y="729996"/>
                              </a:lnTo>
                              <a:lnTo>
                                <a:pt x="0" y="1094219"/>
                              </a:lnTo>
                              <a:lnTo>
                                <a:pt x="5981065" y="1094219"/>
                              </a:lnTo>
                              <a:lnTo>
                                <a:pt x="5981065" y="729996"/>
                              </a:lnTo>
                              <a:close/>
                            </a:path>
                            <a:path w="5981065" h="1094740">
                              <a:moveTo>
                                <a:pt x="5981065" y="0"/>
                              </a:moveTo>
                              <a:lnTo>
                                <a:pt x="0" y="0"/>
                              </a:lnTo>
                              <a:lnTo>
                                <a:pt x="0" y="364223"/>
                              </a:lnTo>
                              <a:lnTo>
                                <a:pt x="0" y="729983"/>
                              </a:lnTo>
                              <a:lnTo>
                                <a:pt x="5981065" y="729983"/>
                              </a:lnTo>
                              <a:lnTo>
                                <a:pt x="5981065" y="364223"/>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058294pt;width:470.95pt;height:86.2pt;mso-position-horizontal-relative:page;mso-position-vertical-relative:paragraph;z-index:-25271808" id="docshape85" coordorigin="1412,1" coordsize="9419,1724" path="m10831,1151l1412,1151,1412,1724,10831,1724,10831,1151xm10831,1l1412,1,1412,575,1412,1151,10831,1151,10831,575,10831,1xe" filled="true" fillcolor="#ffffff" stroked="false">
                <v:path arrowok="t"/>
                <v:fill type="solid"/>
                <w10:wrap type="none"/>
              </v:shape>
            </w:pict>
          </mc:Fallback>
        </mc:AlternateContent>
      </w:r>
      <w:r>
        <w:rPr/>
        <w:t>Oluwakayode</w:t>
      </w:r>
      <w:r>
        <w:rPr>
          <w:spacing w:val="21"/>
        </w:rPr>
        <w:t> </w:t>
      </w:r>
      <w:r>
        <w:rPr/>
        <w:t>(2011)</w:t>
      </w:r>
      <w:r>
        <w:rPr>
          <w:spacing w:val="22"/>
        </w:rPr>
        <w:t> </w:t>
      </w:r>
      <w:r>
        <w:rPr/>
        <w:t>look</w:t>
      </w:r>
      <w:r>
        <w:rPr>
          <w:spacing w:val="21"/>
        </w:rPr>
        <w:t> </w:t>
      </w:r>
      <w:r>
        <w:rPr/>
        <w:t>at</w:t>
      </w:r>
      <w:r>
        <w:rPr>
          <w:spacing w:val="21"/>
        </w:rPr>
        <w:t> </w:t>
      </w:r>
      <w:r>
        <w:rPr/>
        <w:t>therational</w:t>
      </w:r>
      <w:r>
        <w:rPr>
          <w:spacing w:val="21"/>
        </w:rPr>
        <w:t> </w:t>
      </w:r>
      <w:r>
        <w:rPr/>
        <w:t>for</w:t>
      </w:r>
      <w:r>
        <w:rPr>
          <w:spacing w:val="23"/>
        </w:rPr>
        <w:t> </w:t>
      </w:r>
      <w:r>
        <w:rPr/>
        <w:t>offering</w:t>
      </w:r>
      <w:r>
        <w:rPr>
          <w:spacing w:val="22"/>
        </w:rPr>
        <w:t> </w:t>
      </w:r>
      <w:r>
        <w:rPr/>
        <w:t>special</w:t>
      </w:r>
      <w:r>
        <w:rPr>
          <w:spacing w:val="21"/>
        </w:rPr>
        <w:t> </w:t>
      </w:r>
      <w:r>
        <w:rPr/>
        <w:t>incentives</w:t>
      </w:r>
      <w:r>
        <w:rPr>
          <w:spacing w:val="22"/>
        </w:rPr>
        <w:t> </w:t>
      </w:r>
      <w:r>
        <w:rPr/>
        <w:t>toattract</w:t>
      </w:r>
      <w:r>
        <w:rPr>
          <w:spacing w:val="22"/>
        </w:rPr>
        <w:t> </w:t>
      </w:r>
      <w:r>
        <w:rPr/>
        <w:t>FDI</w:t>
      </w:r>
      <w:r>
        <w:rPr>
          <w:spacing w:val="22"/>
        </w:rPr>
        <w:t> </w:t>
      </w:r>
      <w:r>
        <w:rPr/>
        <w:t>to</w:t>
      </w:r>
      <w:r>
        <w:rPr>
          <w:spacing w:val="21"/>
        </w:rPr>
        <w:t> </w:t>
      </w:r>
      <w:r>
        <w:rPr>
          <w:spacing w:val="-5"/>
        </w:rPr>
        <w:t>the</w:t>
      </w:r>
    </w:p>
    <w:p>
      <w:pPr>
        <w:pStyle w:val="BodyText"/>
        <w:spacing w:before="286"/>
      </w:pPr>
      <w:r>
        <w:rPr/>
        <mc:AlternateContent>
          <mc:Choice Requires="wps">
            <w:drawing>
              <wp:anchor distT="0" distB="0" distL="0" distR="0" allowOverlap="1" layoutInCell="1" locked="0" behindDoc="1" simplePos="0" relativeHeight="478044160">
                <wp:simplePos x="0" y="0"/>
                <wp:positionH relativeFrom="page">
                  <wp:posOffset>950112</wp:posOffset>
                </wp:positionH>
                <wp:positionV relativeFrom="paragraph">
                  <wp:posOffset>5124</wp:posOffset>
                </wp:positionV>
                <wp:extent cx="5505450" cy="5661025"/>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03516pt;width:433.5pt;height:445.75pt;mso-position-horizontal-relative:page;mso-position-vertical-relative:paragraph;z-index:-25272320" id="docshape86" coordorigin="1496,8" coordsize="8670,8915" path="m2562,8728l1691,7857,1496,8052,2367,8923,2562,8728xm3154,8052l3153,8012,3148,7969,3139,7926,3125,7882,3106,7838,3083,7795,3055,7753,3025,7711,2991,7671,2954,7632,2435,7113,2241,7307,2772,7839,2805,7875,2829,7910,2846,7945,2856,7979,2858,8012,2851,8043,2837,8071,2816,8097,2790,8119,2761,8133,2730,8139,2697,8136,2663,8127,2628,8110,2593,8086,2557,8054,2026,7522,1831,7716,2351,8236,2385,8268,2424,8300,2468,8333,2516,8365,2548,8384,2583,8400,2620,8413,2658,8424,2697,8432,2733,8436,2767,8436,2800,8432,2831,8425,2863,8414,2895,8397,2926,8377,2957,8354,2985,8331,3011,8308,3035,8285,3071,8245,3102,8204,3125,8163,3142,8120,3150,8088,3154,8052xm3882,7269l3876,7204,3860,7139,3834,7072,3806,7018,3771,6962,3728,6904,3678,6845,3661,6826,3621,6785,3597,6762,3597,7256,3592,7297,3577,7333,3551,7366,3518,7392,3481,7407,3441,7411,3396,7405,3347,7387,3294,7355,3235,7310,3171,7251,3112,7187,3066,7128,3035,7074,3016,7025,3010,6980,3014,6940,3029,6904,3053,6872,3086,6847,3122,6832,3163,6826,3207,6832,3255,6849,3307,6879,3363,6921,3423,6976,3488,7046,3538,7108,3572,7164,3591,7213,3597,7256,3597,6762,3551,6720,3482,6665,3413,6619,3344,6584,3276,6558,3209,6542,3130,6537,3055,6547,2983,6572,2914,6613,2850,6668,2796,6732,2756,6799,2732,6871,2723,6947,2729,7026,2746,7095,2772,7164,2808,7233,2854,7303,2910,7374,2976,7445,3036,7502,3096,7551,3156,7593,3215,7628,3273,7655,3344,7680,3411,7693,3475,7697,3535,7691,3593,7674,3649,7647,3705,7610,3758,7561,3805,7508,3841,7451,3858,7411,3866,7393,3879,7331,3882,7269xm4153,6689l3966,6502,3712,6756,3899,6943,4153,6689xm4664,6626l3793,5755,3598,5950,4469,6821,4664,6626xm4998,6292l4675,5969,4781,5862,4832,5802,4837,5792,4866,5741,4883,5677,4882,5613,4866,5547,4843,5496,4836,5481,4792,5415,4733,5349,4670,5292,4607,5249,4598,5245,4598,5638,4597,5664,4587,5690,4570,5717,4546,5745,4498,5792,4304,5598,4359,5542,4386,5519,4412,5504,4438,5496,4462,5497,4486,5503,4509,5514,4531,5528,4552,5546,4570,5568,4584,5590,4593,5614,4598,5638,4598,5245,4544,5220,4483,5204,4423,5203,4365,5217,4309,5248,4255,5293,3931,5616,4803,6487,4998,6292xm5788,5502l5132,4846,5330,4648,5115,4433,4524,5024,4739,5239,4937,5041,5593,5697,5788,5502xm6423,4867l5767,4211,5966,4012,5751,3797,5159,4389,5374,4604,5573,4405,6229,5061,6423,4867xm7157,3994l7151,3929,7135,3864,7109,3797,7081,3743,7046,3687,7003,3629,6953,3570,6935,3552,6896,3510,6872,3488,6872,3982,6867,4022,6851,4058,6825,4092,6793,4117,6756,4132,6716,4136,6671,4130,6622,4112,6569,4080,6510,4035,6446,3976,6387,3912,6341,3853,6309,3799,6291,3750,6285,3705,6289,3665,6304,3629,6328,3598,6361,3572,6397,3557,6438,3552,6482,3557,6530,3574,6582,3604,6638,3646,6698,3701,6763,3771,6813,3834,6847,3889,6866,3938,6872,3982,6872,3488,6826,3445,6756,3390,6687,3345,6619,3309,6551,3284,6483,3268,6405,3262,6329,3272,6258,3297,6189,3338,6125,3393,6071,3457,6031,3525,6007,3596,5998,3672,6004,3752,6021,3820,6047,3889,6083,3958,6129,4028,6184,4099,6250,4170,6311,4227,6371,4276,6431,4319,6490,4353,6548,4381,6619,4405,6686,4419,6750,4422,6810,4416,6868,4400,6924,4372,6979,4335,7033,4287,7080,4233,7116,4177,7133,4136,7141,4118,7154,4057,7157,3994xm8170,2998l8165,2949,8153,2899,8134,2846,8109,2792,8079,2736,8041,2679,7980,2703,7799,2778,7831,2824,7855,2867,7873,2908,7884,2945,7887,2980,7881,3013,7866,3044,7843,3073,7812,3097,7778,3111,7740,3115,7700,3109,7653,3090,7600,3056,7538,3007,7469,2942,7417,2886,7375,2834,7344,2787,7324,2744,7311,2692,7312,2646,7325,2605,7352,2569,7367,2556,7384,2545,7402,2537,7422,2533,7442,2531,7464,2531,7486,2534,7509,2540,7524,2546,7542,2554,7563,2566,7586,2580,7705,2355,7622,2309,7543,2277,7469,2258,7400,2251,7333,2259,7269,2282,7206,2320,7146,2372,7092,2435,7054,2501,7030,2572,7021,2645,7027,2723,7044,2790,7070,2858,7106,2927,7153,2997,7209,3067,7276,3139,7341,3200,7404,3252,7467,3295,7529,3331,7590,3358,7662,3382,7730,3395,7791,3398,7847,3391,7900,3374,7952,3347,8004,3310,8056,3264,8094,3221,8125,3178,8147,3135,8161,3090,8169,3045,8170,2998xm8868,2283l8861,2219,8846,2153,8820,2086,8792,2032,8757,1976,8714,1918,8664,1859,8646,1841,8607,1799,8583,1777,8583,2271,8578,2311,8562,2348,8536,2381,8504,2406,8467,2421,8427,2426,8382,2419,8333,2401,8279,2370,8221,2324,8157,2265,8098,2201,8052,2142,8020,2088,8002,2039,7996,1995,8000,1954,8014,1918,8039,1887,8071,1861,8108,1846,8149,1841,8193,1846,8241,1863,8293,1893,8349,1935,8409,1990,8474,2060,8524,2123,8558,2179,8577,2227,8583,2271,8583,1777,8537,1734,8467,1679,8398,1634,8330,1598,8262,1573,8194,1557,8116,1551,8040,1561,7968,1587,7900,1627,7835,1683,7781,1746,7742,1814,7718,1885,7709,1961,7715,2041,7731,2109,7758,2178,7794,2248,7839,2318,7895,2388,7961,2459,8022,2516,8082,2566,8142,2608,8201,2642,8259,2670,8329,2694,8397,2708,8461,2711,8521,2705,8579,2689,8635,2662,8690,2624,8744,2576,8791,2522,8827,2466,8844,2426,8852,2407,8865,2346,8868,2283xm9348,1942l9025,1618,9132,1512,9182,1452,9188,1442,9216,1390,9233,1327,9233,1262,9217,1197,9194,1146,9187,1131,9142,1065,9084,999,9020,942,8957,899,8948,895,8948,1288,8947,1313,8938,1340,8921,1367,8896,1394,8849,1442,8654,1248,8710,1192,8737,1169,8763,1153,8788,1146,8812,1146,8836,1153,8859,1163,8881,1178,8902,1196,8920,1218,8934,1240,8943,1264,8948,1288,8948,895,8895,869,8833,853,8773,853,8715,867,8659,897,8605,942,8282,1266,9153,2137,9348,1942xm10166,1124l9801,759,9748,609,9593,158,9540,8,9325,223,9353,293,9436,504,9492,645,9422,617,9211,533,9071,477,8854,693,9005,746,9456,902,9606,954,9971,1319,10166,1124xe" filled="true" fillcolor="#c0c0c0" stroked="false">
                <v:path arrowok="t"/>
                <v:fill opacity="32896f" type="solid"/>
                <w10:wrap type="none"/>
              </v:shape>
            </w:pict>
          </mc:Fallback>
        </mc:AlternateContent>
      </w:r>
      <w:r>
        <w:rPr/>
        <w:t>host</w:t>
      </w:r>
      <w:r>
        <w:rPr>
          <w:spacing w:val="46"/>
        </w:rPr>
        <w:t> </w:t>
      </w:r>
      <w:r>
        <w:rPr/>
        <w:t>countrybased</w:t>
      </w:r>
      <w:r>
        <w:rPr>
          <w:spacing w:val="46"/>
        </w:rPr>
        <w:t> </w:t>
      </w:r>
      <w:r>
        <w:rPr/>
        <w:t>on</w:t>
      </w:r>
      <w:r>
        <w:rPr>
          <w:spacing w:val="49"/>
        </w:rPr>
        <w:t> </w:t>
      </w:r>
      <w:r>
        <w:rPr/>
        <w:t>the</w:t>
      </w:r>
      <w:r>
        <w:rPr>
          <w:spacing w:val="46"/>
        </w:rPr>
        <w:t> </w:t>
      </w:r>
      <w:r>
        <w:rPr/>
        <w:t>belief</w:t>
      </w:r>
      <w:r>
        <w:rPr>
          <w:spacing w:val="46"/>
        </w:rPr>
        <w:t> </w:t>
      </w:r>
      <w:r>
        <w:rPr/>
        <w:t>thatFDI</w:t>
      </w:r>
      <w:r>
        <w:rPr>
          <w:spacing w:val="47"/>
        </w:rPr>
        <w:t> </w:t>
      </w:r>
      <w:r>
        <w:rPr/>
        <w:t>produces</w:t>
      </w:r>
      <w:r>
        <w:rPr>
          <w:spacing w:val="48"/>
        </w:rPr>
        <w:t> </w:t>
      </w:r>
      <w:r>
        <w:rPr/>
        <w:t>externalities</w:t>
      </w:r>
      <w:r>
        <w:rPr>
          <w:spacing w:val="48"/>
        </w:rPr>
        <w:t> </w:t>
      </w:r>
      <w:r>
        <w:rPr/>
        <w:t>in</w:t>
      </w:r>
      <w:r>
        <w:rPr>
          <w:spacing w:val="48"/>
        </w:rPr>
        <w:t> </w:t>
      </w:r>
      <w:r>
        <w:rPr/>
        <w:t>theform</w:t>
      </w:r>
      <w:r>
        <w:rPr>
          <w:spacing w:val="47"/>
        </w:rPr>
        <w:t> </w:t>
      </w:r>
      <w:r>
        <w:rPr/>
        <w:t>of</w:t>
      </w:r>
      <w:r>
        <w:rPr>
          <w:spacing w:val="47"/>
        </w:rPr>
        <w:t> </w:t>
      </w:r>
      <w:r>
        <w:rPr>
          <w:spacing w:val="-2"/>
        </w:rPr>
        <w:t>technology</w:t>
      </w:r>
    </w:p>
    <w:p>
      <w:pPr>
        <w:pStyle w:val="BodyText"/>
        <w:spacing w:before="1"/>
        <w:ind w:left="0"/>
      </w:pPr>
    </w:p>
    <w:p>
      <w:pPr>
        <w:pStyle w:val="BodyText"/>
        <w:jc w:val="both"/>
      </w:pPr>
      <w:r>
        <w:rPr/>
        <w:t>transfer</w:t>
      </w:r>
      <w:r>
        <w:rPr>
          <w:spacing w:val="-16"/>
        </w:rPr>
        <w:t> </w:t>
      </w:r>
      <w:r>
        <w:rPr/>
        <w:t>andspill-</w:t>
      </w:r>
      <w:r>
        <w:rPr>
          <w:spacing w:val="-2"/>
        </w:rPr>
        <w:t>overs.</w:t>
      </w:r>
    </w:p>
    <w:p>
      <w:pPr>
        <w:pStyle w:val="BodyText"/>
        <w:spacing w:before="160"/>
        <w:ind w:left="0"/>
      </w:pPr>
    </w:p>
    <w:p>
      <w:pPr>
        <w:pStyle w:val="BodyText"/>
        <w:spacing w:line="480" w:lineRule="auto"/>
        <w:ind w:right="734"/>
        <w:jc w:val="both"/>
      </w:pPr>
      <w:r>
        <w:rPr/>
        <w:t>FDI is thetransfer of foreigncapital in form of equityand other assets of internationalor multinationalcorporations. It may involve thejoint ownership between theforeigners and the government of thedomestic economy where thecapital is invested and it is calledthe joint venturecompanies. According to Egbo(2012), FDI is an investment madeto acquire a lasting management interest in abusiness enterprise in agiven country other than that of theinvestor defined accordingto residency. He added that FDI is acombination of merger andacquisition and newinvestments as well as the reinvestedearnings and loans from andsimilar capital transfers betweenparent companies and theiraffiliates. FDI is seen to play a keyrole in the growth anddevelopment process ofdeveloping nations, like Nigeria, whosehuman and material resources areunderemployed or not fullyemployed. According to Shiro (2008), foreign investments consist of foreign resourcessuch as technology, managerialand</w:t>
      </w:r>
      <w:r>
        <w:rPr>
          <w:spacing w:val="40"/>
        </w:rPr>
        <w:t> </w:t>
      </w:r>
      <w:r>
        <w:rPr/>
        <w:t>marketing expertise andcapital which have considerable impact on thehost nation’s production capacity.</w:t>
      </w:r>
    </w:p>
    <w:p>
      <w:pPr>
        <w:spacing w:after="0" w:line="480" w:lineRule="auto"/>
        <w:jc w:val="both"/>
        <w:sectPr>
          <w:pgSz w:w="12240" w:h="15840"/>
          <w:pgMar w:header="0" w:footer="1012" w:top="1380" w:bottom="1200" w:left="1220" w:right="700"/>
        </w:sectPr>
      </w:pPr>
    </w:p>
    <w:p>
      <w:pPr>
        <w:pStyle w:val="Heading2"/>
        <w:numPr>
          <w:ilvl w:val="2"/>
          <w:numId w:val="16"/>
        </w:numPr>
        <w:tabs>
          <w:tab w:pos="780" w:val="left" w:leader="none"/>
        </w:tabs>
        <w:spacing w:line="240" w:lineRule="auto" w:before="60" w:after="0"/>
        <w:ind w:left="780" w:right="0" w:hanging="560"/>
        <w:jc w:val="left"/>
      </w:pPr>
      <w:bookmarkStart w:name="_TOC_250051" w:id="24"/>
      <w:r>
        <w:rPr/>
        <w:t>Foreign</w:t>
      </w:r>
      <w:r>
        <w:rPr>
          <w:spacing w:val="-10"/>
        </w:rPr>
        <w:t> </w:t>
      </w:r>
      <w:r>
        <w:rPr/>
        <w:t>Portfolio</w:t>
      </w:r>
      <w:r>
        <w:rPr>
          <w:spacing w:val="-9"/>
        </w:rPr>
        <w:t> </w:t>
      </w:r>
      <w:bookmarkEnd w:id="24"/>
      <w:r>
        <w:rPr>
          <w:spacing w:val="-2"/>
        </w:rPr>
        <w:t>Investment</w:t>
      </w:r>
    </w:p>
    <w:p>
      <w:pPr>
        <w:pStyle w:val="BodyText"/>
        <w:spacing w:before="161"/>
        <w:ind w:left="0"/>
        <w:rPr>
          <w:b/>
        </w:rPr>
      </w:pPr>
    </w:p>
    <w:p>
      <w:pPr>
        <w:pStyle w:val="BodyText"/>
        <w:spacing w:line="480" w:lineRule="auto"/>
        <w:ind w:right="733"/>
        <w:jc w:val="both"/>
      </w:pPr>
      <w:r>
        <w:rPr/>
        <mc:AlternateContent>
          <mc:Choice Requires="wps">
            <w:drawing>
              <wp:anchor distT="0" distB="0" distL="0" distR="0" allowOverlap="1" layoutInCell="1" locked="0" behindDoc="1" simplePos="0" relativeHeight="478045184">
                <wp:simplePos x="0" y="0"/>
                <wp:positionH relativeFrom="page">
                  <wp:posOffset>950112</wp:posOffset>
                </wp:positionH>
                <wp:positionV relativeFrom="paragraph">
                  <wp:posOffset>815624</wp:posOffset>
                </wp:positionV>
                <wp:extent cx="5505450" cy="5661025"/>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64.222412pt;width:433.5pt;height:445.75pt;mso-position-horizontal-relative:page;mso-position-vertical-relative:paragraph;z-index:-25271296" id="docshape87" coordorigin="1496,1284" coordsize="8670,8915" path="m2562,10004l1691,9133,1496,9328,2367,10199,2562,10004xm3154,9328l3153,9289,3148,9246,3139,9202,3125,9158,3106,9114,3083,9071,3055,9029,3025,8988,2991,8948,2954,8909,2435,8389,2241,8583,2772,9115,2805,9151,2829,9187,2846,9221,2856,9255,2858,9288,2851,9319,2837,9347,2816,9373,2790,9395,2761,9409,2730,9415,2697,9413,2663,9403,2628,9387,2593,9362,2557,9330,2026,8799,1831,8993,2351,9512,2385,9544,2424,9577,2468,9609,2516,9642,2548,9660,2583,9676,2620,9689,2658,9700,2697,9708,2733,9712,2767,9712,2800,9709,2831,9702,2863,9690,2895,9674,2926,9653,2957,9630,2985,9607,3011,9584,3035,9561,3071,9521,3102,9480,3125,9439,3142,9397,3150,9364,3154,9328xm3882,8545l3876,8481,3860,8415,3834,8348,3806,8294,3771,8238,3728,8180,3678,8121,3661,8103,3621,8061,3597,8039,3597,8533,3592,8573,3577,8610,3551,8643,3518,8668,3481,8683,3441,8688,3396,8681,3347,8663,3294,8632,3235,8587,3171,8527,3112,8464,3066,8404,3035,8350,3016,8301,3010,8257,3014,8216,3029,8180,3053,8149,3086,8123,3122,8108,3163,8103,3207,8108,3255,8125,3307,8155,3363,8197,3423,8252,3488,8322,3538,8385,3572,8441,3591,8489,3597,8533,3597,8039,3551,7996,3482,7941,3413,7896,3344,7860,3276,7835,3209,7819,3130,7813,3055,7823,2983,7849,2914,7889,2850,7945,2796,8008,2756,8076,2732,8148,2723,8223,2729,8303,2746,8371,2772,8440,2808,8510,2854,8580,2910,8650,2976,8721,3036,8778,3096,8828,3156,8870,3215,8904,3273,8932,3344,8956,3411,8970,3475,8973,3535,8967,3593,8951,3649,8924,3705,8886,3758,8838,3805,8784,3841,8728,3858,8688,3866,8669,3879,8608,3882,8545xm4153,7965l3966,7778,3712,8032,3899,8219,4153,7965xm4664,7903l3793,7031,3598,7226,4469,8098,4664,7903xm4998,7568l4675,7245,4781,7138,4832,7079,4837,7069,4866,7017,4883,6954,4882,6889,4866,6823,4843,6773,4836,6758,4792,6692,4733,6626,4670,6569,4607,6525,4598,6521,4598,6914,4597,6940,4587,6966,4570,6993,4546,7021,4498,7069,4304,6874,4359,6819,4386,6795,4412,6780,4438,6773,4462,6773,4486,6780,4509,6790,4531,6804,4552,6823,4570,6844,4584,6867,4593,6890,4598,6914,4598,6521,4544,6496,4483,6480,4423,6479,4365,6494,4309,6524,4255,6569,3931,6893,4803,7764,4998,7568xm5788,6779l5132,6123,5330,5924,5115,5709,4524,6301,4739,6516,4937,6317,5593,6973,5788,6779xm6423,6143l5767,5487,5966,5289,5751,5074,5159,5665,5374,5880,5573,5682,6229,6338,6423,6143xm7157,5270l7151,5206,7135,5140,7109,5073,7081,5019,7046,4963,7003,4906,6953,4847,6935,4828,6896,4786,6872,4764,6872,5258,6867,5298,6851,5335,6825,5368,6793,5393,6756,5408,6716,5413,6671,5406,6622,5388,6569,5357,6510,5312,6446,5253,6387,5189,6341,5129,6309,5075,6291,5026,6285,4982,6289,4942,6304,4906,6328,4874,6361,4849,6397,4833,6438,4828,6482,4833,6530,4850,6582,4880,6638,4922,6698,4977,6763,5047,6813,5110,6847,5166,6866,5214,6872,5258,6872,4764,6826,4721,6756,4666,6687,4621,6619,4586,6551,4560,6483,4544,6405,4538,6329,4548,6258,4574,6189,4614,6125,4670,6071,4733,6031,4801,6007,4873,5998,4948,6004,5028,6021,5096,6047,5165,6083,5235,6129,5305,6184,5375,6250,5446,6311,5503,6371,5553,6431,5595,6490,5630,6548,5657,6619,5681,6686,5695,6750,5698,6810,5692,6868,5676,6924,5649,6979,5611,7033,5563,7080,5509,7116,5453,7133,5413,7141,5394,7154,5333,7157,5270xm8170,4275l8165,4226,8153,4175,8134,4122,8109,4068,8079,4012,8041,3955,7980,3980,7799,4054,7831,4101,7855,4144,7873,4184,7884,4221,7887,4257,7881,4290,7866,4321,7843,4350,7812,4373,7778,4388,7740,4392,7700,4385,7653,4367,7600,4333,7538,4283,7469,4219,7417,4162,7375,4110,7344,4063,7324,4020,7311,3969,7312,3922,7325,3881,7352,3845,7367,3832,7384,3822,7402,3814,7422,3809,7442,3807,7464,3807,7486,3811,7509,3817,7524,3822,7542,3831,7563,3842,7586,3856,7705,3631,7622,3585,7543,3553,7469,3534,7400,3528,7333,3535,7269,3558,7206,3596,7146,3648,7092,3711,7054,3778,7030,3848,7021,3922,7027,3999,7044,4066,7070,4134,7106,4203,7153,4273,7209,4344,7276,4415,7341,4476,7404,4528,7467,4572,7529,4607,7590,4635,7662,4658,7730,4671,7791,4674,7847,4667,7900,4650,7952,4624,8004,4587,8056,4540,8094,4498,8125,4455,8147,4411,8161,4367,8169,4322,8170,4275xm8868,3559l8861,3495,8846,3429,8820,3363,8792,3308,8757,3252,8714,3195,8664,3136,8646,3117,8607,3075,8583,3053,8583,3547,8578,3587,8562,3624,8536,3657,8504,3682,8467,3698,8427,3702,8382,3696,8333,3678,8279,3646,8221,3601,8157,3542,8098,3478,8052,3419,8020,3365,8002,3315,7996,3271,8000,3231,8014,3195,8039,3163,8071,3138,8108,3122,8149,3117,8193,3122,8241,3139,8293,3169,8349,3211,8409,3266,8474,3336,8524,3399,8558,3455,8577,3504,8583,3547,8583,3053,8537,3010,8467,2955,8398,2910,8330,2875,8262,2849,8194,2833,8116,2828,8040,2838,7968,2863,7900,2904,7835,2959,7781,3023,7742,3090,7718,3162,7709,3238,7715,3317,7731,3386,7758,3455,7794,3524,7839,3594,7895,3664,7961,3735,8022,3792,8082,3842,8142,3884,8201,3919,8259,3946,8329,3970,8397,3984,8461,3988,8521,3981,8579,3965,8635,3938,8690,3900,8744,3852,8791,3798,8827,3742,8844,3702,8852,3683,8865,3622,8868,3559xm9348,3218l9025,2895,9132,2788,9182,2728,9188,2718,9216,2667,9233,2603,9233,2539,9217,2473,9194,2422,9187,2407,9142,2341,9084,2275,9020,2218,8957,2175,8948,2171,8948,2564,8947,2590,8938,2616,8921,2643,8896,2671,8849,2718,8654,2524,8710,2469,8737,2445,8763,2430,8788,2422,8812,2423,8836,2429,8859,2440,8881,2454,8902,2473,8920,2494,8934,2517,8943,2540,8948,2564,8948,2171,8895,2146,8833,2130,8773,2129,8715,2144,8659,2174,8605,2219,8282,2542,9153,3414,9348,3218xm10166,2400l9801,2036,9748,1886,9593,1434,9540,1284,9325,1500,9353,1570,9436,1781,9492,1921,9422,1893,9211,1810,9071,1754,8854,1970,9005,2023,9456,2178,9606,2231,9971,2595,10166,2400xe" filled="true" fillcolor="#c0c0c0" stroked="false">
                <v:path arrowok="t"/>
                <v:fill opacity="32896f" type="solid"/>
                <w10:wrap type="none"/>
              </v:shape>
            </w:pict>
          </mc:Fallback>
        </mc:AlternateContent>
      </w:r>
      <w:r>
        <w:rPr/>
        <w:t>Foreign portfolio investment is a cross-border investmentin securities with theintention of profit-making rather thanmanagement or legalcontrol. IMF (1993) defined foreignportfolio investment as equityand debt issuances includingcountry funds, dep1ository receiptsand direct purchases byforeign investors of lessthan 10% control. According toAyanwale and Adeolu (2007) foreignportfolio investment is one of thecomponents of foreigninvestment (FI). FP1I involves thecommitment of funds todomestic securities by a foreignnation or the purchase of foreignsecurities by aresident. In finance, ForeignPortfolio Investment is the entry of funds into acountry whereforeigners make purchase in thecountry’s stock and bond markets, sometimesfor speculation. It is a usuallyshort term investment, asforeign direct investmentpartnership, involving transferof technology and “knowhow”. FPI is possibly influenced by highrates</w:t>
      </w:r>
      <w:r>
        <w:rPr>
          <w:spacing w:val="-2"/>
        </w:rPr>
        <w:t> </w:t>
      </w:r>
      <w:r>
        <w:rPr/>
        <w:t>of return and</w:t>
      </w:r>
      <w:r>
        <w:rPr>
          <w:spacing w:val="-3"/>
        </w:rPr>
        <w:t> </w:t>
      </w:r>
      <w:r>
        <w:rPr/>
        <w:t>reductionof risk through geographicdiversification. The return on FPI is normallyin the form of interestpayments or non-votingdividends. It is a</w:t>
      </w:r>
      <w:r>
        <w:rPr>
          <w:spacing w:val="40"/>
        </w:rPr>
        <w:t> </w:t>
      </w:r>
      <w:r>
        <w:rPr/>
        <w:t>group</w:t>
      </w:r>
      <w:r>
        <w:rPr>
          <w:spacing w:val="-1"/>
        </w:rPr>
        <w:t> </w:t>
      </w:r>
      <w:r>
        <w:rPr/>
        <w:t>of</w:t>
      </w:r>
      <w:r>
        <w:rPr>
          <w:spacing w:val="-1"/>
        </w:rPr>
        <w:t> </w:t>
      </w:r>
      <w:r>
        <w:rPr/>
        <w:t>investmentassets</w:t>
      </w:r>
      <w:r>
        <w:rPr>
          <w:spacing w:val="-1"/>
        </w:rPr>
        <w:t> </w:t>
      </w:r>
      <w:r>
        <w:rPr/>
        <w:t>that</w:t>
      </w:r>
      <w:r>
        <w:rPr>
          <w:spacing w:val="-1"/>
        </w:rPr>
        <w:t> </w:t>
      </w:r>
      <w:r>
        <w:rPr/>
        <w:t>focuses</w:t>
      </w:r>
      <w:r>
        <w:rPr>
          <w:spacing w:val="-1"/>
        </w:rPr>
        <w:t> </w:t>
      </w:r>
      <w:r>
        <w:rPr/>
        <w:t>on</w:t>
      </w:r>
      <w:r>
        <w:rPr>
          <w:spacing w:val="-1"/>
        </w:rPr>
        <w:t> </w:t>
      </w:r>
      <w:r>
        <w:rPr/>
        <w:t>securitiesfrom</w:t>
      </w:r>
      <w:r>
        <w:rPr>
          <w:spacing w:val="-1"/>
        </w:rPr>
        <w:t> </w:t>
      </w:r>
      <w:r>
        <w:rPr/>
        <w:t>foreign</w:t>
      </w:r>
      <w:r>
        <w:rPr>
          <w:spacing w:val="-2"/>
        </w:rPr>
        <w:t> </w:t>
      </w:r>
      <w:r>
        <w:rPr/>
        <w:t>markets ratherthan</w:t>
      </w:r>
      <w:r>
        <w:rPr>
          <w:spacing w:val="-2"/>
        </w:rPr>
        <w:t> </w:t>
      </w:r>
      <w:r>
        <w:rPr/>
        <w:t>domestic ones. It gives the investor anexposure to growth inemerging and providesdiversification allows investors to furtherdiversify their assets bymoving away from adomestic-only portfolio (Al Suqaier, &amp; Al Ziyud, 2011).</w:t>
      </w:r>
    </w:p>
    <w:p>
      <w:pPr>
        <w:pStyle w:val="BodyText"/>
        <w:spacing w:line="480" w:lineRule="auto" w:before="160"/>
        <w:ind w:right="734"/>
        <w:jc w:val="both"/>
      </w:pPr>
      <w:r>
        <w:rPr/>
        <w:t>Foreignportfolio investment (FPI) as anaspect of international capitalinflows involves the transfer offinancial assets: such ascash, stock or bonds acrossinternational borders in want of profit. It occurswhen investors purchase controllinginterest in foreign companiesor buy securities ornotes. Foreign portfolio investmentcomprise of debt and equityinvestments with financial</w:t>
      </w:r>
      <w:r>
        <w:rPr>
          <w:spacing w:val="-7"/>
        </w:rPr>
        <w:t> </w:t>
      </w:r>
      <w:r>
        <w:rPr/>
        <w:t>derivativesrecently</w:t>
      </w:r>
      <w:r>
        <w:rPr>
          <w:spacing w:val="-6"/>
        </w:rPr>
        <w:t> </w:t>
      </w:r>
      <w:r>
        <w:rPr/>
        <w:t>included.</w:t>
      </w:r>
      <w:r>
        <w:rPr>
          <w:spacing w:val="-7"/>
        </w:rPr>
        <w:t> </w:t>
      </w:r>
      <w:r>
        <w:rPr/>
        <w:t>Just</w:t>
      </w:r>
      <w:r>
        <w:rPr>
          <w:spacing w:val="-7"/>
        </w:rPr>
        <w:t> </w:t>
      </w:r>
      <w:r>
        <w:rPr/>
        <w:t>astrade</w:t>
      </w:r>
      <w:r>
        <w:rPr>
          <w:spacing w:val="-7"/>
        </w:rPr>
        <w:t> </w:t>
      </w:r>
      <w:r>
        <w:rPr/>
        <w:t>flows</w:t>
      </w:r>
      <w:r>
        <w:rPr>
          <w:spacing w:val="-5"/>
        </w:rPr>
        <w:t> </w:t>
      </w:r>
      <w:r>
        <w:rPr/>
        <w:t>result</w:t>
      </w:r>
      <w:r>
        <w:rPr>
          <w:spacing w:val="-9"/>
        </w:rPr>
        <w:t> </w:t>
      </w:r>
      <w:r>
        <w:rPr/>
        <w:t>fromindividuals</w:t>
      </w:r>
      <w:r>
        <w:rPr>
          <w:spacing w:val="-6"/>
        </w:rPr>
        <w:t> </w:t>
      </w:r>
      <w:r>
        <w:rPr/>
        <w:t>and</w:t>
      </w:r>
      <w:r>
        <w:rPr>
          <w:spacing w:val="-7"/>
        </w:rPr>
        <w:t> </w:t>
      </w:r>
      <w:r>
        <w:rPr>
          <w:spacing w:val="-2"/>
        </w:rPr>
        <w:t>countries</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45696">
                <wp:simplePos x="0" y="0"/>
                <wp:positionH relativeFrom="page">
                  <wp:posOffset>950112</wp:posOffset>
                </wp:positionH>
                <wp:positionV relativeFrom="paragraph">
                  <wp:posOffset>1321053</wp:posOffset>
                </wp:positionV>
                <wp:extent cx="5505450" cy="5661025"/>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70784" id="docshape88"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exploiting their owncomparative advantage, so too, arecapital flows the result ofindividuals and countries seekingto make themselves betteroff, by moving accumulatedassets to wherever they are likely to bemost productive (Ibrahim &amp; Akinbobola, 2017). Thistype of investment has becomean increasing significantpart of the world economyover the past three decades and animportant source of fund tosupport investment notonly in developedbut also developing countries.</w:t>
      </w:r>
    </w:p>
    <w:p>
      <w:pPr>
        <w:pStyle w:val="BodyText"/>
        <w:spacing w:line="480" w:lineRule="auto" w:before="160"/>
        <w:ind w:right="734"/>
        <w:jc w:val="both"/>
      </w:pPr>
      <w:r>
        <w:rPr/>
        <w:t>Conducive business environmentand strong legal systemhave been identified as amajor attraction of foreigninvestment.</w:t>
      </w:r>
      <w:r>
        <w:rPr>
          <w:spacing w:val="40"/>
        </w:rPr>
        <w:t> </w:t>
      </w:r>
      <w:r>
        <w:rPr/>
        <w:t>Irrespective of howvibrant a capital marketmay be, an unfriendly businessenvironment and weak legalsystem would not attractforeign portfolio investment. Nigeriabusiness environment has been marredby inconsistent </w:t>
      </w:r>
      <w:r>
        <w:rPr/>
        <w:t>powersupply, insecurity, bad</w:t>
      </w:r>
      <w:r>
        <w:rPr>
          <w:spacing w:val="-1"/>
        </w:rPr>
        <w:t> </w:t>
      </w:r>
      <w:r>
        <w:rPr/>
        <w:t>roadsamong others as well asweak</w:t>
      </w:r>
      <w:r>
        <w:rPr>
          <w:spacing w:val="-1"/>
        </w:rPr>
        <w:t> </w:t>
      </w:r>
      <w:r>
        <w:rPr/>
        <w:t>and slow judicialprocess (Chigbu &amp; Ubah, 2015). The Nigeria businessenvironment is highly uncertainwith inconsistencies in government policiesand lack of transparency ingovernment operations. Theseunfavorable conditions may have discouragedsome foreign investorsfrom investing in thecapital and </w:t>
      </w:r>
      <w:r>
        <w:rPr>
          <w:spacing w:val="-2"/>
        </w:rPr>
        <w:t>moneymarket.</w:t>
      </w:r>
    </w:p>
    <w:p>
      <w:pPr>
        <w:pStyle w:val="BodyText"/>
        <w:spacing w:line="480" w:lineRule="auto" w:before="161"/>
        <w:ind w:right="735"/>
        <w:jc w:val="both"/>
      </w:pPr>
      <w:r>
        <w:rPr/>
        <w:t>Jenkins and Thomas (2002) examined thedeterminants of foreignportfolio investment (FPI) and its impacton the national economyin six developing Asiancountries. Regression results showed that inflationrate, index ofeconomic activity and the shareof domestic capital market in the world stockmarket capitalization are fourstatistically significantdeterminants of FPI. The first variable had anegative coefficientwhile the last threevariables possessed positive coefficients. Foreign directinvestment, total foreigntrade and current account deficitvariables were</w:t>
      </w:r>
      <w:r>
        <w:rPr>
          <w:spacing w:val="74"/>
        </w:rPr>
        <w:t> </w:t>
      </w:r>
      <w:r>
        <w:rPr/>
        <w:t>found</w:t>
      </w:r>
      <w:r>
        <w:rPr>
          <w:spacing w:val="74"/>
        </w:rPr>
        <w:t> </w:t>
      </w:r>
      <w:r>
        <w:rPr/>
        <w:t>to</w:t>
      </w:r>
      <w:r>
        <w:rPr>
          <w:spacing w:val="74"/>
        </w:rPr>
        <w:t> </w:t>
      </w:r>
      <w:r>
        <w:rPr/>
        <w:t>bestatistically</w:t>
      </w:r>
      <w:r>
        <w:rPr>
          <w:spacing w:val="75"/>
        </w:rPr>
        <w:t> </w:t>
      </w:r>
      <w:r>
        <w:rPr/>
        <w:t>insignificant.</w:t>
      </w:r>
      <w:r>
        <w:rPr>
          <w:spacing w:val="76"/>
        </w:rPr>
        <w:t> </w:t>
      </w:r>
      <w:r>
        <w:rPr/>
        <w:t>Regarding</w:t>
      </w:r>
      <w:r>
        <w:rPr>
          <w:spacing w:val="75"/>
        </w:rPr>
        <w:t> </w:t>
      </w:r>
      <w:r>
        <w:rPr/>
        <w:t>theimpact</w:t>
      </w:r>
      <w:r>
        <w:rPr>
          <w:spacing w:val="75"/>
        </w:rPr>
        <w:t> </w:t>
      </w:r>
      <w:r>
        <w:rPr/>
        <w:t>of</w:t>
      </w:r>
      <w:r>
        <w:rPr>
          <w:spacing w:val="77"/>
        </w:rPr>
        <w:t> </w:t>
      </w:r>
      <w:r>
        <w:rPr/>
        <w:t>FPI</w:t>
      </w:r>
      <w:r>
        <w:rPr>
          <w:spacing w:val="74"/>
        </w:rPr>
        <w:t> </w:t>
      </w:r>
      <w:r>
        <w:rPr/>
        <w:t>on</w:t>
      </w:r>
      <w:r>
        <w:rPr>
          <w:spacing w:val="75"/>
        </w:rPr>
        <w:t> </w:t>
      </w:r>
      <w:r>
        <w:rPr>
          <w:spacing w:val="-2"/>
        </w:rPr>
        <w:t>thenational</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46208">
                <wp:simplePos x="0" y="0"/>
                <wp:positionH relativeFrom="page">
                  <wp:posOffset>950112</wp:posOffset>
                </wp:positionH>
                <wp:positionV relativeFrom="paragraph">
                  <wp:posOffset>1321053</wp:posOffset>
                </wp:positionV>
                <wp:extent cx="5505450" cy="5661025"/>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70272" id="docshape89"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economics, it was found that theindex of economic activitiesand inflation rate showedan upward trend. Volatility inportfolio flows increasedovertime. Ratio of foreign debtand debt servicing to GDPdeclined. But the rule of thumbregarding the issueof sustainability of FPI suggests thatIndia and Indonesia havecrossed the upper boundsof permissible debtratios.</w:t>
      </w:r>
    </w:p>
    <w:p>
      <w:pPr>
        <w:pStyle w:val="BodyText"/>
        <w:spacing w:line="480" w:lineRule="auto" w:before="160"/>
        <w:ind w:right="734"/>
        <w:jc w:val="both"/>
      </w:pPr>
      <w:r>
        <w:rPr/>
        <w:t>Graham and Krugman (1995) stated that differencesbetween portfolio and directinvestors stem from the differencesin motivation and expectationfor these two types ofinvestment. For the foreign direct investor, thepurpose is control andoperations of anenterprise. Just as it will be slower and more costly for such an investorto commit to the hosteconomy, it will be slower and morecostly todivest. In themedium to longterm, he expects aprofitable operation. The portfolioinvestor, on the otherhand is interested inputting his funds wherethey get the maximum returnfor a given risk level. Portfolioinvestment will be faster tomove in search of higher returnsand or lower risk, and have a shortertime horizon. Therefore it will tendto be morevolatile. Volatility can be useful inproviding opportunities forprofit, or arbitrage, which will attract investorsand encourage marketefficiency. Volatility also indicates that themarket is seeking the bestallocation of capital for thecurrent economic opportunities. Butportfolio investment, with itsvolatility can also experience system-wide movementsof capital which can have broadeconomic repercussions. These differences inmotivation and attributes necessitatedifferences in policy approach for the twotypes of investment.</w:t>
      </w:r>
    </w:p>
    <w:p>
      <w:pPr>
        <w:pStyle w:val="BodyText"/>
        <w:spacing w:line="480" w:lineRule="auto" w:before="162"/>
        <w:ind w:right="733"/>
        <w:jc w:val="both"/>
      </w:pPr>
      <w:r>
        <w:rPr/>
        <w:t>Increases in foreign portfolioinvestment in recent times havestimulated</w:t>
      </w:r>
      <w:r>
        <w:rPr>
          <w:spacing w:val="-1"/>
        </w:rPr>
        <w:t> </w:t>
      </w:r>
      <w:r>
        <w:rPr/>
        <w:t>intense debates about its impact on Nigeriaeconomic growth. Proponents emphasize itspositive impacts on growth and financialsector development while critics expressconcern about its volatile naturewhose instability</w:t>
      </w:r>
      <w:r>
        <w:rPr>
          <w:spacing w:val="52"/>
        </w:rPr>
        <w:t> </w:t>
      </w:r>
      <w:r>
        <w:rPr/>
        <w:t>could</w:t>
      </w:r>
      <w:r>
        <w:rPr>
          <w:spacing w:val="53"/>
        </w:rPr>
        <w:t> </w:t>
      </w:r>
      <w:r>
        <w:rPr/>
        <w:t>beunsustainable</w:t>
      </w:r>
      <w:r>
        <w:rPr>
          <w:spacing w:val="52"/>
        </w:rPr>
        <w:t> </w:t>
      </w:r>
      <w:r>
        <w:rPr/>
        <w:t>and</w:t>
      </w:r>
      <w:r>
        <w:rPr>
          <w:spacing w:val="53"/>
        </w:rPr>
        <w:t> </w:t>
      </w:r>
      <w:r>
        <w:rPr/>
        <w:t>adverselyaffect</w:t>
      </w:r>
      <w:r>
        <w:rPr>
          <w:spacing w:val="53"/>
        </w:rPr>
        <w:t> </w:t>
      </w:r>
      <w:r>
        <w:rPr/>
        <w:t>the</w:t>
      </w:r>
      <w:r>
        <w:rPr>
          <w:spacing w:val="53"/>
        </w:rPr>
        <w:t> </w:t>
      </w:r>
      <w:r>
        <w:rPr/>
        <w:t>financial</w:t>
      </w:r>
      <w:r>
        <w:rPr>
          <w:spacing w:val="52"/>
        </w:rPr>
        <w:t> </w:t>
      </w:r>
      <w:r>
        <w:rPr/>
        <w:t>sector</w:t>
      </w:r>
      <w:r>
        <w:rPr>
          <w:spacing w:val="53"/>
        </w:rPr>
        <w:t> </w:t>
      </w:r>
      <w:r>
        <w:rPr/>
        <w:t>of</w:t>
      </w:r>
      <w:r>
        <w:rPr>
          <w:spacing w:val="52"/>
        </w:rPr>
        <w:t> </w:t>
      </w:r>
      <w:r>
        <w:rPr>
          <w:spacing w:val="-2"/>
        </w:rPr>
        <w:t>theeconomy</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46720">
                <wp:simplePos x="0" y="0"/>
                <wp:positionH relativeFrom="page">
                  <wp:posOffset>950112</wp:posOffset>
                </wp:positionH>
                <wp:positionV relativeFrom="paragraph">
                  <wp:posOffset>1321053</wp:posOffset>
                </wp:positionV>
                <wp:extent cx="5505450" cy="5661025"/>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69760" id="docshape90"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(Ibrahim &amp; Akinbobola, 2017). Foreign portfolioinvestment as part offinancial and capital account of balanceof payments consistsof equity securities, debt securities in theform of bonds and notes, moneymarket instruments andfinancial derivatives. IMF (1993) defined foreign portfolioinvestment as equity anddebt issuances including countryfunds, depository receipts and direct purchasesby foreign investors of less than10% control. To put itsimply, foreign portfolio investment is a cross-border investment insecurities with theintention of profit-makingrather than managementor legal control.</w:t>
      </w:r>
    </w:p>
    <w:p>
      <w:pPr>
        <w:pStyle w:val="BodyText"/>
        <w:spacing w:line="480" w:lineRule="auto" w:before="161"/>
        <w:ind w:right="734"/>
        <w:jc w:val="both"/>
      </w:pPr>
      <w:r>
        <w:rPr/>
        <w:t>Nigeria democraticsystem has been consistently interrupted sinceindependence, military ruled the countryconsistently for seventeenyears between 1983and 1999, some political economist sawthis as a bane to theeconomic growth of thecountry and they perceivedthe recent growth in theeconomy as a productof political development in theeconomy. The relationship betweeneconomic growth and democracyhad attracted much discussionin the literature. However, theresearchers have notcome up with an exactanswer to questionof whether democracy promotes or prevents economicgrowth and the direction ofrelationship between them is yet to beestablished. So far consensus has not beenreached on this issue, more so there is no cleartheoretical evidence as regards the relationshipbetween democracy and foreign portfolioinvestment as well as other foreignresource flow (Gehringer, 2015). Thus the relationshipbetween democracy and economicgrowth is one of the widely dispute disuses in theliterature (Kanu, 2015).</w:t>
      </w:r>
    </w:p>
    <w:p>
      <w:pPr>
        <w:pStyle w:val="BodyText"/>
        <w:spacing w:line="480" w:lineRule="auto" w:before="160"/>
        <w:ind w:right="736"/>
        <w:jc w:val="both"/>
      </w:pPr>
      <w:r>
        <w:rPr/>
        <w:t>Conventionally, democraticgovernance is more acceptable worldwideand thus enhances investor’s confidencein an economy. This is becausedemocracy is expected to reduce arbitrariness</w:t>
      </w:r>
      <w:r>
        <w:rPr>
          <w:spacing w:val="8"/>
        </w:rPr>
        <w:t> </w:t>
      </w:r>
      <w:r>
        <w:rPr/>
        <w:t>ofgovernment,</w:t>
      </w:r>
      <w:r>
        <w:rPr>
          <w:spacing w:val="7"/>
        </w:rPr>
        <w:t> </w:t>
      </w:r>
      <w:r>
        <w:rPr/>
        <w:t>provides</w:t>
      </w:r>
      <w:r>
        <w:rPr>
          <w:spacing w:val="8"/>
        </w:rPr>
        <w:t> </w:t>
      </w:r>
      <w:r>
        <w:rPr/>
        <w:t>lower</w:t>
      </w:r>
      <w:r>
        <w:rPr>
          <w:spacing w:val="7"/>
        </w:rPr>
        <w:t> </w:t>
      </w:r>
      <w:r>
        <w:rPr/>
        <w:t>risk</w:t>
      </w:r>
      <w:r>
        <w:rPr>
          <w:spacing w:val="5"/>
        </w:rPr>
        <w:t> </w:t>
      </w:r>
      <w:r>
        <w:rPr/>
        <w:t>of</w:t>
      </w:r>
      <w:r>
        <w:rPr>
          <w:spacing w:val="8"/>
        </w:rPr>
        <w:t> </w:t>
      </w:r>
      <w:r>
        <w:rPr/>
        <w:t>policyreversal,</w:t>
      </w:r>
      <w:r>
        <w:rPr>
          <w:spacing w:val="7"/>
        </w:rPr>
        <w:t> </w:t>
      </w:r>
      <w:r>
        <w:rPr/>
        <w:t>strengthens</w:t>
      </w:r>
      <w:r>
        <w:rPr>
          <w:spacing w:val="9"/>
        </w:rPr>
        <w:t> </w:t>
      </w:r>
      <w:r>
        <w:rPr/>
        <w:t>property</w:t>
      </w:r>
      <w:r>
        <w:rPr>
          <w:spacing w:val="8"/>
        </w:rPr>
        <w:t> </w:t>
      </w:r>
      <w:r>
        <w:rPr>
          <w:spacing w:val="-2"/>
        </w:rPr>
        <w:t>right</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47232">
                <wp:simplePos x="0" y="0"/>
                <wp:positionH relativeFrom="page">
                  <wp:posOffset>950112</wp:posOffset>
                </wp:positionH>
                <wp:positionV relativeFrom="paragraph">
                  <wp:posOffset>1321053</wp:posOffset>
                </wp:positionV>
                <wp:extent cx="5505450" cy="5661025"/>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69248" id="docshape91"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protection (North &amp; Weingast, 1989) and finally makes thecountry friendlier to the restof the world. In addition, Nigeria transition frommilitary to democratic rule in1999 may also serve as a door opener forinternational investors who may seize theopportunity to diversify their investment into theeconomy (Klein &amp; Olivei, 2008).</w:t>
      </w:r>
    </w:p>
    <w:p>
      <w:pPr>
        <w:pStyle w:val="BodyText"/>
        <w:spacing w:before="160"/>
        <w:ind w:left="0"/>
      </w:pPr>
    </w:p>
    <w:p>
      <w:pPr>
        <w:pStyle w:val="Heading2"/>
        <w:numPr>
          <w:ilvl w:val="2"/>
          <w:numId w:val="16"/>
        </w:numPr>
        <w:tabs>
          <w:tab w:pos="780" w:val="left" w:leader="none"/>
        </w:tabs>
        <w:spacing w:line="240" w:lineRule="auto" w:before="0" w:after="0"/>
        <w:ind w:left="780" w:right="0" w:hanging="560"/>
        <w:jc w:val="left"/>
      </w:pPr>
      <w:bookmarkStart w:name="_TOC_250050" w:id="25"/>
      <w:r>
        <w:rPr/>
        <w:t>Trade</w:t>
      </w:r>
      <w:r>
        <w:rPr>
          <w:spacing w:val="-9"/>
        </w:rPr>
        <w:t> </w:t>
      </w:r>
      <w:bookmarkEnd w:id="25"/>
      <w:r>
        <w:rPr>
          <w:spacing w:val="-2"/>
        </w:rPr>
        <w:t>Openness</w:t>
      </w:r>
    </w:p>
    <w:p>
      <w:pPr>
        <w:pStyle w:val="BodyText"/>
        <w:spacing w:before="160"/>
        <w:ind w:left="0"/>
        <w:rPr>
          <w:b/>
        </w:rPr>
      </w:pPr>
    </w:p>
    <w:p>
      <w:pPr>
        <w:pStyle w:val="BodyText"/>
        <w:spacing w:line="480" w:lineRule="auto"/>
        <w:ind w:right="737"/>
        <w:jc w:val="both"/>
      </w:pPr>
      <w:r>
        <w:rPr/>
        <w:t>The theoretical literature indicates that tradeopenness plays a vital role in theprocess of economicgrowth</w:t>
      </w:r>
      <w:r>
        <w:rPr>
          <w:spacing w:val="-2"/>
        </w:rPr>
        <w:t> </w:t>
      </w:r>
      <w:r>
        <w:rPr/>
        <w:t>in</w:t>
      </w:r>
      <w:r>
        <w:rPr>
          <w:spacing w:val="-2"/>
        </w:rPr>
        <w:t> </w:t>
      </w:r>
      <w:r>
        <w:rPr/>
        <w:t>the</w:t>
      </w:r>
      <w:r>
        <w:rPr>
          <w:spacing w:val="-3"/>
        </w:rPr>
        <w:t> </w:t>
      </w:r>
      <w:r>
        <w:rPr/>
        <w:t>developingcountries.</w:t>
      </w:r>
      <w:r>
        <w:rPr>
          <w:spacing w:val="-2"/>
        </w:rPr>
        <w:t> </w:t>
      </w:r>
      <w:r>
        <w:rPr/>
        <w:t>The</w:t>
      </w:r>
      <w:r>
        <w:rPr>
          <w:spacing w:val="-3"/>
        </w:rPr>
        <w:t> </w:t>
      </w:r>
      <w:r>
        <w:rPr/>
        <w:t>trade</w:t>
      </w:r>
      <w:r>
        <w:rPr>
          <w:spacing w:val="-3"/>
        </w:rPr>
        <w:t> </w:t>
      </w:r>
      <w:r>
        <w:rPr/>
        <w:t>openness</w:t>
      </w:r>
      <w:r>
        <w:rPr>
          <w:spacing w:val="-1"/>
        </w:rPr>
        <w:t> </w:t>
      </w:r>
      <w:r>
        <w:rPr/>
        <w:t>is</w:t>
      </w:r>
      <w:r>
        <w:rPr>
          <w:spacing w:val="-3"/>
        </w:rPr>
        <w:t> </w:t>
      </w:r>
      <w:r>
        <w:rPr/>
        <w:t>a</w:t>
      </w:r>
      <w:r>
        <w:rPr>
          <w:spacing w:val="-3"/>
        </w:rPr>
        <w:t> </w:t>
      </w:r>
      <w:r>
        <w:rPr/>
        <w:t>keyelement</w:t>
      </w:r>
      <w:r>
        <w:rPr>
          <w:spacing w:val="-3"/>
        </w:rPr>
        <w:t> </w:t>
      </w:r>
      <w:r>
        <w:rPr/>
        <w:t>of</w:t>
      </w:r>
      <w:r>
        <w:rPr>
          <w:spacing w:val="-2"/>
        </w:rPr>
        <w:t> </w:t>
      </w:r>
      <w:r>
        <w:rPr/>
        <w:t>academic and policymusing for a severalreasons. First, the tradeopenness is an importantpart of the structural adjustmentprogram that wassupported by the World Bank andInternational Monetary</w:t>
      </w:r>
      <w:r>
        <w:rPr>
          <w:spacing w:val="-5"/>
        </w:rPr>
        <w:t> </w:t>
      </w:r>
      <w:r>
        <w:rPr/>
        <w:t>Fund</w:t>
      </w:r>
      <w:r>
        <w:rPr>
          <w:spacing w:val="-4"/>
        </w:rPr>
        <w:t> </w:t>
      </w:r>
      <w:r>
        <w:rPr/>
        <w:t>in</w:t>
      </w:r>
      <w:r>
        <w:rPr>
          <w:spacing w:val="-2"/>
        </w:rPr>
        <w:t> </w:t>
      </w:r>
      <w:r>
        <w:rPr/>
        <w:t>variousdeveloping</w:t>
      </w:r>
      <w:r>
        <w:rPr>
          <w:spacing w:val="-5"/>
        </w:rPr>
        <w:t> </w:t>
      </w:r>
      <w:r>
        <w:rPr/>
        <w:t>countries.</w:t>
      </w:r>
      <w:r>
        <w:rPr>
          <w:spacing w:val="-2"/>
        </w:rPr>
        <w:t> </w:t>
      </w:r>
      <w:r>
        <w:rPr/>
        <w:t>Second,</w:t>
      </w:r>
      <w:r>
        <w:rPr>
          <w:spacing w:val="-5"/>
        </w:rPr>
        <w:t> </w:t>
      </w:r>
      <w:r>
        <w:rPr/>
        <w:t>manyempirical</w:t>
      </w:r>
      <w:r>
        <w:rPr>
          <w:spacing w:val="-3"/>
        </w:rPr>
        <w:t> </w:t>
      </w:r>
      <w:r>
        <w:rPr/>
        <w:t>studies</w:t>
      </w:r>
      <w:r>
        <w:rPr>
          <w:spacing w:val="-4"/>
        </w:rPr>
        <w:t> </w:t>
      </w:r>
      <w:r>
        <w:rPr/>
        <w:t>are</w:t>
      </w:r>
      <w:r>
        <w:rPr>
          <w:spacing w:val="-5"/>
        </w:rPr>
        <w:t> </w:t>
      </w:r>
      <w:r>
        <w:rPr/>
        <w:t>suggested the importanceof trade openness in economicgrowth through exports-led growthhypothesis and import-led growthhypothesis (Lawal, Nwanji, Asaleye &amp; Ahmed, 2016).</w:t>
      </w:r>
    </w:p>
    <w:p>
      <w:pPr>
        <w:pStyle w:val="BodyText"/>
        <w:spacing w:line="480" w:lineRule="auto" w:before="162"/>
        <w:ind w:right="734"/>
        <w:jc w:val="both"/>
      </w:pPr>
      <w:r>
        <w:rPr/>
        <w:t>Trade openness Equals the total sumvalue of a country’s exports andtotal imports as a ratio</w:t>
      </w:r>
      <w:r>
        <w:rPr>
          <w:spacing w:val="80"/>
        </w:rPr>
        <w:t> </w:t>
      </w:r>
      <w:r>
        <w:rPr/>
        <w:t>to the country’s GDP. The positive impactof trade openness on growth is in twoways. First, the export of goodsand services abroad earns thecountry more foreignexchange. As the foreignexchange increases,</w:t>
      </w:r>
      <w:r>
        <w:rPr>
          <w:spacing w:val="-1"/>
        </w:rPr>
        <w:t> </w:t>
      </w:r>
      <w:r>
        <w:rPr/>
        <w:t>it improves</w:t>
      </w:r>
      <w:r>
        <w:rPr>
          <w:spacing w:val="-1"/>
        </w:rPr>
        <w:t> </w:t>
      </w:r>
      <w:r>
        <w:rPr/>
        <w:t>thecountry’s current</w:t>
      </w:r>
      <w:r>
        <w:rPr>
          <w:spacing w:val="-2"/>
        </w:rPr>
        <w:t> </w:t>
      </w:r>
      <w:r>
        <w:rPr/>
        <w:t>accountsurplus thereby</w:t>
      </w:r>
      <w:r>
        <w:rPr>
          <w:spacing w:val="-1"/>
        </w:rPr>
        <w:t> </w:t>
      </w:r>
      <w:r>
        <w:rPr/>
        <w:t>putting</w:t>
      </w:r>
      <w:r>
        <w:rPr>
          <w:spacing w:val="-1"/>
        </w:rPr>
        <w:t> </w:t>
      </w:r>
      <w:r>
        <w:rPr/>
        <w:t>it in a better positionto meet its international obligationsand even lend to othercountries. The Two Gap model argues that aneconomy trade inorder to gain surpluswhich is needed to fill the foreign exchangegap. A current accountsurplus is an indication of anincrease in net foreign</w:t>
      </w:r>
      <w:r>
        <w:rPr>
          <w:spacing w:val="50"/>
          <w:w w:val="150"/>
        </w:rPr>
        <w:t> </w:t>
      </w:r>
      <w:r>
        <w:rPr/>
        <w:t>assets.</w:t>
      </w:r>
      <w:r>
        <w:rPr>
          <w:spacing w:val="51"/>
          <w:w w:val="150"/>
        </w:rPr>
        <w:t> </w:t>
      </w:r>
      <w:r>
        <w:rPr/>
        <w:t>TheNeoclassical</w:t>
      </w:r>
      <w:r>
        <w:rPr>
          <w:spacing w:val="51"/>
          <w:w w:val="150"/>
        </w:rPr>
        <w:t> </w:t>
      </w:r>
      <w:r>
        <w:rPr/>
        <w:t>analysis</w:t>
      </w:r>
      <w:r>
        <w:rPr>
          <w:spacing w:val="51"/>
          <w:w w:val="150"/>
        </w:rPr>
        <w:t> </w:t>
      </w:r>
      <w:r>
        <w:rPr/>
        <w:t>onwelfare</w:t>
      </w:r>
      <w:r>
        <w:rPr>
          <w:spacing w:val="51"/>
          <w:w w:val="150"/>
        </w:rPr>
        <w:t> </w:t>
      </w:r>
      <w:r>
        <w:rPr/>
        <w:t>gain</w:t>
      </w:r>
      <w:r>
        <w:rPr>
          <w:spacing w:val="51"/>
          <w:w w:val="150"/>
        </w:rPr>
        <w:t> </w:t>
      </w:r>
      <w:r>
        <w:rPr/>
        <w:t>through</w:t>
      </w:r>
      <w:r>
        <w:rPr>
          <w:spacing w:val="52"/>
          <w:w w:val="150"/>
        </w:rPr>
        <w:t> </w:t>
      </w:r>
      <w:r>
        <w:rPr>
          <w:spacing w:val="-2"/>
        </w:rPr>
        <w:t>comparativeadvantage</w:t>
      </w:r>
    </w:p>
    <w:p>
      <w:pPr>
        <w:spacing w:after="0" w:line="480" w:lineRule="auto"/>
        <w:jc w:val="both"/>
        <w:sectPr>
          <w:pgSz w:w="12240" w:h="15840"/>
          <w:pgMar w:header="0" w:footer="1012" w:top="1380" w:bottom="1200" w:left="1220" w:right="700"/>
        </w:sectPr>
      </w:pPr>
    </w:p>
    <w:p>
      <w:pPr>
        <w:pStyle w:val="BodyText"/>
        <w:spacing w:line="480" w:lineRule="auto" w:before="60"/>
        <w:ind w:right="738"/>
        <w:jc w:val="both"/>
      </w:pPr>
      <w:r>
        <w:rPr/>
        <w:t>argues that reductionof trade barriers increasesthe level of productivityand trade (Wambugu, </w:t>
      </w:r>
      <w:r>
        <w:rPr>
          <w:spacing w:val="-2"/>
        </w:rPr>
        <w:t>2018).</w:t>
      </w:r>
    </w:p>
    <w:p>
      <w:pPr>
        <w:pStyle w:val="BodyText"/>
        <w:spacing w:line="480" w:lineRule="auto" w:before="160"/>
        <w:ind w:right="736"/>
        <w:jc w:val="both"/>
      </w:pPr>
      <w:r>
        <w:rPr/>
        <mc:AlternateContent>
          <mc:Choice Requires="wps">
            <w:drawing>
              <wp:anchor distT="0" distB="0" distL="0" distR="0" allowOverlap="1" layoutInCell="1" locked="0" behindDoc="1" simplePos="0" relativeHeight="478047744">
                <wp:simplePos x="0" y="0"/>
                <wp:positionH relativeFrom="page">
                  <wp:posOffset>950112</wp:posOffset>
                </wp:positionH>
                <wp:positionV relativeFrom="paragraph">
                  <wp:posOffset>552765</wp:posOffset>
                </wp:positionV>
                <wp:extent cx="5505450" cy="5661025"/>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68736" id="docshape92"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The most basic measureof trade intensity is theratio of exports plus imports toGDP usually called TradeOpenness.</w:t>
      </w:r>
      <w:r>
        <w:rPr>
          <w:spacing w:val="40"/>
        </w:rPr>
        <w:t> </w:t>
      </w:r>
      <w:r>
        <w:rPr/>
        <w:t>In this regard, Trade openness (% of GDP) measured by thesum of imports and exportsof goods and services is used in thisstudy to determine whethertrade liberalization is aprecondition for financialliberalization. Controlling for tradeopenness allows examining the directeffects of financial liberalization oneconomic growth.</w:t>
      </w:r>
      <w:r>
        <w:rPr>
          <w:spacing w:val="40"/>
        </w:rPr>
        <w:t> </w:t>
      </w:r>
      <w:r>
        <w:rPr/>
        <w:t>It enables us to examine the effectof a simultaneous openingof both trade and financial marketson economic growth indirectlythrough financial development (Orji, 2014). Tradeopenness is measured with tradeopenness index. Trade OpennessIndex is an economic metriccalculated as the ratio of country'stotal trade, the sum ofexports plus imports, to thecountry's gross domesticproduct. The interpretation of the OpennessIndex is the higher the index the larger the influence of trade ondomestic activities (Mujahid &amp; Alam, 2014).</w:t>
      </w:r>
    </w:p>
    <w:p>
      <w:pPr>
        <w:pStyle w:val="BodyText"/>
        <w:spacing w:before="162"/>
        <w:ind w:left="0"/>
      </w:pPr>
    </w:p>
    <w:p>
      <w:pPr>
        <w:pStyle w:val="Heading2"/>
        <w:numPr>
          <w:ilvl w:val="2"/>
          <w:numId w:val="16"/>
        </w:numPr>
        <w:tabs>
          <w:tab w:pos="780" w:val="left" w:leader="none"/>
        </w:tabs>
        <w:spacing w:line="240" w:lineRule="auto" w:before="0" w:after="0"/>
        <w:ind w:left="780" w:right="0" w:hanging="560"/>
        <w:jc w:val="left"/>
      </w:pPr>
      <w:bookmarkStart w:name="_TOC_250049" w:id="26"/>
      <w:r>
        <w:rPr/>
        <w:t>Foreign</w:t>
      </w:r>
      <w:r>
        <w:rPr>
          <w:spacing w:val="-11"/>
        </w:rPr>
        <w:t> </w:t>
      </w:r>
      <w:bookmarkEnd w:id="26"/>
      <w:r>
        <w:rPr>
          <w:spacing w:val="-2"/>
        </w:rPr>
        <w:t>Remittances</w:t>
      </w:r>
    </w:p>
    <w:p>
      <w:pPr>
        <w:pStyle w:val="BodyText"/>
        <w:spacing w:before="159"/>
        <w:ind w:left="0"/>
        <w:rPr>
          <w:b/>
        </w:rPr>
      </w:pPr>
    </w:p>
    <w:p>
      <w:pPr>
        <w:pStyle w:val="BodyText"/>
        <w:spacing w:line="480" w:lineRule="auto"/>
        <w:ind w:right="733"/>
        <w:jc w:val="both"/>
      </w:pPr>
      <w:r>
        <w:rPr>
          <w:color w:val="221F1F"/>
        </w:rPr>
        <w:t>Remittance has been defined bymany scholars from different disciplinesand organizations. </w:t>
      </w:r>
      <w:r>
        <w:rPr/>
        <w:t>Remittancesto be the fraction of amigrant workers incomesent from the countryof employment to thehome country. Larsson and Angman (2014) definedremittances as money- transfers, earned byworkers abroad and sent topersons in their country oforigin. Tewolde (2005) as cited byOluwafemi and Ayandibu (2014) saw remittances to beboth monetary and physical resourcesthat are earned and acquired bymigrants as they ply their tradeabroad. These</w:t>
      </w:r>
      <w:r>
        <w:rPr>
          <w:spacing w:val="-2"/>
        </w:rPr>
        <w:t> </w:t>
      </w:r>
      <w:r>
        <w:rPr/>
        <w:t>are</w:t>
      </w:r>
      <w:r>
        <w:rPr>
          <w:spacing w:val="-1"/>
        </w:rPr>
        <w:t> </w:t>
      </w:r>
      <w:r>
        <w:rPr/>
        <w:t>whatmake</w:t>
      </w:r>
      <w:r>
        <w:rPr>
          <w:spacing w:val="-1"/>
        </w:rPr>
        <w:t> </w:t>
      </w:r>
      <w:r>
        <w:rPr/>
        <w:t>up</w:t>
      </w:r>
      <w:r>
        <w:rPr>
          <w:spacing w:val="-3"/>
        </w:rPr>
        <w:t> </w:t>
      </w:r>
      <w:r>
        <w:rPr/>
        <w:t>what</w:t>
      </w:r>
      <w:r>
        <w:rPr>
          <w:spacing w:val="-2"/>
        </w:rPr>
        <w:t> </w:t>
      </w:r>
      <w:r>
        <w:rPr/>
        <w:t>they</w:t>
      </w:r>
      <w:r>
        <w:rPr>
          <w:spacing w:val="-1"/>
        </w:rPr>
        <w:t> </w:t>
      </w:r>
      <w:r>
        <w:rPr/>
        <w:t>sendto</w:t>
      </w:r>
      <w:r>
        <w:rPr>
          <w:spacing w:val="-1"/>
        </w:rPr>
        <w:t> </w:t>
      </w:r>
      <w:r>
        <w:rPr/>
        <w:t>their</w:t>
      </w:r>
      <w:r>
        <w:rPr>
          <w:spacing w:val="-1"/>
        </w:rPr>
        <w:t> </w:t>
      </w:r>
      <w:r>
        <w:rPr/>
        <w:t>loved</w:t>
      </w:r>
      <w:r>
        <w:rPr>
          <w:spacing w:val="-1"/>
        </w:rPr>
        <w:t> </w:t>
      </w:r>
      <w:r>
        <w:rPr/>
        <w:t>ones backhome</w:t>
      </w:r>
      <w:r>
        <w:rPr>
          <w:spacing w:val="-4"/>
        </w:rPr>
        <w:t> </w:t>
      </w:r>
      <w:r>
        <w:rPr/>
        <w:t>in their</w:t>
      </w:r>
      <w:r>
        <w:rPr>
          <w:spacing w:val="-3"/>
        </w:rPr>
        <w:t> </w:t>
      </w:r>
      <w:r>
        <w:rPr/>
        <w:t>home</w:t>
      </w:r>
      <w:r>
        <w:rPr>
          <w:spacing w:val="-1"/>
        </w:rPr>
        <w:t> </w:t>
      </w:r>
      <w:r>
        <w:rPr>
          <w:spacing w:val="-2"/>
        </w:rPr>
        <w:t>countries.</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48256">
                <wp:simplePos x="0" y="0"/>
                <wp:positionH relativeFrom="page">
                  <wp:posOffset>950112</wp:posOffset>
                </wp:positionH>
                <wp:positionV relativeFrom="paragraph">
                  <wp:posOffset>1321053</wp:posOffset>
                </wp:positionV>
                <wp:extent cx="5505450" cy="566102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68224" id="docshape93"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Chami et al (2008) are of theopinion that remittancesare solitary and are notmarket-based individual exchangesbetween families acrossnations. According to Englama (2007), the definition of remittancesadopted by countries is thatof the Balance of Payment Statistics Manual of the InternationalMonetary Fund (IMF), where remittances arecomprised of 3 components namelymigrant transfers, employees’ compensationand remittances of workers.</w:t>
      </w:r>
    </w:p>
    <w:p>
      <w:pPr>
        <w:pStyle w:val="BodyText"/>
        <w:spacing w:line="480" w:lineRule="auto" w:before="161"/>
        <w:ind w:right="735"/>
        <w:jc w:val="both"/>
      </w:pPr>
      <w:r>
        <w:rPr/>
        <w:t>Remittances are the portion of internationalmigrant workers’ earnings sent backfrom the country of employment to thecountry of origin, and play acentral role in the economies of manylabour-sending countries. Workers’</w:t>
      </w:r>
      <w:r>
        <w:rPr>
          <w:spacing w:val="-1"/>
        </w:rPr>
        <w:t> </w:t>
      </w:r>
      <w:r>
        <w:rPr/>
        <w:t>remittances consist ofgoods</w:t>
      </w:r>
      <w:r>
        <w:rPr>
          <w:spacing w:val="-1"/>
        </w:rPr>
        <w:t> </w:t>
      </w:r>
      <w:r>
        <w:rPr/>
        <w:t>orfinancial instruments transferred by migrants living andworking abroad toresidents of thehome economies of the migrants. It is limited totransfer made by workers who have stayedin foreign countries for at least one yearwhile workers who are self-employed are excludedIMF, 1999).</w:t>
      </w:r>
    </w:p>
    <w:p>
      <w:pPr>
        <w:pStyle w:val="BodyText"/>
        <w:spacing w:line="480" w:lineRule="auto" w:before="161"/>
        <w:ind w:right="735"/>
        <w:jc w:val="both"/>
      </w:pPr>
      <w:r>
        <w:rPr>
          <w:color w:val="221F1F"/>
        </w:rPr>
        <w:t>According to Kihangire and Katarikawe (2008), remittance is defined asmoney sent home by migrants workingabroad to their home countries. Similarly, remittance as been definedhas a portion of migrantworkers earnings sent to their countriesof origin and this could be incash</w:t>
      </w:r>
      <w:r>
        <w:rPr>
          <w:color w:val="221F1F"/>
          <w:spacing w:val="40"/>
        </w:rPr>
        <w:t> </w:t>
      </w:r>
      <w:r>
        <w:rPr>
          <w:color w:val="221F1F"/>
        </w:rPr>
        <w:t>or gifts (Chukwuone2007). Moreover, IMF (1999) maintains thatremittance is limited to money sent by migrantworkers who have been staying in a foreigncountry for more than a year to his/herhousehold in his/her country of originand this does not include migrantsthat</w:t>
      </w:r>
      <w:r>
        <w:rPr>
          <w:color w:val="221F1F"/>
          <w:spacing w:val="40"/>
        </w:rPr>
        <w:t> </w:t>
      </w:r>
      <w:r>
        <w:rPr>
          <w:color w:val="221F1F"/>
        </w:rPr>
        <w:t>are self-employed.</w:t>
      </w:r>
    </w:p>
    <w:p>
      <w:pPr>
        <w:pStyle w:val="BodyText"/>
        <w:spacing w:line="480" w:lineRule="auto" w:before="159"/>
        <w:ind w:right="733"/>
        <w:jc w:val="both"/>
      </w:pPr>
      <w:r>
        <w:rPr>
          <w:color w:val="221F1F"/>
        </w:rPr>
        <w:t>Similarly, Tewolde (2005) argues thatremittances are financial and non-financial materials that migrantsreceive while working overseasand sent back to their householdsin their countries of origin. Ratha (2003) also defines remittances asmigrants’ funds transfers, which are resources</w:t>
      </w:r>
      <w:r>
        <w:rPr>
          <w:color w:val="221F1F"/>
          <w:spacing w:val="1"/>
        </w:rPr>
        <w:t> </w:t>
      </w:r>
      <w:r>
        <w:rPr>
          <w:color w:val="221F1F"/>
        </w:rPr>
        <w:t>that amigrant convey into</w:t>
      </w:r>
      <w:r>
        <w:rPr>
          <w:color w:val="221F1F"/>
          <w:spacing w:val="3"/>
        </w:rPr>
        <w:t> </w:t>
      </w:r>
      <w:r>
        <w:rPr>
          <w:color w:val="221F1F"/>
        </w:rPr>
        <w:t>or</w:t>
      </w:r>
      <w:r>
        <w:rPr>
          <w:color w:val="221F1F"/>
          <w:spacing w:val="2"/>
        </w:rPr>
        <w:t> </w:t>
      </w:r>
      <w:r>
        <w:rPr>
          <w:color w:val="221F1F"/>
        </w:rPr>
        <w:t>takes</w:t>
      </w:r>
      <w:r>
        <w:rPr>
          <w:color w:val="221F1F"/>
          <w:spacing w:val="2"/>
        </w:rPr>
        <w:t> </w:t>
      </w:r>
      <w:r>
        <w:rPr>
          <w:color w:val="221F1F"/>
        </w:rPr>
        <w:t>out</w:t>
      </w:r>
      <w:r>
        <w:rPr>
          <w:color w:val="221F1F"/>
          <w:spacing w:val="2"/>
        </w:rPr>
        <w:t> </w:t>
      </w:r>
      <w:r>
        <w:rPr>
          <w:color w:val="221F1F"/>
        </w:rPr>
        <w:t>of</w:t>
      </w:r>
      <w:r>
        <w:rPr>
          <w:color w:val="221F1F"/>
          <w:spacing w:val="1"/>
        </w:rPr>
        <w:t> </w:t>
      </w:r>
      <w:r>
        <w:rPr>
          <w:color w:val="221F1F"/>
        </w:rPr>
        <w:t>acountry.</w:t>
      </w:r>
      <w:r>
        <w:rPr>
          <w:color w:val="221F1F"/>
          <w:spacing w:val="1"/>
        </w:rPr>
        <w:t> </w:t>
      </w:r>
      <w:r>
        <w:rPr>
          <w:color w:val="221F1F"/>
        </w:rPr>
        <w:t>Consequently, </w:t>
      </w:r>
      <w:r>
        <w:rPr>
          <w:color w:val="221F1F"/>
          <w:spacing w:val="-2"/>
        </w:rPr>
        <w:t>International</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48768">
                <wp:simplePos x="0" y="0"/>
                <wp:positionH relativeFrom="page">
                  <wp:posOffset>950112</wp:posOffset>
                </wp:positionH>
                <wp:positionV relativeFrom="paragraph">
                  <wp:posOffset>1321053</wp:posOffset>
                </wp:positionV>
                <wp:extent cx="5505450" cy="566102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67712" id="docshape94"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color w:val="221F1F"/>
        </w:rPr>
        <w:t>Organization</w:t>
      </w:r>
      <w:r>
        <w:rPr>
          <w:color w:val="221F1F"/>
          <w:spacing w:val="-5"/>
        </w:rPr>
        <w:t> </w:t>
      </w:r>
      <w:r>
        <w:rPr>
          <w:color w:val="221F1F"/>
        </w:rPr>
        <w:t>forMigration</w:t>
      </w:r>
      <w:r>
        <w:rPr>
          <w:color w:val="221F1F"/>
          <w:spacing w:val="-5"/>
        </w:rPr>
        <w:t> </w:t>
      </w:r>
      <w:r>
        <w:rPr>
          <w:color w:val="221F1F"/>
        </w:rPr>
        <w:t>(2006)</w:t>
      </w:r>
      <w:r>
        <w:rPr>
          <w:color w:val="221F1F"/>
          <w:spacing w:val="-4"/>
        </w:rPr>
        <w:t> </w:t>
      </w:r>
      <w:r>
        <w:rPr>
          <w:color w:val="221F1F"/>
        </w:rPr>
        <w:t>largely</w:t>
      </w:r>
      <w:r>
        <w:rPr>
          <w:color w:val="221F1F"/>
          <w:spacing w:val="-5"/>
        </w:rPr>
        <w:t> </w:t>
      </w:r>
      <w:r>
        <w:rPr>
          <w:color w:val="221F1F"/>
        </w:rPr>
        <w:t>definesremittances</w:t>
      </w:r>
      <w:r>
        <w:rPr>
          <w:color w:val="221F1F"/>
          <w:spacing w:val="-4"/>
        </w:rPr>
        <w:t> </w:t>
      </w:r>
      <w:r>
        <w:rPr>
          <w:color w:val="221F1F"/>
        </w:rPr>
        <w:t>as</w:t>
      </w:r>
      <w:r>
        <w:rPr>
          <w:color w:val="221F1F"/>
          <w:spacing w:val="-4"/>
        </w:rPr>
        <w:t> </w:t>
      </w:r>
      <w:r>
        <w:rPr>
          <w:color w:val="221F1F"/>
        </w:rPr>
        <w:t>the</w:t>
      </w:r>
      <w:r>
        <w:rPr>
          <w:color w:val="221F1F"/>
          <w:spacing w:val="-5"/>
        </w:rPr>
        <w:t> </w:t>
      </w:r>
      <w:r>
        <w:rPr>
          <w:color w:val="221F1F"/>
        </w:rPr>
        <w:t>monetaryflows</w:t>
      </w:r>
      <w:r>
        <w:rPr>
          <w:color w:val="221F1F"/>
          <w:spacing w:val="-4"/>
        </w:rPr>
        <w:t> </w:t>
      </w:r>
      <w:r>
        <w:rPr>
          <w:color w:val="221F1F"/>
        </w:rPr>
        <w:t>connected to migration, that iscash transfers by migrants orimmigrants living abroad to arelation in home countries. International LabourOrganization (2000) also defined remittanceas part of migrant workers’ incomeremitted back from their employment countriesto their countries of </w:t>
      </w:r>
      <w:r>
        <w:rPr>
          <w:color w:val="221F1F"/>
          <w:spacing w:val="-2"/>
        </w:rPr>
        <w:t>origin.</w:t>
      </w:r>
    </w:p>
    <w:p>
      <w:pPr>
        <w:pStyle w:val="BodyText"/>
        <w:spacing w:line="480" w:lineRule="auto" w:before="161"/>
        <w:ind w:right="733"/>
        <w:jc w:val="both"/>
      </w:pPr>
      <w:r>
        <w:rPr/>
        <w:t>Over</w:t>
      </w:r>
      <w:r>
        <w:rPr>
          <w:spacing w:val="-4"/>
        </w:rPr>
        <w:t> </w:t>
      </w:r>
      <w:r>
        <w:rPr/>
        <w:t>the</w:t>
      </w:r>
      <w:r>
        <w:rPr>
          <w:spacing w:val="-4"/>
        </w:rPr>
        <w:t> </w:t>
      </w:r>
      <w:r>
        <w:rPr/>
        <w:t>years</w:t>
      </w:r>
      <w:r>
        <w:rPr>
          <w:spacing w:val="-3"/>
        </w:rPr>
        <w:t> </w:t>
      </w:r>
      <w:r>
        <w:rPr/>
        <w:t>there</w:t>
      </w:r>
      <w:r>
        <w:rPr>
          <w:spacing w:val="-4"/>
        </w:rPr>
        <w:t> </w:t>
      </w:r>
      <w:r>
        <w:rPr/>
        <w:t>has been</w:t>
      </w:r>
      <w:r>
        <w:rPr>
          <w:spacing w:val="-1"/>
        </w:rPr>
        <w:t> </w:t>
      </w:r>
      <w:r>
        <w:rPr/>
        <w:t>growingnumber</w:t>
      </w:r>
      <w:r>
        <w:rPr>
          <w:spacing w:val="-4"/>
        </w:rPr>
        <w:t> </w:t>
      </w:r>
      <w:r>
        <w:rPr/>
        <w:t>of</w:t>
      </w:r>
      <w:r>
        <w:rPr>
          <w:spacing w:val="-3"/>
        </w:rPr>
        <w:t> </w:t>
      </w:r>
      <w:r>
        <w:rPr/>
        <w:t>theoretical</w:t>
      </w:r>
      <w:r>
        <w:rPr>
          <w:spacing w:val="-4"/>
        </w:rPr>
        <w:t> </w:t>
      </w:r>
      <w:r>
        <w:rPr/>
        <w:t>literaturewhich</w:t>
      </w:r>
      <w:r>
        <w:rPr>
          <w:spacing w:val="-4"/>
        </w:rPr>
        <w:t> </w:t>
      </w:r>
      <w:r>
        <w:rPr/>
        <w:t>provided</w:t>
      </w:r>
      <w:r>
        <w:rPr>
          <w:spacing w:val="-3"/>
        </w:rPr>
        <w:t> </w:t>
      </w:r>
      <w:r>
        <w:rPr/>
        <w:t>rational for migrants remittingfunds to their homecountry. These include PureAltruism Theory, Implicit FamilyAgreement Theory and PortfolioManagement Decision Theory. Accordingto Kaasschieter (2014), pure altruismtheory is anchored on themotive for migrant remitting money homeout of concern for thewellbeing of his family and associatesin his or her home country. This theory isanchored on three basic assumptions. First remittance is afunction of the immigrantincome. Second is the level of incomeof the migrant family andassociates in</w:t>
      </w:r>
      <w:r>
        <w:rPr>
          <w:spacing w:val="40"/>
        </w:rPr>
        <w:t> </w:t>
      </w:r>
      <w:r>
        <w:rPr/>
        <w:t>the homecountry (The higher such income, the lesser theremittance and viceversa). Third is the level of attachmentto the family memberby the migrant (The higher theattachment, the higher theremittance). However the levelof attachment is inverselyrelated to the numberof years the migranthave been residingabroad. On the other hand theimplicit family agreement theory propoundedby Lucas and Stark (1985), emphasises howmigrants and family athome develop an implicitcontract that will mutuallybenefits all frommigration. The contract normally combines elementof investment andrepayment. In the loan repaymenttheory, the family invests in theeducation of themigrant as well as the costof migrating. The repayment of theprincipal and interest will commence viaremittance after the migrant has beengainfully settled (Kaasschieter, 2014).</w:t>
      </w:r>
    </w:p>
    <w:p>
      <w:pPr>
        <w:spacing w:after="0" w:line="480" w:lineRule="auto"/>
        <w:jc w:val="both"/>
        <w:sectPr>
          <w:pgSz w:w="12240" w:h="15840"/>
          <w:pgMar w:header="0" w:footer="1012" w:top="1380" w:bottom="1200" w:left="1220" w:right="700"/>
        </w:sectPr>
      </w:pPr>
    </w:p>
    <w:p>
      <w:pPr>
        <w:pStyle w:val="BodyText"/>
        <w:spacing w:line="480" w:lineRule="auto" w:before="60"/>
        <w:ind w:right="736"/>
        <w:jc w:val="both"/>
      </w:pPr>
      <w:r>
        <w:rPr/>
        <mc:AlternateContent>
          <mc:Choice Requires="wps">
            <w:drawing>
              <wp:anchor distT="0" distB="0" distL="0" distR="0" allowOverlap="1" layoutInCell="1" locked="0" behindDoc="1" simplePos="0" relativeHeight="478049280">
                <wp:simplePos x="0" y="0"/>
                <wp:positionH relativeFrom="page">
                  <wp:posOffset>950112</wp:posOffset>
                </wp:positionH>
                <wp:positionV relativeFrom="paragraph">
                  <wp:posOffset>1321053</wp:posOffset>
                </wp:positionV>
                <wp:extent cx="5505450" cy="5661025"/>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67200" id="docshape95"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This theory was buttressed byempirical work of Poirine (1997). The portfoliomanagement decision theory was based onmacroeconomic factors in both hostand home countriesof the migrants thatsignificantly influence the flow ofremittance. Among suchmacroeconomic factors identified inliterature are; savings rate, inflationrate, exchange rates, government policies and politicalstability (Prakash, 2009).</w:t>
      </w:r>
    </w:p>
    <w:p>
      <w:pPr>
        <w:pStyle w:val="BodyText"/>
        <w:spacing w:before="162"/>
        <w:ind w:left="0"/>
      </w:pPr>
    </w:p>
    <w:p>
      <w:pPr>
        <w:pStyle w:val="Heading2"/>
        <w:numPr>
          <w:ilvl w:val="2"/>
          <w:numId w:val="16"/>
        </w:numPr>
        <w:tabs>
          <w:tab w:pos="780" w:val="left" w:leader="none"/>
        </w:tabs>
        <w:spacing w:line="240" w:lineRule="auto" w:before="0" w:after="0"/>
        <w:ind w:left="780" w:right="0" w:hanging="560"/>
        <w:jc w:val="left"/>
      </w:pPr>
      <w:bookmarkStart w:name="_TOC_250048" w:id="27"/>
      <w:r>
        <w:rPr/>
        <w:t>Official</w:t>
      </w:r>
      <w:r>
        <w:rPr>
          <w:spacing w:val="-12"/>
        </w:rPr>
        <w:t> </w:t>
      </w:r>
      <w:r>
        <w:rPr/>
        <w:t>Development</w:t>
      </w:r>
      <w:r>
        <w:rPr>
          <w:spacing w:val="-12"/>
        </w:rPr>
        <w:t> </w:t>
      </w:r>
      <w:r>
        <w:rPr/>
        <w:t>Assistance</w:t>
      </w:r>
      <w:r>
        <w:rPr>
          <w:spacing w:val="-12"/>
        </w:rPr>
        <w:t> </w:t>
      </w:r>
      <w:bookmarkEnd w:id="27"/>
      <w:r>
        <w:rPr>
          <w:spacing w:val="-2"/>
        </w:rPr>
        <w:t>(ODA)</w:t>
      </w:r>
    </w:p>
    <w:p>
      <w:pPr>
        <w:pStyle w:val="BodyText"/>
        <w:spacing w:before="159"/>
        <w:ind w:left="0"/>
        <w:rPr>
          <w:b/>
        </w:rPr>
      </w:pPr>
    </w:p>
    <w:p>
      <w:pPr>
        <w:pStyle w:val="BodyText"/>
        <w:spacing w:line="480" w:lineRule="auto"/>
        <w:ind w:right="735"/>
        <w:jc w:val="both"/>
      </w:pPr>
      <w:r>
        <w:rPr/>
        <w:t>Official development assistance is a term associatedwith the DevelopmentAssistance Committee (DAC) of theOrganisation for Economic Cooperationand Development (OECD), to serve as an indicatoror measure of international aidflow. It is a government aidaimed at promoting economicdevelopment and welfare ofdeveloping economies. Such aidscan be direct from the donorto the recipient or it can passthrough a multilateral developmentagency like the United Nationsand the World Bank. Official DevelopmentAssistance (ODA) could also be calledForeign aid. ODA consists ofgrants or loans</w:t>
      </w:r>
      <w:r>
        <w:rPr>
          <w:spacing w:val="-1"/>
        </w:rPr>
        <w:t> </w:t>
      </w:r>
      <w:r>
        <w:rPr/>
        <w:t>that onegovernment or multilateral organizationgives to a developingcountry to promote economicdevelopment and social welfare (Girma, 2015).</w:t>
      </w:r>
    </w:p>
    <w:p>
      <w:pPr>
        <w:pStyle w:val="BodyText"/>
        <w:spacing w:line="480" w:lineRule="auto" w:before="161"/>
        <w:ind w:right="735"/>
        <w:jc w:val="both"/>
      </w:pPr>
      <w:r>
        <w:rPr/>
        <w:t>The Development AssistanceCommittee (DAC) of the Organization forEconomic Cooperation andDevelopment (OECD) also defines aid asOfficial Development Assistance (ODA) whichqualifies on three criteria:</w:t>
      </w:r>
    </w:p>
    <w:p>
      <w:pPr>
        <w:pStyle w:val="ListParagraph"/>
        <w:numPr>
          <w:ilvl w:val="3"/>
          <w:numId w:val="16"/>
        </w:numPr>
        <w:tabs>
          <w:tab w:pos="938" w:val="left" w:leader="none"/>
        </w:tabs>
        <w:spacing w:line="240" w:lineRule="auto" w:before="160" w:after="0"/>
        <w:ind w:left="938" w:right="0" w:hanging="358"/>
        <w:jc w:val="both"/>
        <w:rPr>
          <w:sz w:val="25"/>
        </w:rPr>
      </w:pPr>
      <w:r>
        <w:rPr>
          <w:sz w:val="25"/>
        </w:rPr>
        <w:t>It</w:t>
      </w:r>
      <w:r>
        <w:rPr>
          <w:spacing w:val="-6"/>
          <w:sz w:val="25"/>
        </w:rPr>
        <w:t> </w:t>
      </w:r>
      <w:r>
        <w:rPr>
          <w:sz w:val="25"/>
        </w:rPr>
        <w:t>is</w:t>
      </w:r>
      <w:r>
        <w:rPr>
          <w:spacing w:val="-4"/>
          <w:sz w:val="25"/>
        </w:rPr>
        <w:t> </w:t>
      </w:r>
      <w:r>
        <w:rPr>
          <w:sz w:val="25"/>
        </w:rPr>
        <w:t>to</w:t>
      </w:r>
      <w:r>
        <w:rPr>
          <w:spacing w:val="-6"/>
          <w:sz w:val="25"/>
        </w:rPr>
        <w:t> </w:t>
      </w:r>
      <w:r>
        <w:rPr>
          <w:sz w:val="25"/>
        </w:rPr>
        <w:t>be</w:t>
      </w:r>
      <w:r>
        <w:rPr>
          <w:spacing w:val="-5"/>
          <w:sz w:val="25"/>
        </w:rPr>
        <w:t> </w:t>
      </w:r>
      <w:r>
        <w:rPr>
          <w:sz w:val="25"/>
        </w:rPr>
        <w:t>undertakenby</w:t>
      </w:r>
      <w:r>
        <w:rPr>
          <w:spacing w:val="-3"/>
          <w:sz w:val="25"/>
        </w:rPr>
        <w:t> </w:t>
      </w:r>
      <w:r>
        <w:rPr>
          <w:sz w:val="25"/>
        </w:rPr>
        <w:t>official</w:t>
      </w:r>
      <w:r>
        <w:rPr>
          <w:spacing w:val="-6"/>
          <w:sz w:val="25"/>
        </w:rPr>
        <w:t> </w:t>
      </w:r>
      <w:r>
        <w:rPr>
          <w:spacing w:val="-2"/>
          <w:sz w:val="25"/>
        </w:rPr>
        <w:t>agencies;</w:t>
      </w:r>
    </w:p>
    <w:p>
      <w:pPr>
        <w:pStyle w:val="ListParagraph"/>
        <w:numPr>
          <w:ilvl w:val="3"/>
          <w:numId w:val="16"/>
        </w:numPr>
        <w:tabs>
          <w:tab w:pos="938" w:val="left" w:leader="none"/>
        </w:tabs>
        <w:spacing w:line="240" w:lineRule="auto" w:before="286" w:after="0"/>
        <w:ind w:left="938" w:right="0" w:hanging="358"/>
        <w:jc w:val="both"/>
        <w:rPr>
          <w:sz w:val="25"/>
        </w:rPr>
      </w:pPr>
      <w:r>
        <w:rPr>
          <w:sz w:val="25"/>
        </w:rPr>
        <w:t>it</w:t>
      </w:r>
      <w:r>
        <w:rPr>
          <w:spacing w:val="-6"/>
          <w:sz w:val="25"/>
        </w:rPr>
        <w:t> </w:t>
      </w:r>
      <w:r>
        <w:rPr>
          <w:sz w:val="25"/>
        </w:rPr>
        <w:t>is</w:t>
      </w:r>
      <w:r>
        <w:rPr>
          <w:spacing w:val="-5"/>
          <w:sz w:val="25"/>
        </w:rPr>
        <w:t> </w:t>
      </w:r>
      <w:r>
        <w:rPr>
          <w:sz w:val="25"/>
        </w:rPr>
        <w:t>to</w:t>
      </w:r>
      <w:r>
        <w:rPr>
          <w:spacing w:val="-7"/>
          <w:sz w:val="25"/>
        </w:rPr>
        <w:t> </w:t>
      </w:r>
      <w:r>
        <w:rPr>
          <w:sz w:val="25"/>
        </w:rPr>
        <w:t>have</w:t>
      </w:r>
      <w:r>
        <w:rPr>
          <w:spacing w:val="-7"/>
          <w:sz w:val="25"/>
        </w:rPr>
        <w:t> </w:t>
      </w:r>
      <w:r>
        <w:rPr>
          <w:sz w:val="25"/>
        </w:rPr>
        <w:t>the</w:t>
      </w:r>
      <w:r>
        <w:rPr>
          <w:spacing w:val="-6"/>
          <w:sz w:val="25"/>
        </w:rPr>
        <w:t> </w:t>
      </w:r>
      <w:r>
        <w:rPr>
          <w:sz w:val="25"/>
        </w:rPr>
        <w:t>main</w:t>
      </w:r>
      <w:r>
        <w:rPr>
          <w:spacing w:val="-7"/>
          <w:sz w:val="25"/>
        </w:rPr>
        <w:t> </w:t>
      </w:r>
      <w:r>
        <w:rPr>
          <w:sz w:val="25"/>
        </w:rPr>
        <w:t>objectivesof</w:t>
      </w:r>
      <w:r>
        <w:rPr>
          <w:spacing w:val="-6"/>
          <w:sz w:val="25"/>
        </w:rPr>
        <w:t> </w:t>
      </w:r>
      <w:r>
        <w:rPr>
          <w:sz w:val="25"/>
        </w:rPr>
        <w:t>promoting</w:t>
      </w:r>
      <w:r>
        <w:rPr>
          <w:spacing w:val="-7"/>
          <w:sz w:val="25"/>
        </w:rPr>
        <w:t> </w:t>
      </w:r>
      <w:r>
        <w:rPr>
          <w:sz w:val="25"/>
        </w:rPr>
        <w:t>economic</w:t>
      </w:r>
      <w:r>
        <w:rPr>
          <w:spacing w:val="-6"/>
          <w:sz w:val="25"/>
        </w:rPr>
        <w:t> </w:t>
      </w:r>
      <w:r>
        <w:rPr>
          <w:sz w:val="25"/>
        </w:rPr>
        <w:t>developmentand</w:t>
      </w:r>
      <w:r>
        <w:rPr>
          <w:spacing w:val="-7"/>
          <w:sz w:val="25"/>
        </w:rPr>
        <w:t> </w:t>
      </w:r>
      <w:r>
        <w:rPr>
          <w:spacing w:val="-2"/>
          <w:sz w:val="25"/>
        </w:rPr>
        <w:t>welfare</w:t>
      </w:r>
    </w:p>
    <w:p>
      <w:pPr>
        <w:pStyle w:val="BodyText"/>
        <w:spacing w:before="1"/>
        <w:ind w:left="0"/>
      </w:pPr>
    </w:p>
    <w:p>
      <w:pPr>
        <w:pStyle w:val="ListParagraph"/>
        <w:numPr>
          <w:ilvl w:val="3"/>
          <w:numId w:val="16"/>
        </w:numPr>
        <w:tabs>
          <w:tab w:pos="938" w:val="left" w:leader="none"/>
        </w:tabs>
        <w:spacing w:line="240" w:lineRule="auto" w:before="0" w:after="0"/>
        <w:ind w:left="938" w:right="0" w:hanging="358"/>
        <w:jc w:val="both"/>
        <w:rPr>
          <w:sz w:val="25"/>
        </w:rPr>
      </w:pPr>
      <w:r>
        <w:rPr>
          <w:sz w:val="25"/>
        </w:rPr>
        <w:t>It</w:t>
      </w:r>
      <w:r>
        <w:rPr>
          <w:spacing w:val="-6"/>
          <w:sz w:val="25"/>
        </w:rPr>
        <w:t> </w:t>
      </w:r>
      <w:r>
        <w:rPr>
          <w:sz w:val="25"/>
        </w:rPr>
        <w:t>has</w:t>
      </w:r>
      <w:r>
        <w:rPr>
          <w:spacing w:val="-4"/>
          <w:sz w:val="25"/>
        </w:rPr>
        <w:t> </w:t>
      </w:r>
      <w:r>
        <w:rPr>
          <w:sz w:val="25"/>
        </w:rPr>
        <w:t>to</w:t>
      </w:r>
      <w:r>
        <w:rPr>
          <w:spacing w:val="-6"/>
          <w:sz w:val="25"/>
        </w:rPr>
        <w:t> </w:t>
      </w:r>
      <w:r>
        <w:rPr>
          <w:sz w:val="25"/>
        </w:rPr>
        <w:t>have</w:t>
      </w:r>
      <w:r>
        <w:rPr>
          <w:spacing w:val="-5"/>
          <w:sz w:val="25"/>
        </w:rPr>
        <w:t> </w:t>
      </w:r>
      <w:r>
        <w:rPr>
          <w:sz w:val="25"/>
        </w:rPr>
        <w:t>a</w:t>
      </w:r>
      <w:r>
        <w:rPr>
          <w:spacing w:val="-5"/>
          <w:sz w:val="25"/>
        </w:rPr>
        <w:t> </w:t>
      </w:r>
      <w:r>
        <w:rPr>
          <w:sz w:val="25"/>
        </w:rPr>
        <w:t>grantelement</w:t>
      </w:r>
      <w:r>
        <w:rPr>
          <w:spacing w:val="-6"/>
          <w:sz w:val="25"/>
        </w:rPr>
        <w:t> </w:t>
      </w:r>
      <w:r>
        <w:rPr>
          <w:sz w:val="25"/>
        </w:rPr>
        <w:t>of</w:t>
      </w:r>
      <w:r>
        <w:rPr>
          <w:spacing w:val="-4"/>
          <w:sz w:val="25"/>
        </w:rPr>
        <w:t> </w:t>
      </w:r>
      <w:r>
        <w:rPr>
          <w:sz w:val="25"/>
        </w:rPr>
        <w:t>twenty</w:t>
      </w:r>
      <w:r>
        <w:rPr>
          <w:spacing w:val="-6"/>
          <w:sz w:val="25"/>
        </w:rPr>
        <w:t> </w:t>
      </w:r>
      <w:r>
        <w:rPr>
          <w:sz w:val="25"/>
        </w:rPr>
        <w:t>fivepercent</w:t>
      </w:r>
      <w:r>
        <w:rPr>
          <w:spacing w:val="-5"/>
          <w:sz w:val="25"/>
        </w:rPr>
        <w:t> </w:t>
      </w:r>
      <w:r>
        <w:rPr>
          <w:sz w:val="25"/>
        </w:rPr>
        <w:t>or</w:t>
      </w:r>
      <w:r>
        <w:rPr>
          <w:spacing w:val="-5"/>
          <w:sz w:val="25"/>
        </w:rPr>
        <w:t> </w:t>
      </w:r>
      <w:r>
        <w:rPr>
          <w:spacing w:val="-2"/>
          <w:sz w:val="25"/>
        </w:rPr>
        <w:t>more.</w:t>
      </w:r>
    </w:p>
    <w:p>
      <w:pPr>
        <w:spacing w:after="0" w:line="240" w:lineRule="auto"/>
        <w:jc w:val="both"/>
        <w:rPr>
          <w:sz w:val="25"/>
        </w:rPr>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49792">
                <wp:simplePos x="0" y="0"/>
                <wp:positionH relativeFrom="page">
                  <wp:posOffset>950112</wp:posOffset>
                </wp:positionH>
                <wp:positionV relativeFrom="paragraph">
                  <wp:posOffset>1321053</wp:posOffset>
                </wp:positionV>
                <wp:extent cx="5505450" cy="5661025"/>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66688" id="docshape96"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However, Inanga andMandah (2008) conceptualised foreignaid (ODA) as an international transfer ofcapital, goods, or servicesfor the benefit of othernations. Inanga and Mandah (2008) further noted thatthese aids come in forms ofcapital transfers in cash orkind, either as grants or loans. Technical assistanceand training are part of officialdevelopment assistance and usually comeas grants in the formof human resources andtechnical equipment, and militaryassistance in the form ofeither equipment ortraining advisors.</w:t>
      </w:r>
    </w:p>
    <w:p>
      <w:pPr>
        <w:pStyle w:val="BodyText"/>
        <w:spacing w:line="480" w:lineRule="auto" w:before="160"/>
        <w:ind w:right="735"/>
        <w:jc w:val="both"/>
      </w:pPr>
      <w:r>
        <w:rPr/>
        <w:t>Official development assistance (ODA) orforeign aid has been an importanthuman capital developmentfactor in humanhistory. According to (Niyonkuru, 2016), ODAprovides assistance tocountries’ development. These aids mayinclude social infrastructureand economic infrastructureservices’ aid and production sector’said. Social infrastructurein this case includeseducation, water supplyand sanitation, all with the aim to improvehuman development andeventually contribute to long-termsustainable economic growth (Addison &amp; Tarp, 2015). Besides, economicinfrastructure aid doesimprove energy, transportand communicationssystems in the recipientcountries. On the other hand, productionsector’s aid is aimed foragriculture, forestry and fishingindustry, mining and constructiontrade and tourism. It may also attractFDI flows which further contributepositively to the growth. As (Morrissey, 2001) suggests, there can beseveral positive channels throughwhich ODA impacts economicgrowth such as “aid increasesinvestment in physical and humancapital, aid increases thecapacity to import capitalgoods or technology, aid does not haveindirect effects that reduces investmentsor savings rates, and aid is associatedwith technology transfersthat increase theproductivity of capitaland promotes endogenoustechnical change”.</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50304">
                <wp:simplePos x="0" y="0"/>
                <wp:positionH relativeFrom="page">
                  <wp:posOffset>950112</wp:posOffset>
                </wp:positionH>
                <wp:positionV relativeFrom="paragraph">
                  <wp:posOffset>1321053</wp:posOffset>
                </wp:positionV>
                <wp:extent cx="5505450" cy="566102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66176" id="docshape97"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The importance of foreignaid was specifically recognized in theMillennium Development Goals (MDGs) initiativesblueprint so as to meet theneeds of 148countries. A 0.7% ODA/gross nationalincome (GNI) goal was set by theUnited Nations’ decision back in1970. With this commitment, eachadvanced country was supposed toprogressively increase its ODA assistanceto the 148 countries by2015; however, this goal was notachieved. This was because</w:t>
      </w:r>
      <w:r>
        <w:rPr>
          <w:spacing w:val="-2"/>
        </w:rPr>
        <w:t> </w:t>
      </w:r>
      <w:r>
        <w:rPr/>
        <w:t>majorityof</w:t>
      </w:r>
      <w:r>
        <w:rPr>
          <w:spacing w:val="-1"/>
        </w:rPr>
        <w:t> </w:t>
      </w:r>
      <w:r>
        <w:rPr/>
        <w:t>these</w:t>
      </w:r>
      <w:r>
        <w:rPr>
          <w:spacing w:val="-2"/>
        </w:rPr>
        <w:t> </w:t>
      </w:r>
      <w:r>
        <w:rPr/>
        <w:t>countriesdo</w:t>
      </w:r>
      <w:r>
        <w:rPr>
          <w:spacing w:val="-2"/>
        </w:rPr>
        <w:t> </w:t>
      </w:r>
      <w:r>
        <w:rPr/>
        <w:t>not</w:t>
      </w:r>
      <w:r>
        <w:rPr>
          <w:spacing w:val="-2"/>
        </w:rPr>
        <w:t> </w:t>
      </w:r>
      <w:r>
        <w:rPr/>
        <w:t>achieve</w:t>
      </w:r>
      <w:r>
        <w:rPr>
          <w:spacing w:val="-2"/>
        </w:rPr>
        <w:t> </w:t>
      </w:r>
      <w:r>
        <w:rPr/>
        <w:t>the</w:t>
      </w:r>
      <w:r>
        <w:rPr>
          <w:spacing w:val="-2"/>
        </w:rPr>
        <w:t> </w:t>
      </w:r>
      <w:r>
        <w:rPr/>
        <w:t>targetof</w:t>
      </w:r>
      <w:r>
        <w:rPr>
          <w:spacing w:val="-1"/>
        </w:rPr>
        <w:t> </w:t>
      </w:r>
      <w:r>
        <w:rPr/>
        <w:t>0.7%</w:t>
      </w:r>
      <w:r>
        <w:rPr>
          <w:spacing w:val="-1"/>
        </w:rPr>
        <w:t> </w:t>
      </w:r>
      <w:r>
        <w:rPr/>
        <w:t>(Ekwe</w:t>
      </w:r>
      <w:r>
        <w:rPr>
          <w:spacing w:val="-2"/>
        </w:rPr>
        <w:t> </w:t>
      </w:r>
      <w:r>
        <w:rPr/>
        <w:t>&amp;</w:t>
      </w:r>
      <w:r>
        <w:rPr>
          <w:spacing w:val="-2"/>
        </w:rPr>
        <w:t> </w:t>
      </w:r>
      <w:r>
        <w:rPr/>
        <w:t>Inyiama,</w:t>
      </w:r>
      <w:r>
        <w:rPr>
          <w:spacing w:val="-2"/>
        </w:rPr>
        <w:t> </w:t>
      </w:r>
      <w:r>
        <w:rPr/>
        <w:t>2014).</w:t>
      </w:r>
    </w:p>
    <w:p>
      <w:pPr>
        <w:pStyle w:val="BodyText"/>
        <w:spacing w:line="480" w:lineRule="auto" w:before="160"/>
        <w:ind w:right="735"/>
        <w:jc w:val="both"/>
      </w:pPr>
      <w:r>
        <w:rPr/>
        <w:t>Theoretically, the mainrole of foreign aid instimulating human capitaldevelopment is to supplement domesticsources of finance suchas savings, thus increasing theamount of investment andcapital stock. Morrissey (2001) points out, there are anumber of mechanisms through whichaid can contribute tohuman capital developmentincluding: (a) increased investment, in physicaland human capital; (b) increasedcapacity to import capitalgoods or technology; (c) lack</w:t>
      </w:r>
      <w:r>
        <w:rPr>
          <w:spacing w:val="-1"/>
        </w:rPr>
        <w:t> </w:t>
      </w:r>
      <w:r>
        <w:rPr/>
        <w:t>ofindirect effects that</w:t>
      </w:r>
      <w:r>
        <w:rPr>
          <w:spacing w:val="-2"/>
        </w:rPr>
        <w:t> </w:t>
      </w:r>
      <w:r>
        <w:rPr/>
        <w:t>reduce investmentor savings</w:t>
      </w:r>
      <w:r>
        <w:rPr>
          <w:spacing w:val="-1"/>
        </w:rPr>
        <w:t> </w:t>
      </w:r>
      <w:r>
        <w:rPr/>
        <w:t>rates; and (d) transfer of technology thatincreases the productivityof capital and promotes endogenoustechnical change (Chipote, Mgxekwa&amp; Godza, 2014).</w:t>
      </w:r>
    </w:p>
    <w:p>
      <w:pPr>
        <w:pStyle w:val="BodyText"/>
        <w:spacing w:line="480" w:lineRule="auto" w:before="162"/>
        <w:ind w:right="733"/>
        <w:jc w:val="both"/>
      </w:pPr>
      <w:r>
        <w:rPr/>
        <w:t>There are four strands ofliterature on the roleof foreign aid on human capital development. The</w:t>
      </w:r>
      <w:r>
        <w:rPr>
          <w:spacing w:val="-3"/>
        </w:rPr>
        <w:t> </w:t>
      </w:r>
      <w:r>
        <w:rPr/>
        <w:t>first</w:t>
      </w:r>
      <w:r>
        <w:rPr>
          <w:spacing w:val="-3"/>
        </w:rPr>
        <w:t> </w:t>
      </w:r>
      <w:r>
        <w:rPr/>
        <w:t>studies</w:t>
      </w:r>
      <w:r>
        <w:rPr>
          <w:spacing w:val="-2"/>
        </w:rPr>
        <w:t> </w:t>
      </w:r>
      <w:r>
        <w:rPr/>
        <w:t>claim</w:t>
      </w:r>
      <w:r>
        <w:rPr>
          <w:spacing w:val="-3"/>
        </w:rPr>
        <w:t> </w:t>
      </w:r>
      <w:r>
        <w:rPr/>
        <w:t>that</w:t>
      </w:r>
      <w:r>
        <w:rPr>
          <w:spacing w:val="-3"/>
        </w:rPr>
        <w:t> </w:t>
      </w:r>
      <w:r>
        <w:rPr/>
        <w:t>foreign capital inflow</w:t>
      </w:r>
      <w:r>
        <w:rPr>
          <w:spacing w:val="-3"/>
        </w:rPr>
        <w:t> </w:t>
      </w:r>
      <w:r>
        <w:rPr/>
        <w:t>is</w:t>
      </w:r>
      <w:r>
        <w:rPr>
          <w:spacing w:val="-1"/>
        </w:rPr>
        <w:t> </w:t>
      </w:r>
      <w:r>
        <w:rPr/>
        <w:t>necessary</w:t>
      </w:r>
      <w:r>
        <w:rPr>
          <w:spacing w:val="-3"/>
        </w:rPr>
        <w:t> </w:t>
      </w:r>
      <w:r>
        <w:rPr/>
        <w:t>andsufficient</w:t>
      </w:r>
      <w:r>
        <w:rPr>
          <w:spacing w:val="-3"/>
        </w:rPr>
        <w:t> </w:t>
      </w:r>
      <w:r>
        <w:rPr/>
        <w:t>for</w:t>
      </w:r>
      <w:r>
        <w:rPr>
          <w:spacing w:val="-1"/>
        </w:rPr>
        <w:t> </w:t>
      </w:r>
      <w:r>
        <w:rPr/>
        <w:t>human</w:t>
      </w:r>
      <w:r>
        <w:rPr>
          <w:spacing w:val="-3"/>
        </w:rPr>
        <w:t> </w:t>
      </w:r>
      <w:r>
        <w:rPr/>
        <w:t>capital development in lessdeveloped countries. They assert thatthere is a positive relationship between aid andhuman capital developmentbecause it not onlyaugments domestic resources, but also supplementsdomestic savings, assists inclosing the foreign exchangegap, creates access to moderntechnology and managerialskills, and allows easieraccess to foreign</w:t>
      </w:r>
      <w:r>
        <w:rPr>
          <w:spacing w:val="40"/>
        </w:rPr>
        <w:t> </w:t>
      </w:r>
      <w:r>
        <w:rPr/>
        <w:t>markets, ultimatelyleading to human capitaldevelopment (Akanyo, &amp; Ajie, 2015;</w:t>
      </w:r>
      <w:r>
        <w:rPr>
          <w:spacing w:val="40"/>
        </w:rPr>
        <w:t> </w:t>
      </w:r>
      <w:r>
        <w:rPr/>
        <w:t>Obadan, </w:t>
      </w:r>
      <w:r>
        <w:rPr>
          <w:spacing w:val="-2"/>
        </w:rPr>
        <w:t>2011).</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50816">
                <wp:simplePos x="0" y="0"/>
                <wp:positionH relativeFrom="page">
                  <wp:posOffset>950112</wp:posOffset>
                </wp:positionH>
                <wp:positionV relativeFrom="paragraph">
                  <wp:posOffset>1321053</wp:posOffset>
                </wp:positionV>
                <wp:extent cx="5505450" cy="566102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65664" id="docshape98"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The term foreign aid isgenerally used in thesense of flow of resources fromthe rich countries to the poor underdeveloped countries At somepoint, ‘all real resourcetransfer’ from developed tounderdeveloped or developingcountries were included asforeign aid and this raised conceptualproblems because it includescertain resource transferwhich do not essentially qualify asforeign aid.</w:t>
      </w:r>
      <w:r>
        <w:rPr>
          <w:spacing w:val="40"/>
        </w:rPr>
        <w:t> </w:t>
      </w:r>
      <w:r>
        <w:rPr/>
        <w:t>Riddell (2007) also definedforeign aid as comprising all kinds of resourcesranging from physicalmerchandise, skills and technicalknow-how,</w:t>
      </w:r>
      <w:r>
        <w:rPr>
          <w:spacing w:val="40"/>
        </w:rPr>
        <w:t> </w:t>
      </w:r>
      <w:r>
        <w:rPr/>
        <w:t>financial grantsincluding gifts, and loanswhich are given to recipients bydonors at concessional rates.</w:t>
      </w:r>
    </w:p>
    <w:p>
      <w:pPr>
        <w:pStyle w:val="BodyText"/>
        <w:spacing w:before="162"/>
        <w:jc w:val="both"/>
      </w:pPr>
      <w:r>
        <w:rPr/>
        <w:t>Official</w:t>
      </w:r>
      <w:r>
        <w:rPr>
          <w:spacing w:val="-8"/>
        </w:rPr>
        <w:t> </w:t>
      </w:r>
      <w:r>
        <w:rPr/>
        <w:t>development</w:t>
      </w:r>
      <w:r>
        <w:rPr>
          <w:spacing w:val="-7"/>
        </w:rPr>
        <w:t> </w:t>
      </w:r>
      <w:r>
        <w:rPr/>
        <w:t>assistance</w:t>
      </w:r>
      <w:r>
        <w:rPr>
          <w:spacing w:val="-8"/>
        </w:rPr>
        <w:t> </w:t>
      </w:r>
      <w:r>
        <w:rPr/>
        <w:t>can</w:t>
      </w:r>
      <w:r>
        <w:rPr>
          <w:spacing w:val="-7"/>
        </w:rPr>
        <w:t> </w:t>
      </w:r>
      <w:r>
        <w:rPr/>
        <w:t>come</w:t>
      </w:r>
      <w:r>
        <w:rPr>
          <w:spacing w:val="-7"/>
        </w:rPr>
        <w:t> </w:t>
      </w:r>
      <w:r>
        <w:rPr/>
        <w:t>in</w:t>
      </w:r>
      <w:r>
        <w:rPr>
          <w:spacing w:val="-7"/>
        </w:rPr>
        <w:t> </w:t>
      </w:r>
      <w:r>
        <w:rPr/>
        <w:t>the</w:t>
      </w:r>
      <w:r>
        <w:rPr>
          <w:spacing w:val="-6"/>
        </w:rPr>
        <w:t> </w:t>
      </w:r>
      <w:r>
        <w:rPr/>
        <w:t>following</w:t>
      </w:r>
      <w:r>
        <w:rPr>
          <w:spacing w:val="-7"/>
        </w:rPr>
        <w:t> </w:t>
      </w:r>
      <w:r>
        <w:rPr>
          <w:spacing w:val="-2"/>
        </w:rPr>
        <w:t>ways:</w:t>
      </w:r>
    </w:p>
    <w:p>
      <w:pPr>
        <w:pStyle w:val="BodyText"/>
        <w:spacing w:before="159"/>
        <w:ind w:left="0"/>
      </w:pPr>
    </w:p>
    <w:p>
      <w:pPr>
        <w:pStyle w:val="ListParagraph"/>
        <w:numPr>
          <w:ilvl w:val="0"/>
          <w:numId w:val="19"/>
        </w:numPr>
        <w:tabs>
          <w:tab w:pos="468" w:val="left" w:leader="none"/>
        </w:tabs>
        <w:spacing w:line="480" w:lineRule="auto" w:before="1" w:after="0"/>
        <w:ind w:left="220" w:right="734" w:firstLine="0"/>
        <w:jc w:val="both"/>
        <w:rPr>
          <w:sz w:val="25"/>
        </w:rPr>
      </w:pPr>
      <w:r>
        <w:rPr>
          <w:b/>
          <w:sz w:val="25"/>
        </w:rPr>
        <w:t>Project</w:t>
      </w:r>
      <w:r>
        <w:rPr>
          <w:b/>
          <w:spacing w:val="-4"/>
          <w:sz w:val="25"/>
        </w:rPr>
        <w:t> </w:t>
      </w:r>
      <w:r>
        <w:rPr>
          <w:b/>
          <w:sz w:val="25"/>
        </w:rPr>
        <w:t>Aid:</w:t>
      </w:r>
      <w:r>
        <w:rPr>
          <w:b/>
          <w:spacing w:val="-2"/>
          <w:sz w:val="25"/>
        </w:rPr>
        <w:t> </w:t>
      </w:r>
      <w:r>
        <w:rPr>
          <w:sz w:val="25"/>
        </w:rPr>
        <w:t>Project</w:t>
      </w:r>
      <w:r>
        <w:rPr>
          <w:spacing w:val="-4"/>
          <w:sz w:val="25"/>
        </w:rPr>
        <w:t> </w:t>
      </w:r>
      <w:r>
        <w:rPr>
          <w:sz w:val="25"/>
        </w:rPr>
        <w:t>aid</w:t>
      </w:r>
      <w:r>
        <w:rPr>
          <w:spacing w:val="-4"/>
          <w:sz w:val="25"/>
        </w:rPr>
        <w:t> </w:t>
      </w:r>
      <w:r>
        <w:rPr>
          <w:sz w:val="25"/>
        </w:rPr>
        <w:t>is</w:t>
      </w:r>
      <w:r>
        <w:rPr>
          <w:spacing w:val="-2"/>
          <w:sz w:val="25"/>
        </w:rPr>
        <w:t> </w:t>
      </w:r>
      <w:r>
        <w:rPr>
          <w:sz w:val="25"/>
        </w:rPr>
        <w:t>dominatedby</w:t>
      </w:r>
      <w:r>
        <w:rPr>
          <w:spacing w:val="-4"/>
          <w:sz w:val="25"/>
        </w:rPr>
        <w:t> </w:t>
      </w:r>
      <w:r>
        <w:rPr>
          <w:sz w:val="25"/>
        </w:rPr>
        <w:t>funds</w:t>
      </w:r>
      <w:r>
        <w:rPr>
          <w:spacing w:val="-3"/>
          <w:sz w:val="25"/>
        </w:rPr>
        <w:t> </w:t>
      </w:r>
      <w:r>
        <w:rPr>
          <w:sz w:val="25"/>
        </w:rPr>
        <w:t>channeled</w:t>
      </w:r>
      <w:r>
        <w:rPr>
          <w:spacing w:val="-4"/>
          <w:sz w:val="25"/>
        </w:rPr>
        <w:t> </w:t>
      </w:r>
      <w:r>
        <w:rPr>
          <w:sz w:val="25"/>
        </w:rPr>
        <w:t>to</w:t>
      </w:r>
      <w:r>
        <w:rPr>
          <w:spacing w:val="-4"/>
          <w:sz w:val="25"/>
        </w:rPr>
        <w:t> </w:t>
      </w:r>
      <w:r>
        <w:rPr>
          <w:sz w:val="25"/>
        </w:rPr>
        <w:t>interventions</w:t>
      </w:r>
      <w:r>
        <w:rPr>
          <w:spacing w:val="-3"/>
          <w:sz w:val="25"/>
        </w:rPr>
        <w:t> </w:t>
      </w:r>
      <w:r>
        <w:rPr>
          <w:sz w:val="25"/>
        </w:rPr>
        <w:t>insectors</w:t>
      </w:r>
      <w:r>
        <w:rPr>
          <w:spacing w:val="-3"/>
          <w:sz w:val="25"/>
        </w:rPr>
        <w:t> </w:t>
      </w:r>
      <w:r>
        <w:rPr>
          <w:sz w:val="25"/>
        </w:rPr>
        <w:t>such</w:t>
      </w:r>
      <w:r>
        <w:rPr>
          <w:spacing w:val="-4"/>
          <w:sz w:val="25"/>
        </w:rPr>
        <w:t> </w:t>
      </w:r>
      <w:r>
        <w:rPr>
          <w:sz w:val="25"/>
        </w:rPr>
        <w:t>as health, education, ruraldevelopment including agriculture, transportand power, housing, and water</w:t>
      </w:r>
      <w:r>
        <w:rPr>
          <w:spacing w:val="-2"/>
          <w:sz w:val="25"/>
        </w:rPr>
        <w:t> </w:t>
      </w:r>
      <w:r>
        <w:rPr>
          <w:sz w:val="25"/>
        </w:rPr>
        <w:t>supplyand</w:t>
      </w:r>
      <w:r>
        <w:rPr>
          <w:spacing w:val="-3"/>
          <w:sz w:val="25"/>
        </w:rPr>
        <w:t> </w:t>
      </w:r>
      <w:r>
        <w:rPr>
          <w:sz w:val="25"/>
        </w:rPr>
        <w:t>sanitation.</w:t>
      </w:r>
      <w:r>
        <w:rPr>
          <w:spacing w:val="-2"/>
          <w:sz w:val="25"/>
        </w:rPr>
        <w:t> </w:t>
      </w:r>
      <w:r>
        <w:rPr>
          <w:sz w:val="25"/>
        </w:rPr>
        <w:t>However, smallamounts</w:t>
      </w:r>
      <w:r>
        <w:rPr>
          <w:spacing w:val="-1"/>
          <w:sz w:val="25"/>
        </w:rPr>
        <w:t> </w:t>
      </w:r>
      <w:r>
        <w:rPr>
          <w:sz w:val="25"/>
        </w:rPr>
        <w:t>of</w:t>
      </w:r>
      <w:r>
        <w:rPr>
          <w:spacing w:val="-2"/>
          <w:sz w:val="25"/>
        </w:rPr>
        <w:t> </w:t>
      </w:r>
      <w:r>
        <w:rPr>
          <w:sz w:val="25"/>
        </w:rPr>
        <w:t>project</w:t>
      </w:r>
      <w:r>
        <w:rPr>
          <w:spacing w:val="-3"/>
          <w:sz w:val="25"/>
        </w:rPr>
        <w:t> </w:t>
      </w:r>
      <w:r>
        <w:rPr>
          <w:sz w:val="25"/>
        </w:rPr>
        <w:t>aid</w:t>
      </w:r>
      <w:r>
        <w:rPr>
          <w:spacing w:val="-3"/>
          <w:sz w:val="25"/>
        </w:rPr>
        <w:t> </w:t>
      </w:r>
      <w:r>
        <w:rPr>
          <w:sz w:val="25"/>
        </w:rPr>
        <w:t>arechanneled</w:t>
      </w:r>
      <w:r>
        <w:rPr>
          <w:spacing w:val="-3"/>
          <w:sz w:val="25"/>
        </w:rPr>
        <w:t> </w:t>
      </w:r>
      <w:r>
        <w:rPr>
          <w:sz w:val="25"/>
        </w:rPr>
        <w:t>to</w:t>
      </w:r>
      <w:r>
        <w:rPr>
          <w:spacing w:val="-2"/>
          <w:sz w:val="25"/>
        </w:rPr>
        <w:t> </w:t>
      </w:r>
      <w:r>
        <w:rPr>
          <w:sz w:val="25"/>
        </w:rPr>
        <w:t>industrial, mining, trade andcultural projects (Riddell, 2007) as cited in (Conchesta, 2008). Many ODA funded developmentprojects aim at achieving specificoutputs by providingresources, skills and systemswhich the recipientcountry needs.</w:t>
      </w:r>
    </w:p>
    <w:p>
      <w:pPr>
        <w:pStyle w:val="ListParagraph"/>
        <w:numPr>
          <w:ilvl w:val="0"/>
          <w:numId w:val="19"/>
        </w:numPr>
        <w:tabs>
          <w:tab w:pos="487" w:val="left" w:leader="none"/>
        </w:tabs>
        <w:spacing w:line="480" w:lineRule="auto" w:before="160" w:after="0"/>
        <w:ind w:left="220" w:right="735" w:firstLine="0"/>
        <w:jc w:val="both"/>
        <w:rPr>
          <w:sz w:val="25"/>
        </w:rPr>
      </w:pPr>
      <w:r>
        <w:rPr>
          <w:b/>
          <w:sz w:val="25"/>
        </w:rPr>
        <w:t>Programme Aid: </w:t>
      </w:r>
      <w:r>
        <w:rPr>
          <w:sz w:val="25"/>
        </w:rPr>
        <w:t>Programme aid is definedby OECD as financial contributionsnot linked to specificactivities. The programme aid isdivided into two forms, the balanceof payments (BOP) supportand the budget support. Underthe budget support, aid funds are providedto boost aggregaterevenue and increase overallspending. Aid funds channeled toministries of finance are termed asGeneral Budget Support (GBS) while thosechanneled to particular sectors</w:t>
      </w:r>
      <w:r>
        <w:rPr>
          <w:spacing w:val="9"/>
          <w:sz w:val="25"/>
        </w:rPr>
        <w:t> </w:t>
      </w:r>
      <w:r>
        <w:rPr>
          <w:sz w:val="25"/>
        </w:rPr>
        <w:t>aretermed</w:t>
      </w:r>
      <w:r>
        <w:rPr>
          <w:spacing w:val="9"/>
          <w:sz w:val="25"/>
        </w:rPr>
        <w:t> </w:t>
      </w:r>
      <w:r>
        <w:rPr>
          <w:sz w:val="25"/>
        </w:rPr>
        <w:t>as</w:t>
      </w:r>
      <w:r>
        <w:rPr>
          <w:spacing w:val="7"/>
          <w:sz w:val="25"/>
        </w:rPr>
        <w:t> </w:t>
      </w:r>
      <w:r>
        <w:rPr>
          <w:sz w:val="25"/>
        </w:rPr>
        <w:t>Sector</w:t>
      </w:r>
      <w:r>
        <w:rPr>
          <w:spacing w:val="10"/>
          <w:sz w:val="25"/>
        </w:rPr>
        <w:t> </w:t>
      </w:r>
      <w:r>
        <w:rPr>
          <w:sz w:val="25"/>
        </w:rPr>
        <w:t>BudgetSupport</w:t>
      </w:r>
      <w:r>
        <w:rPr>
          <w:spacing w:val="9"/>
          <w:sz w:val="25"/>
        </w:rPr>
        <w:t> </w:t>
      </w:r>
      <w:r>
        <w:rPr>
          <w:sz w:val="25"/>
        </w:rPr>
        <w:t>(SBS).</w:t>
      </w:r>
      <w:r>
        <w:rPr>
          <w:spacing w:val="9"/>
          <w:sz w:val="25"/>
        </w:rPr>
        <w:t> </w:t>
      </w:r>
      <w:r>
        <w:rPr>
          <w:sz w:val="25"/>
        </w:rPr>
        <w:t>Under</w:t>
      </w:r>
      <w:r>
        <w:rPr>
          <w:spacing w:val="9"/>
          <w:sz w:val="25"/>
        </w:rPr>
        <w:t> </w:t>
      </w:r>
      <w:r>
        <w:rPr>
          <w:sz w:val="25"/>
        </w:rPr>
        <w:t>the</w:t>
      </w:r>
      <w:r>
        <w:rPr>
          <w:spacing w:val="9"/>
          <w:sz w:val="25"/>
        </w:rPr>
        <w:t> </w:t>
      </w:r>
      <w:r>
        <w:rPr>
          <w:sz w:val="25"/>
        </w:rPr>
        <w:t>GBS,</w:t>
      </w:r>
      <w:r>
        <w:rPr>
          <w:spacing w:val="9"/>
          <w:sz w:val="25"/>
        </w:rPr>
        <w:t> </w:t>
      </w:r>
      <w:r>
        <w:rPr>
          <w:sz w:val="25"/>
        </w:rPr>
        <w:t>donorsprovide</w:t>
      </w:r>
      <w:r>
        <w:rPr>
          <w:spacing w:val="8"/>
          <w:sz w:val="25"/>
        </w:rPr>
        <w:t> </w:t>
      </w:r>
      <w:r>
        <w:rPr>
          <w:sz w:val="25"/>
        </w:rPr>
        <w:t>funds</w:t>
      </w:r>
      <w:r>
        <w:rPr>
          <w:spacing w:val="8"/>
          <w:sz w:val="25"/>
        </w:rPr>
        <w:t> </w:t>
      </w:r>
      <w:r>
        <w:rPr>
          <w:spacing w:val="-5"/>
          <w:sz w:val="25"/>
        </w:rPr>
        <w:t>for</w:t>
      </w:r>
    </w:p>
    <w:p>
      <w:pPr>
        <w:spacing w:after="0" w:line="480" w:lineRule="auto"/>
        <w:jc w:val="both"/>
        <w:rPr>
          <w:sz w:val="25"/>
        </w:rPr>
        <w:sectPr>
          <w:pgSz w:w="12240" w:h="15840"/>
          <w:pgMar w:header="0" w:footer="1012" w:top="1380" w:bottom="1200" w:left="1220" w:right="700"/>
        </w:sectPr>
      </w:pPr>
    </w:p>
    <w:p>
      <w:pPr>
        <w:pStyle w:val="BodyText"/>
        <w:spacing w:line="480" w:lineRule="auto" w:before="60"/>
        <w:ind w:right="738"/>
        <w:jc w:val="both"/>
      </w:pPr>
      <w:r>
        <w:rPr/>
        <w:t>implementation of developmentand poverty alleviating strategiespaying attention to the capacity of the recipientgovernments to use fundsefficiently (Chinwuba &amp; Amos, 2011).</w:t>
      </w:r>
    </w:p>
    <w:p>
      <w:pPr>
        <w:pStyle w:val="ListParagraph"/>
        <w:numPr>
          <w:ilvl w:val="0"/>
          <w:numId w:val="19"/>
        </w:numPr>
        <w:tabs>
          <w:tab w:pos="559" w:val="left" w:leader="none"/>
        </w:tabs>
        <w:spacing w:line="480" w:lineRule="auto" w:before="160" w:after="0"/>
        <w:ind w:left="220" w:right="734" w:firstLine="0"/>
        <w:jc w:val="both"/>
        <w:rPr>
          <w:sz w:val="25"/>
        </w:rPr>
      </w:pPr>
      <w:r>
        <w:rPr/>
        <mc:AlternateContent>
          <mc:Choice Requires="wps">
            <w:drawing>
              <wp:anchor distT="0" distB="0" distL="0" distR="0" allowOverlap="1" layoutInCell="1" locked="0" behindDoc="1" simplePos="0" relativeHeight="478051328">
                <wp:simplePos x="0" y="0"/>
                <wp:positionH relativeFrom="page">
                  <wp:posOffset>950112</wp:posOffset>
                </wp:positionH>
                <wp:positionV relativeFrom="paragraph">
                  <wp:posOffset>552765</wp:posOffset>
                </wp:positionV>
                <wp:extent cx="5505450" cy="5661025"/>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65152" id="docshape99"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b/>
          <w:sz w:val="25"/>
        </w:rPr>
        <w:t>Technical Assistance: </w:t>
      </w:r>
      <w:r>
        <w:rPr>
          <w:sz w:val="25"/>
        </w:rPr>
        <w:t>Technical Assistance (TA) includes theprovision of skills, knowledge know-howand advice. For many decades, technicalassistance has alsobeen provided in form ofteaching staff mainly in primaryand secondary education indeveloping countries. Furthermore, morespecialized trainers havecontinually performed skillstraining functions to meettheir needs and toachieve their immediateobjectives (Conchesta, 2008).</w:t>
      </w:r>
    </w:p>
    <w:p>
      <w:pPr>
        <w:pStyle w:val="ListParagraph"/>
        <w:numPr>
          <w:ilvl w:val="0"/>
          <w:numId w:val="19"/>
        </w:numPr>
        <w:tabs>
          <w:tab w:pos="543" w:val="left" w:leader="none"/>
        </w:tabs>
        <w:spacing w:line="480" w:lineRule="auto" w:before="162" w:after="0"/>
        <w:ind w:left="220" w:right="734" w:firstLine="0"/>
        <w:jc w:val="both"/>
        <w:rPr>
          <w:sz w:val="25"/>
        </w:rPr>
      </w:pPr>
      <w:r>
        <w:rPr>
          <w:b/>
          <w:sz w:val="25"/>
        </w:rPr>
        <w:t>Humanitarian Aid or Emergency Aid: </w:t>
      </w:r>
      <w:r>
        <w:rPr>
          <w:sz w:val="25"/>
        </w:rPr>
        <w:t>The definitionof humanitarian aid isdefined according to itspurpose, that is, ‘’to save livesalleviate suffering and enable thosesuffering to maintain (or retain) theirhuman dignity during and in theaftermath of naturaldisasters and man-madecrisis’’. Humanitarian aid has beensuccessful in most cases inachieving its</w:t>
      </w:r>
      <w:r>
        <w:rPr>
          <w:spacing w:val="80"/>
          <w:sz w:val="25"/>
        </w:rPr>
        <w:t> </w:t>
      </w:r>
      <w:r>
        <w:rPr>
          <w:sz w:val="25"/>
        </w:rPr>
        <w:t>tangible</w:t>
      </w:r>
      <w:r>
        <w:rPr>
          <w:spacing w:val="-4"/>
          <w:sz w:val="25"/>
        </w:rPr>
        <w:t> </w:t>
      </w:r>
      <w:r>
        <w:rPr>
          <w:sz w:val="25"/>
        </w:rPr>
        <w:t>outcomessuch</w:t>
      </w:r>
      <w:r>
        <w:rPr>
          <w:spacing w:val="-1"/>
          <w:sz w:val="25"/>
        </w:rPr>
        <w:t> </w:t>
      </w:r>
      <w:r>
        <w:rPr>
          <w:sz w:val="25"/>
        </w:rPr>
        <w:t>as</w:t>
      </w:r>
      <w:r>
        <w:rPr>
          <w:spacing w:val="-3"/>
          <w:sz w:val="25"/>
        </w:rPr>
        <w:t> </w:t>
      </w:r>
      <w:r>
        <w:rPr>
          <w:sz w:val="25"/>
        </w:rPr>
        <w:t>saving</w:t>
      </w:r>
      <w:r>
        <w:rPr>
          <w:spacing w:val="-4"/>
          <w:sz w:val="25"/>
        </w:rPr>
        <w:t> </w:t>
      </w:r>
      <w:r>
        <w:rPr>
          <w:sz w:val="25"/>
        </w:rPr>
        <w:t>lives,</w:t>
      </w:r>
      <w:r>
        <w:rPr>
          <w:spacing w:val="-4"/>
          <w:sz w:val="25"/>
        </w:rPr>
        <w:t> </w:t>
      </w:r>
      <w:r>
        <w:rPr>
          <w:sz w:val="25"/>
        </w:rPr>
        <w:t>providing</w:t>
      </w:r>
      <w:r>
        <w:rPr>
          <w:spacing w:val="-4"/>
          <w:sz w:val="25"/>
        </w:rPr>
        <w:t> </w:t>
      </w:r>
      <w:r>
        <w:rPr>
          <w:sz w:val="25"/>
        </w:rPr>
        <w:t>foodto</w:t>
      </w:r>
      <w:r>
        <w:rPr>
          <w:spacing w:val="-4"/>
          <w:sz w:val="25"/>
        </w:rPr>
        <w:t> </w:t>
      </w:r>
      <w:r>
        <w:rPr>
          <w:sz w:val="25"/>
        </w:rPr>
        <w:t>the</w:t>
      </w:r>
      <w:r>
        <w:rPr>
          <w:spacing w:val="-1"/>
          <w:sz w:val="25"/>
        </w:rPr>
        <w:t> </w:t>
      </w:r>
      <w:r>
        <w:rPr>
          <w:sz w:val="25"/>
        </w:rPr>
        <w:t>hungry;</w:t>
      </w:r>
      <w:r>
        <w:rPr>
          <w:spacing w:val="-4"/>
          <w:sz w:val="25"/>
        </w:rPr>
        <w:t> </w:t>
      </w:r>
      <w:r>
        <w:rPr>
          <w:sz w:val="25"/>
        </w:rPr>
        <w:t>healthcareand</w:t>
      </w:r>
      <w:r>
        <w:rPr>
          <w:spacing w:val="-4"/>
          <w:sz w:val="25"/>
        </w:rPr>
        <w:t> </w:t>
      </w:r>
      <w:r>
        <w:rPr>
          <w:sz w:val="25"/>
        </w:rPr>
        <w:t>medicines to those vulnerable toacute disease in emergenciesand water, sanitation andshelter to those whose homeshave been destroyed. However, thesustained internal conflicts in warrone areas reduce resourcesto meet developmentobjectives as moreresources aredirected to meet humanitarianneeds (Girma, 2015).</w:t>
      </w:r>
    </w:p>
    <w:p>
      <w:pPr>
        <w:pStyle w:val="ListParagraph"/>
        <w:numPr>
          <w:ilvl w:val="0"/>
          <w:numId w:val="19"/>
        </w:numPr>
        <w:tabs>
          <w:tab w:pos="562" w:val="left" w:leader="none"/>
        </w:tabs>
        <w:spacing w:line="240" w:lineRule="auto" w:before="158" w:after="0"/>
        <w:ind w:left="562" w:right="0" w:hanging="342"/>
        <w:jc w:val="both"/>
        <w:rPr>
          <w:sz w:val="25"/>
        </w:rPr>
      </w:pPr>
      <w:r>
        <w:rPr>
          <w:b/>
          <w:sz w:val="25"/>
        </w:rPr>
        <w:t>Food</w:t>
      </w:r>
      <w:r>
        <w:rPr>
          <w:b/>
          <w:spacing w:val="68"/>
          <w:w w:val="150"/>
          <w:sz w:val="25"/>
        </w:rPr>
        <w:t> </w:t>
      </w:r>
      <w:r>
        <w:rPr>
          <w:b/>
          <w:sz w:val="25"/>
        </w:rPr>
        <w:t>Aid:</w:t>
      </w:r>
      <w:r>
        <w:rPr>
          <w:b/>
          <w:spacing w:val="71"/>
          <w:w w:val="150"/>
          <w:sz w:val="25"/>
        </w:rPr>
        <w:t> </w:t>
      </w:r>
      <w:r>
        <w:rPr>
          <w:sz w:val="25"/>
        </w:rPr>
        <w:t>Food</w:t>
      </w:r>
      <w:r>
        <w:rPr>
          <w:spacing w:val="72"/>
          <w:w w:val="150"/>
          <w:sz w:val="25"/>
        </w:rPr>
        <w:t> </w:t>
      </w:r>
      <w:r>
        <w:rPr>
          <w:sz w:val="25"/>
        </w:rPr>
        <w:t>aidcomprises</w:t>
      </w:r>
      <w:r>
        <w:rPr>
          <w:spacing w:val="69"/>
          <w:w w:val="150"/>
          <w:sz w:val="25"/>
        </w:rPr>
        <w:t> </w:t>
      </w:r>
      <w:r>
        <w:rPr>
          <w:sz w:val="25"/>
        </w:rPr>
        <w:t>of</w:t>
      </w:r>
      <w:r>
        <w:rPr>
          <w:spacing w:val="69"/>
          <w:w w:val="150"/>
          <w:sz w:val="25"/>
        </w:rPr>
        <w:t> </w:t>
      </w:r>
      <w:r>
        <w:rPr>
          <w:sz w:val="25"/>
        </w:rPr>
        <w:t>programmefood</w:t>
      </w:r>
      <w:r>
        <w:rPr>
          <w:spacing w:val="69"/>
          <w:w w:val="150"/>
          <w:sz w:val="25"/>
        </w:rPr>
        <w:t> </w:t>
      </w:r>
      <w:r>
        <w:rPr>
          <w:sz w:val="25"/>
        </w:rPr>
        <w:t>aid</w:t>
      </w:r>
      <w:r>
        <w:rPr>
          <w:spacing w:val="68"/>
          <w:w w:val="150"/>
          <w:sz w:val="25"/>
        </w:rPr>
        <w:t> </w:t>
      </w:r>
      <w:r>
        <w:rPr>
          <w:sz w:val="25"/>
        </w:rPr>
        <w:t>and</w:t>
      </w:r>
      <w:r>
        <w:rPr>
          <w:spacing w:val="69"/>
          <w:w w:val="150"/>
          <w:sz w:val="25"/>
        </w:rPr>
        <w:t> </w:t>
      </w:r>
      <w:r>
        <w:rPr>
          <w:sz w:val="25"/>
        </w:rPr>
        <w:t>humanitarianfood</w:t>
      </w:r>
      <w:r>
        <w:rPr>
          <w:spacing w:val="69"/>
          <w:w w:val="150"/>
          <w:sz w:val="25"/>
        </w:rPr>
        <w:t> </w:t>
      </w:r>
      <w:r>
        <w:rPr>
          <w:spacing w:val="-4"/>
          <w:sz w:val="25"/>
        </w:rPr>
        <w:t>aid.</w:t>
      </w:r>
    </w:p>
    <w:p>
      <w:pPr>
        <w:pStyle w:val="BodyText"/>
        <w:spacing w:before="2"/>
        <w:ind w:left="0"/>
      </w:pPr>
    </w:p>
    <w:p>
      <w:pPr>
        <w:pStyle w:val="BodyText"/>
        <w:spacing w:line="480" w:lineRule="auto"/>
        <w:ind w:right="734"/>
        <w:jc w:val="both"/>
      </w:pPr>
      <w:r>
        <w:rPr/>
        <w:t>Programme foodaid may relieve the foreignexchange constraint to importnecessary intermediateinputs</w:t>
      </w:r>
      <w:r>
        <w:rPr>
          <w:spacing w:val="-2"/>
        </w:rPr>
        <w:t> </w:t>
      </w:r>
      <w:r>
        <w:rPr/>
        <w:t>or</w:t>
      </w:r>
      <w:r>
        <w:rPr>
          <w:spacing w:val="-2"/>
        </w:rPr>
        <w:t> </w:t>
      </w:r>
      <w:r>
        <w:rPr/>
        <w:t>by</w:t>
      </w:r>
      <w:r>
        <w:rPr>
          <w:spacing w:val="-2"/>
        </w:rPr>
        <w:t> </w:t>
      </w:r>
      <w:r>
        <w:rPr/>
        <w:t>providingfiscal</w:t>
      </w:r>
      <w:r>
        <w:rPr>
          <w:spacing w:val="-2"/>
        </w:rPr>
        <w:t> </w:t>
      </w:r>
      <w:r>
        <w:rPr/>
        <w:t>resources</w:t>
      </w:r>
      <w:r>
        <w:rPr>
          <w:spacing w:val="-2"/>
        </w:rPr>
        <w:t> </w:t>
      </w:r>
      <w:r>
        <w:rPr/>
        <w:t>throughcounterpart</w:t>
      </w:r>
      <w:r>
        <w:rPr>
          <w:spacing w:val="-2"/>
        </w:rPr>
        <w:t> </w:t>
      </w:r>
      <w:r>
        <w:rPr/>
        <w:t>funds generated</w:t>
      </w:r>
      <w:r>
        <w:rPr>
          <w:spacing w:val="-3"/>
        </w:rPr>
        <w:t> </w:t>
      </w:r>
      <w:r>
        <w:rPr/>
        <w:t>by</w:t>
      </w:r>
      <w:r>
        <w:rPr>
          <w:spacing w:val="-2"/>
        </w:rPr>
        <w:t> </w:t>
      </w:r>
      <w:r>
        <w:rPr/>
        <w:t>the local sale ofprogramme food aid (Bashir, 2013). Theseresources can be used by therecipient country</w:t>
      </w:r>
      <w:r>
        <w:rPr>
          <w:spacing w:val="-2"/>
        </w:rPr>
        <w:t> </w:t>
      </w:r>
      <w:r>
        <w:rPr/>
        <w:t>to</w:t>
      </w:r>
      <w:r>
        <w:rPr>
          <w:spacing w:val="-2"/>
        </w:rPr>
        <w:t> </w:t>
      </w:r>
      <w:r>
        <w:rPr/>
        <w:t>investin</w:t>
      </w:r>
      <w:r>
        <w:rPr>
          <w:spacing w:val="-2"/>
        </w:rPr>
        <w:t> </w:t>
      </w:r>
      <w:r>
        <w:rPr/>
        <w:t>agricultural</w:t>
      </w:r>
      <w:r>
        <w:rPr>
          <w:spacing w:val="-3"/>
        </w:rPr>
        <w:t> </w:t>
      </w:r>
      <w:r>
        <w:rPr/>
        <w:t>researchand extension</w:t>
      </w:r>
      <w:r>
        <w:rPr>
          <w:spacing w:val="-2"/>
        </w:rPr>
        <w:t> </w:t>
      </w:r>
      <w:r>
        <w:rPr/>
        <w:t>and</w:t>
      </w:r>
      <w:r>
        <w:rPr>
          <w:spacing w:val="-3"/>
        </w:rPr>
        <w:t> </w:t>
      </w:r>
      <w:r>
        <w:rPr/>
        <w:t>improvementof</w:t>
      </w:r>
      <w:r>
        <w:rPr>
          <w:spacing w:val="-2"/>
        </w:rPr>
        <w:t> </w:t>
      </w:r>
      <w:r>
        <w:rPr/>
        <w:t>rural</w:t>
      </w:r>
      <w:r>
        <w:rPr>
          <w:spacing w:val="-3"/>
        </w:rPr>
        <w:t> </w:t>
      </w:r>
      <w:r>
        <w:rPr/>
        <w:t>infrastructure in</w:t>
      </w:r>
      <w:r>
        <w:rPr>
          <w:spacing w:val="-3"/>
        </w:rPr>
        <w:t> </w:t>
      </w:r>
      <w:r>
        <w:rPr/>
        <w:t>particular.</w:t>
      </w:r>
      <w:r>
        <w:rPr>
          <w:spacing w:val="-3"/>
        </w:rPr>
        <w:t> </w:t>
      </w:r>
      <w:r>
        <w:rPr/>
        <w:t>However, programmefood</w:t>
      </w:r>
      <w:r>
        <w:rPr>
          <w:spacing w:val="-3"/>
        </w:rPr>
        <w:t> </w:t>
      </w:r>
      <w:r>
        <w:rPr/>
        <w:t>aid</w:t>
      </w:r>
      <w:r>
        <w:rPr>
          <w:spacing w:val="-2"/>
        </w:rPr>
        <w:t> </w:t>
      </w:r>
      <w:r>
        <w:rPr/>
        <w:t>may</w:t>
      </w:r>
      <w:r>
        <w:rPr>
          <w:spacing w:val="-3"/>
        </w:rPr>
        <w:t> </w:t>
      </w:r>
      <w:r>
        <w:rPr/>
        <w:t>have</w:t>
      </w:r>
      <w:r>
        <w:rPr>
          <w:spacing w:val="-4"/>
        </w:rPr>
        <w:t> </w:t>
      </w:r>
      <w:r>
        <w:rPr/>
        <w:t>Dutch</w:t>
      </w:r>
      <w:r>
        <w:rPr>
          <w:spacing w:val="-3"/>
        </w:rPr>
        <w:t> </w:t>
      </w:r>
      <w:r>
        <w:rPr/>
        <w:t>diseaseeffects</w:t>
      </w:r>
      <w:r>
        <w:rPr>
          <w:spacing w:val="-1"/>
        </w:rPr>
        <w:t> </w:t>
      </w:r>
      <w:r>
        <w:rPr/>
        <w:t>on</w:t>
      </w:r>
      <w:r>
        <w:rPr>
          <w:spacing w:val="-1"/>
        </w:rPr>
        <w:t> </w:t>
      </w:r>
      <w:r>
        <w:rPr/>
        <w:t>domestic</w:t>
      </w:r>
      <w:r>
        <w:rPr>
          <w:spacing w:val="-3"/>
        </w:rPr>
        <w:t> </w:t>
      </w:r>
      <w:r>
        <w:rPr>
          <w:spacing w:val="-4"/>
        </w:rPr>
        <w:t>food</w:t>
      </w:r>
    </w:p>
    <w:p>
      <w:pPr>
        <w:spacing w:after="0" w:line="480" w:lineRule="auto"/>
        <w:jc w:val="both"/>
        <w:sectPr>
          <w:pgSz w:w="12240" w:h="15840"/>
          <w:pgMar w:header="0" w:footer="1012" w:top="1380" w:bottom="1200" w:left="1220" w:right="700"/>
        </w:sectPr>
      </w:pPr>
    </w:p>
    <w:p>
      <w:pPr>
        <w:pStyle w:val="BodyText"/>
        <w:spacing w:line="480" w:lineRule="auto" w:before="60"/>
        <w:ind w:right="736"/>
        <w:jc w:val="both"/>
      </w:pPr>
      <w:r>
        <w:rPr/>
        <w:t>producers andthus hurting the foodsector’s competitiveness in theworld markets (Girma, </w:t>
      </w:r>
      <w:r>
        <w:rPr>
          <w:spacing w:val="-2"/>
        </w:rPr>
        <w:t>2015).</w:t>
      </w:r>
    </w:p>
    <w:p>
      <w:pPr>
        <w:pStyle w:val="Heading2"/>
        <w:numPr>
          <w:ilvl w:val="2"/>
          <w:numId w:val="16"/>
        </w:numPr>
        <w:tabs>
          <w:tab w:pos="905" w:val="left" w:leader="none"/>
        </w:tabs>
        <w:spacing w:line="240" w:lineRule="auto" w:before="160" w:after="0"/>
        <w:ind w:left="905" w:right="0" w:hanging="685"/>
        <w:jc w:val="left"/>
      </w:pPr>
      <w:bookmarkStart w:name="_TOC_250047" w:id="28"/>
      <w:r>
        <w:rPr/>
        <w:t>Financial</w:t>
      </w:r>
      <w:r>
        <w:rPr>
          <w:spacing w:val="-13"/>
        </w:rPr>
        <w:t> </w:t>
      </w:r>
      <w:bookmarkEnd w:id="28"/>
      <w:r>
        <w:rPr>
          <w:spacing w:val="-2"/>
        </w:rPr>
        <w:t>Deepening</w:t>
      </w:r>
    </w:p>
    <w:p>
      <w:pPr>
        <w:pStyle w:val="BodyText"/>
        <w:spacing w:before="159"/>
        <w:ind w:left="0"/>
        <w:rPr>
          <w:b/>
        </w:rPr>
      </w:pPr>
    </w:p>
    <w:p>
      <w:pPr>
        <w:pStyle w:val="BodyText"/>
        <w:spacing w:line="480" w:lineRule="auto"/>
        <w:ind w:right="732"/>
        <w:jc w:val="both"/>
      </w:pPr>
      <w:r>
        <w:rPr/>
        <mc:AlternateContent>
          <mc:Choice Requires="wps">
            <w:drawing>
              <wp:anchor distT="0" distB="0" distL="0" distR="0" allowOverlap="1" layoutInCell="1" locked="0" behindDoc="1" simplePos="0" relativeHeight="478051840">
                <wp:simplePos x="0" y="0"/>
                <wp:positionH relativeFrom="page">
                  <wp:posOffset>950112</wp:posOffset>
                </wp:positionH>
                <wp:positionV relativeFrom="paragraph">
                  <wp:posOffset>-14893</wp:posOffset>
                </wp:positionV>
                <wp:extent cx="5505450" cy="5661025"/>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172705pt;width:433.5pt;height:445.75pt;mso-position-horizontal-relative:page;mso-position-vertical-relative:paragraph;z-index:-25264640" id="docshape100" coordorigin="1496,-23" coordsize="8670,8915" path="m2562,8696l1691,7825,1496,8020,2367,8891,2562,8696xm3154,8020l3153,7981,3148,7938,3139,7894,3125,7850,3106,7807,3083,7763,3055,7721,3025,7680,2991,7640,2954,7601,2435,7081,2241,7276,2772,7807,2805,7843,2829,7879,2846,7913,2856,7948,2858,7980,2851,8011,2837,8039,2816,8066,2790,8087,2761,8101,2730,8107,2697,8105,2663,8095,2628,8079,2593,8054,2557,8023,2026,7491,1831,7685,2351,8204,2385,8237,2424,8269,2468,8301,2516,8334,2548,8353,2583,8368,2620,8382,2658,8392,2697,8400,2733,8404,2767,8404,2800,8401,2831,8394,2863,8382,2895,8366,2926,8345,2957,8322,2985,8299,3011,8276,3035,8254,3071,8213,3102,8173,3125,8131,3142,8089,3150,8056,3154,8020xm3882,7237l3876,7173,3860,7107,3834,7041,3806,6986,3771,6930,3728,6873,3678,6814,3661,6795,3621,6753,3597,6731,3597,7225,3592,7265,3577,7302,3551,7335,3518,7360,3481,7375,3441,7380,3396,7374,3347,7355,3294,7324,3235,7279,3171,7220,3112,7156,3066,7097,3035,7042,3016,6993,3010,6949,3014,6909,3029,6873,3053,6841,3086,6815,3122,6800,3163,6795,3207,6800,3255,6817,3307,6847,3363,6889,3423,6944,3488,7014,3538,7077,3572,7133,3591,7181,3597,7225,3597,6731,3551,6688,3482,6633,3413,6588,3344,6553,3276,6527,3209,6511,3130,6505,3055,6515,2983,6541,2914,6581,2850,6637,2796,6700,2756,6768,2732,6840,2723,6915,2729,6995,2746,7063,2772,7132,2808,7202,2854,7272,2910,7342,2976,7413,3036,7470,3096,7520,3156,7562,3215,7597,3273,7624,3344,7648,3411,7662,3475,7665,3535,7659,3593,7643,3649,7616,3705,7578,3758,7530,3805,7476,3841,7420,3858,7380,3866,7361,3879,7300,3882,7237xm4153,6657l3966,6470,3712,6725,3899,6912,4153,6657xm4664,6595l3793,5724,3598,5919,4469,6790,4664,6595xm4998,6261l4675,5937,4781,5831,4832,5771,4837,5761,4866,5709,4883,5646,4882,5581,4866,5516,4843,5465,4836,5450,4792,5384,4733,5318,4670,5261,4607,5218,4598,5213,4598,5607,4597,5632,4587,5658,4570,5685,4546,5713,4498,5761,4304,5566,4359,5511,4386,5488,4412,5472,4438,5465,4462,5465,4486,5472,4509,5482,4531,5496,4552,5515,4570,5536,4584,5559,4593,5582,4598,5607,4598,5213,4544,5188,4483,5172,4423,5171,4365,5186,4309,5216,4255,5261,3931,5585,4803,6456,4998,6261xm5788,5471l5132,4815,5330,4616,5115,4401,4524,4993,4739,5208,4937,5009,5593,5665,5788,5471xm6423,4835l5767,4179,5966,3981,5751,3766,5159,4357,5374,4572,5573,4374,6229,5030,6423,4835xm7157,3962l7151,3898,7135,3832,7109,3766,7081,3711,7046,3655,7003,3598,6953,3539,6935,3520,6896,3479,6872,3456,6872,3950,6867,3990,6851,4027,6825,4060,6793,4086,6756,4101,6716,4105,6671,4099,6622,4080,6569,4049,6510,4004,6446,3945,6387,3881,6341,3822,6309,3767,6291,3718,6285,3674,6289,3634,6304,3598,6328,3566,6361,3541,6397,3525,6438,3520,6482,3525,6530,3543,6582,3572,6638,3615,6698,3670,6763,3739,6813,3802,6847,3858,6866,3907,6872,3950,6872,3456,6826,3413,6756,3358,6687,3313,6619,3278,6551,3252,6483,3236,6405,3231,6329,3241,6258,3266,6189,3306,6125,3362,6071,3425,6031,3493,6007,3565,5998,3640,6004,3720,6021,3788,6047,3857,6083,3927,6129,3997,6184,4067,6250,4138,6311,4195,6371,4245,6431,4287,6490,4322,6548,4349,6619,4373,6686,4387,6750,4391,6810,4384,6868,4368,6924,4341,6979,4303,7033,4255,7080,4201,7116,4145,7133,4105,7141,4086,7154,4025,7157,3962xm8170,2967l8165,2918,8153,2867,8134,2815,8109,2760,8079,2704,8041,2647,7980,2672,7799,2746,7831,2793,7855,2836,7873,2876,7884,2914,7887,2949,7881,2982,7866,3013,7843,3042,7812,3066,7778,3080,7740,3084,7700,3078,7653,3059,7600,3025,7538,2976,7469,2911,7417,2855,7375,2803,7344,2755,7324,2712,7311,2661,7312,2614,7325,2573,7352,2537,7367,2524,7384,2514,7402,2506,7422,2501,7442,2499,7464,2500,7486,2503,7509,2509,7524,2515,7542,2523,7563,2534,7586,2548,7705,2323,7622,2277,7543,2245,7469,2226,7400,2220,7333,2228,7269,2250,7206,2288,7146,2341,7092,2403,7054,2470,7030,2540,7021,2614,7027,2692,7044,2759,7070,2826,7106,2895,7153,2965,7209,3036,7276,3108,7341,3168,7404,3220,7467,3264,7529,3299,7590,3327,7662,3350,7730,3363,7791,3366,7847,3359,7900,3342,7952,3316,8004,3279,8056,3233,8094,3190,8125,3147,8147,3103,8161,3059,8169,3014,8170,2967xm8868,2251l8861,2187,8846,2122,8820,2055,8792,2000,8757,1944,8714,1887,8664,1828,8646,1809,8607,1768,8583,1745,8583,2239,8578,2279,8562,2316,8536,2349,8504,2375,8467,2390,8427,2394,8382,2388,8333,2370,8279,2338,8221,2293,8157,2234,8098,2170,8052,2111,8020,2057,8002,2008,7996,1963,8000,1923,8014,1887,8039,1855,8071,1830,8108,1814,8149,1809,8193,1814,8241,1832,8293,1861,8349,1904,8409,1959,8474,2028,8524,2091,8558,2147,8577,2196,8583,2239,8583,1745,8537,1702,8467,1647,8398,1602,8330,1567,8262,1541,8194,1525,8116,1520,8040,1530,7968,1555,7900,1596,7835,1651,7781,1715,7742,1782,7718,1854,7709,1930,7715,2009,7731,2078,7758,2147,7794,2216,7839,2286,7895,2357,7961,2427,8022,2485,8082,2534,8142,2576,8201,2611,8259,2638,8329,2663,8397,2676,8461,2680,8521,2673,8579,2657,8635,2630,8690,2592,8744,2544,8791,2490,8827,2434,8844,2394,8852,2375,8865,2314,8868,2251xm9348,1910l9025,1587,9132,1480,9182,1420,9188,1411,9216,1359,9233,1296,9233,1231,9217,1165,9194,1114,9187,1099,9142,1034,9084,968,9020,910,8957,867,8948,863,8948,1256,8947,1282,8938,1308,8921,1335,8896,1363,8849,1411,8654,1216,8710,1161,8737,1137,8763,1122,8788,1114,8812,1115,8836,1121,8859,1132,8881,1146,8902,1165,8920,1186,8934,1209,8943,1232,8948,1256,8948,863,8895,838,8833,822,8773,821,8715,836,8659,866,8605,911,8282,1235,9153,2106,9348,1910xm10166,1093l9801,728,9748,578,9593,127,9540,-23,9325,192,9353,262,9436,473,9492,613,9422,585,9211,502,9071,446,8854,662,9005,715,9456,870,9606,923,9971,1288,10166,1093xe" filled="true" fillcolor="#c0c0c0" stroked="false">
                <v:path arrowok="t"/>
                <v:fill opacity="32896f" type="solid"/>
                <w10:wrap type="none"/>
              </v:shape>
            </w:pict>
          </mc:Fallback>
        </mc:AlternateContent>
      </w:r>
      <w:r>
        <w:rPr/>
        <w:t>Financial deepening involves acombination of several activitiesand institutions. Olukorede (2013) notes that indeveloping economies, the term isassociated with increases in theactivity of financial intermediaries,like commercial banksand savings institutions. Indeveloped economies, financialintermediation is often dominatedby direct placement or capitalmarkets. But for developed countries, financial intermediation is measuredby the proportion of national wealth held through financialintermediaries. Put differently, this is measuredby the ratio</w:t>
      </w:r>
      <w:r>
        <w:rPr>
          <w:spacing w:val="-1"/>
        </w:rPr>
        <w:t> </w:t>
      </w:r>
      <w:r>
        <w:rPr/>
        <w:t>of</w:t>
      </w:r>
      <w:r>
        <w:rPr>
          <w:spacing w:val="-1"/>
        </w:rPr>
        <w:t> </w:t>
      </w:r>
      <w:r>
        <w:rPr/>
        <w:t>the</w:t>
      </w:r>
      <w:r>
        <w:rPr>
          <w:spacing w:val="-2"/>
        </w:rPr>
        <w:t> </w:t>
      </w:r>
      <w:r>
        <w:rPr/>
        <w:t>consolidatedassets</w:t>
      </w:r>
      <w:r>
        <w:rPr>
          <w:spacing w:val="-1"/>
        </w:rPr>
        <w:t> </w:t>
      </w:r>
      <w:r>
        <w:rPr/>
        <w:t>of</w:t>
      </w:r>
      <w:r>
        <w:rPr>
          <w:spacing w:val="-1"/>
        </w:rPr>
        <w:t> </w:t>
      </w:r>
      <w:r>
        <w:rPr/>
        <w:t>each</w:t>
      </w:r>
      <w:r>
        <w:rPr>
          <w:spacing w:val="-2"/>
        </w:rPr>
        <w:t> </w:t>
      </w:r>
      <w:r>
        <w:rPr/>
        <w:t>nation's financial</w:t>
      </w:r>
      <w:r>
        <w:rPr>
          <w:spacing w:val="-1"/>
        </w:rPr>
        <w:t> </w:t>
      </w:r>
      <w:r>
        <w:rPr/>
        <w:t>intermediariesto national</w:t>
      </w:r>
      <w:r>
        <w:rPr>
          <w:spacing w:val="-2"/>
        </w:rPr>
        <w:t> </w:t>
      </w:r>
      <w:r>
        <w:rPr/>
        <w:t>output.</w:t>
      </w:r>
      <w:r>
        <w:rPr>
          <w:spacing w:val="-1"/>
        </w:rPr>
        <w:t> </w:t>
      </w:r>
      <w:r>
        <w:rPr/>
        <w:t>The concept of financialdevelopment has a far reachingimplication as it is not onlybeneficial at the time of itsintroduction but continue tomodify the way things aredone afterwards. That is both the institutionand structures and processof financial market activities areaffected in a positive way bythis introduction. It then followsthat there would bedeliberate regulatory framework giventhat financial deepening isdynamic. Put differently, banking supervisionhas to beconsidered as the new face offinancial development (Demetriades&amp; Rousseau, 2011).</w:t>
      </w:r>
    </w:p>
    <w:p>
      <w:pPr>
        <w:pStyle w:val="BodyText"/>
        <w:spacing w:line="480" w:lineRule="auto" w:before="161"/>
        <w:ind w:right="734"/>
        <w:jc w:val="both"/>
      </w:pPr>
      <w:r>
        <w:rPr/>
        <w:t>Ideas and concepts surroundingfinancial deepening can betraced to the works ofKeynes. In the Keynesiantheory, financial deepeningoccurs due to an expansionin government expenditure. Keynesopined that in order to reachfull employment, the governmentshould inject moneyinto the economy byincreasing governmentexpenditure. It follows that increase in governmentexpenditure increases aggregatedemand and income, thereby raisingdemand for</w:t>
      </w:r>
      <w:r>
        <w:rPr>
          <w:spacing w:val="74"/>
        </w:rPr>
        <w:t> </w:t>
      </w:r>
      <w:r>
        <w:rPr/>
        <w:t>money.</w:t>
      </w:r>
      <w:r>
        <w:rPr>
          <w:spacing w:val="75"/>
        </w:rPr>
        <w:t> </w:t>
      </w:r>
      <w:r>
        <w:rPr/>
        <w:t>Disequilibriumsituation</w:t>
      </w:r>
      <w:r>
        <w:rPr>
          <w:spacing w:val="75"/>
        </w:rPr>
        <w:t> </w:t>
      </w:r>
      <w:r>
        <w:rPr/>
        <w:t>is</w:t>
      </w:r>
      <w:r>
        <w:rPr>
          <w:spacing w:val="76"/>
        </w:rPr>
        <w:t> </w:t>
      </w:r>
      <w:r>
        <w:rPr/>
        <w:t>usually</w:t>
      </w:r>
      <w:r>
        <w:rPr>
          <w:spacing w:val="74"/>
        </w:rPr>
        <w:t> </w:t>
      </w:r>
      <w:r>
        <w:rPr/>
        <w:t>the</w:t>
      </w:r>
      <w:r>
        <w:rPr>
          <w:spacing w:val="74"/>
        </w:rPr>
        <w:t> </w:t>
      </w:r>
      <w:r>
        <w:rPr/>
        <w:t>result</w:t>
      </w:r>
      <w:r>
        <w:rPr>
          <w:spacing w:val="75"/>
        </w:rPr>
        <w:t> </w:t>
      </w:r>
      <w:r>
        <w:rPr/>
        <w:t>when</w:t>
      </w:r>
      <w:r>
        <w:rPr>
          <w:spacing w:val="74"/>
        </w:rPr>
        <w:t> </w:t>
      </w:r>
      <w:r>
        <w:rPr/>
        <w:t>thishappens</w:t>
      </w:r>
      <w:r>
        <w:rPr>
          <w:spacing w:val="75"/>
        </w:rPr>
        <w:t> </w:t>
      </w:r>
      <w:r>
        <w:rPr/>
        <w:t>and</w:t>
      </w:r>
      <w:r>
        <w:rPr>
          <w:spacing w:val="74"/>
        </w:rPr>
        <w:t> </w:t>
      </w:r>
      <w:r>
        <w:rPr/>
        <w:t>this</w:t>
      </w:r>
      <w:r>
        <w:rPr>
          <w:spacing w:val="75"/>
        </w:rPr>
        <w:t> </w:t>
      </w:r>
      <w:r>
        <w:rPr>
          <w:spacing w:val="-5"/>
        </w:rPr>
        <w:t>is</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52352">
                <wp:simplePos x="0" y="0"/>
                <wp:positionH relativeFrom="page">
                  <wp:posOffset>950112</wp:posOffset>
                </wp:positionH>
                <wp:positionV relativeFrom="paragraph">
                  <wp:posOffset>1321053</wp:posOffset>
                </wp:positionV>
                <wp:extent cx="5505450" cy="566102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64128" id="docshape101"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resolved by reducingprivate investments resultingfrom higher interest rates. Sincehigher interest rates lowerprivate investment, anincrease in government expenditurepromotes investments and reducesprivate investmentsconcurrently. But McKinnon (1973) and Shaw (1973) disagree with thistheory and came up with arival hypothesis that depicts apositive relationship betweeninterest rate and financialdeepening. They opined thatdeveloping countries have repressedeconomies with ceilings oninterest rates and limitations incredit availability whichimpose restrictions ongrowth (Hemachandra, 2003).</w:t>
      </w:r>
    </w:p>
    <w:p>
      <w:pPr>
        <w:pStyle w:val="BodyText"/>
        <w:spacing w:line="480" w:lineRule="auto" w:before="161"/>
        <w:ind w:right="734"/>
        <w:jc w:val="both"/>
      </w:pPr>
      <w:r>
        <w:rPr/>
        <w:t>The relationship between financialdeepening and economicgrowth can be expressed inthree differentways. They are: supply leadinghypothesis, demand followinghypothesis and bi- directionalcausality. According to them, supply leadinghypothesis supports a positiveimpact of financial deepeningon economic growth. It then implies thatfinancial deepening impacts on the level ofdevelopment in everyeconomy. They explained thatdemand following hypothesis states thatfinance actually responds tochanges that happen in thereal sector. Put differently, variations in thestock of financial assetswould be a function ofgrowth in the real sector of theeconomy. Bi-directional causality hypothesis, accordingto them is somewhere between thesetwo in that it claims mutualimpact of finance andgrowth (Karahan &amp; Yilgor, </w:t>
      </w:r>
      <w:r>
        <w:rPr>
          <w:spacing w:val="-2"/>
        </w:rPr>
        <w:t>2011).</w:t>
      </w:r>
    </w:p>
    <w:p>
      <w:pPr>
        <w:pStyle w:val="BodyText"/>
        <w:spacing w:line="480" w:lineRule="auto" w:before="160"/>
        <w:ind w:right="735"/>
        <w:jc w:val="both"/>
      </w:pPr>
      <w:r>
        <w:rPr/>
        <w:t>There are three stages offinancial deepening. At first stageor region one, according to them, the economy isunderdeveloped andvirtually every transaction isdone with cash asthere is little or no trustamong theplayers. More so, the supplyof private paper is smalland agents’ savings demandcan be satisfied only throughthe use of outside moneygreen paper, which has zero</w:t>
      </w:r>
      <w:r>
        <w:rPr>
          <w:spacing w:val="31"/>
        </w:rPr>
        <w:t> </w:t>
      </w:r>
      <w:r>
        <w:rPr/>
        <w:t>net</w:t>
      </w:r>
      <w:r>
        <w:rPr>
          <w:spacing w:val="32"/>
        </w:rPr>
        <w:t> </w:t>
      </w:r>
      <w:r>
        <w:rPr/>
        <w:t>return.</w:t>
      </w:r>
      <w:r>
        <w:rPr>
          <w:spacing w:val="32"/>
        </w:rPr>
        <w:t> </w:t>
      </w:r>
      <w:r>
        <w:rPr/>
        <w:t>At</w:t>
      </w:r>
      <w:r>
        <w:rPr>
          <w:spacing w:val="32"/>
        </w:rPr>
        <w:t> </w:t>
      </w:r>
      <w:r>
        <w:rPr/>
        <w:t>thesecond</w:t>
      </w:r>
      <w:r>
        <w:rPr>
          <w:spacing w:val="31"/>
        </w:rPr>
        <w:t> </w:t>
      </w:r>
      <w:r>
        <w:rPr/>
        <w:t>region,</w:t>
      </w:r>
      <w:r>
        <w:rPr>
          <w:spacing w:val="32"/>
        </w:rPr>
        <w:t> </w:t>
      </w:r>
      <w:r>
        <w:rPr/>
        <w:t>is</w:t>
      </w:r>
      <w:r>
        <w:rPr>
          <w:spacing w:val="33"/>
        </w:rPr>
        <w:t> </w:t>
      </w:r>
      <w:r>
        <w:rPr/>
        <w:t>more</w:t>
      </w:r>
      <w:r>
        <w:rPr>
          <w:spacing w:val="30"/>
        </w:rPr>
        <w:t> </w:t>
      </w:r>
      <w:r>
        <w:rPr/>
        <w:t>financiallydeveloped</w:t>
      </w:r>
      <w:r>
        <w:rPr>
          <w:spacing w:val="31"/>
        </w:rPr>
        <w:t> </w:t>
      </w:r>
      <w:r>
        <w:rPr/>
        <w:t>economies,</w:t>
      </w:r>
      <w:r>
        <w:rPr>
          <w:spacing w:val="32"/>
        </w:rPr>
        <w:t> </w:t>
      </w:r>
      <w:r>
        <w:rPr>
          <w:spacing w:val="-2"/>
        </w:rPr>
        <w:t>withhigher</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52864">
                <wp:simplePos x="0" y="0"/>
                <wp:positionH relativeFrom="page">
                  <wp:posOffset>950112</wp:posOffset>
                </wp:positionH>
                <wp:positionV relativeFrom="paragraph">
                  <wp:posOffset>1321053</wp:posOffset>
                </wp:positionV>
                <wp:extent cx="5505450" cy="5661025"/>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63616" id="docshape102"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degree of trust. In theseeconomies there is a liquiditypremium and investingagents supply insidemoney, red paper, bybundling part of theoutput from theirprojects. Savers use specialized instrumentsas there exist specializedfinancial markets. At the thirdstage is the existence of economywith a reasonablyabundant supply ofbonds. In such economy, ifbond is too costly there is animbalance, with toolittle money relativeto bonds. In responseto the liquidity shortage, theeconomy makes a remarkableresponse. Each agent holds anelaborate overlapping savingsportfolio as a meansof getting round theinconvenience ofhaving to keep the illiquidbonds over two nightsuntil theymature (Kiyotaki &amp; Moore, 2005). Finally, financial sectordevelopment entails establishingrobust financial policiesand regulatory framework. The absenceof adequate financial sectorpolicies could have disastrousoutcome,</w:t>
      </w:r>
      <w:r>
        <w:rPr>
          <w:spacing w:val="40"/>
        </w:rPr>
        <w:t> </w:t>
      </w:r>
      <w:r>
        <w:rPr/>
        <w:t>as</w:t>
      </w:r>
      <w:r>
        <w:rPr>
          <w:spacing w:val="-3"/>
        </w:rPr>
        <w:t> </w:t>
      </w:r>
      <w:r>
        <w:rPr/>
        <w:t>illustrated</w:t>
      </w:r>
      <w:r>
        <w:rPr>
          <w:spacing w:val="-4"/>
        </w:rPr>
        <w:t> </w:t>
      </w:r>
      <w:r>
        <w:rPr/>
        <w:t>by</w:t>
      </w:r>
      <w:r>
        <w:rPr>
          <w:spacing w:val="-4"/>
        </w:rPr>
        <w:t> </w:t>
      </w:r>
      <w:r>
        <w:rPr/>
        <w:t>theglobal</w:t>
      </w:r>
      <w:r>
        <w:rPr>
          <w:spacing w:val="-4"/>
        </w:rPr>
        <w:t> </w:t>
      </w:r>
      <w:r>
        <w:rPr/>
        <w:t>financial</w:t>
      </w:r>
      <w:r>
        <w:rPr>
          <w:spacing w:val="-1"/>
        </w:rPr>
        <w:t> </w:t>
      </w:r>
      <w:r>
        <w:rPr/>
        <w:t>crisis.</w:t>
      </w:r>
      <w:r>
        <w:rPr>
          <w:spacing w:val="-4"/>
        </w:rPr>
        <w:t> </w:t>
      </w:r>
      <w:r>
        <w:rPr/>
        <w:t>Financial</w:t>
      </w:r>
      <w:r>
        <w:rPr>
          <w:spacing w:val="-4"/>
        </w:rPr>
        <w:t> </w:t>
      </w:r>
      <w:r>
        <w:rPr/>
        <w:t>sectordeepening</w:t>
      </w:r>
      <w:r>
        <w:rPr>
          <w:spacing w:val="-4"/>
        </w:rPr>
        <w:t> </w:t>
      </w:r>
      <w:r>
        <w:rPr/>
        <w:t>has</w:t>
      </w:r>
      <w:r>
        <w:rPr>
          <w:spacing w:val="-1"/>
        </w:rPr>
        <w:t> </w:t>
      </w:r>
      <w:r>
        <w:rPr/>
        <w:t>heavyimplication</w:t>
      </w:r>
      <w:r>
        <w:rPr>
          <w:spacing w:val="-4"/>
        </w:rPr>
        <w:t> </w:t>
      </w:r>
      <w:r>
        <w:rPr/>
        <w:t>on economic development-both when itfunctions and malfunctions.</w:t>
      </w:r>
    </w:p>
    <w:p>
      <w:pPr>
        <w:pStyle w:val="BodyText"/>
        <w:spacing w:line="480" w:lineRule="auto" w:before="162"/>
        <w:ind w:right="738"/>
        <w:jc w:val="both"/>
      </w:pPr>
      <w:r>
        <w:rPr/>
        <w:t>Onwumere, Ozoh and Muonanu (2012) noted that financialdeepening can be explainedfrom the following perspectives:</w:t>
      </w:r>
    </w:p>
    <w:p>
      <w:pPr>
        <w:pStyle w:val="BodyText"/>
        <w:spacing w:line="480" w:lineRule="auto" w:before="160"/>
        <w:ind w:right="736"/>
        <w:jc w:val="both"/>
      </w:pPr>
      <w:r>
        <w:rPr>
          <w:b/>
        </w:rPr>
        <w:t>Analyzing the Market Depth</w:t>
      </w:r>
      <w:r>
        <w:rPr/>
        <w:t>: One of thepopular approaches to analysingfinancial deepening is lookingat it from a markets and sectorialperspective. Here the set ofmarkets is expanded beyond corebanking sector. Here nonbank institutionslike insurance companies, pension fund administratorsand foreign investors areincluded. This inclusion is necessitated by the factthat each typeof market provides adifferent set of opportunitiesfor investment and risk, and has itsrudiments. More so each of theparticipants has itscontribution to themarket. For example, whilebanks transformmaturities (borrowing short term tolend long), pension funds</w:t>
      </w:r>
      <w:r>
        <w:rPr>
          <w:spacing w:val="-10"/>
        </w:rPr>
        <w:t> </w:t>
      </w:r>
      <w:r>
        <w:rPr/>
        <w:t>and</w:t>
      </w:r>
      <w:r>
        <w:rPr>
          <w:spacing w:val="-10"/>
        </w:rPr>
        <w:t> </w:t>
      </w:r>
      <w:r>
        <w:rPr/>
        <w:t>insurancecompanies</w:t>
      </w:r>
      <w:r>
        <w:rPr>
          <w:spacing w:val="-11"/>
        </w:rPr>
        <w:t> </w:t>
      </w:r>
      <w:r>
        <w:rPr/>
        <w:t>invariably</w:t>
      </w:r>
      <w:r>
        <w:rPr>
          <w:spacing w:val="-10"/>
        </w:rPr>
        <w:t> </w:t>
      </w:r>
      <w:r>
        <w:rPr/>
        <w:t>matchmaturities</w:t>
      </w:r>
      <w:r>
        <w:rPr>
          <w:spacing w:val="-9"/>
        </w:rPr>
        <w:t> </w:t>
      </w:r>
      <w:r>
        <w:rPr/>
        <w:t>(borrowing</w:t>
      </w:r>
      <w:r>
        <w:rPr>
          <w:spacing w:val="-10"/>
        </w:rPr>
        <w:t> </w:t>
      </w:r>
      <w:r>
        <w:rPr/>
        <w:t>andlending</w:t>
      </w:r>
      <w:r>
        <w:rPr>
          <w:spacing w:val="-10"/>
        </w:rPr>
        <w:t> </w:t>
      </w:r>
      <w:r>
        <w:rPr/>
        <w:t>long</w:t>
      </w:r>
      <w:r>
        <w:rPr>
          <w:spacing w:val="-8"/>
        </w:rPr>
        <w:t> </w:t>
      </w:r>
      <w:r>
        <w:rPr>
          <w:spacing w:val="-2"/>
        </w:rPr>
        <w:t>term),</w:t>
      </w:r>
    </w:p>
    <w:p>
      <w:pPr>
        <w:spacing w:after="0" w:line="480" w:lineRule="auto"/>
        <w:jc w:val="both"/>
        <w:sectPr>
          <w:pgSz w:w="12240" w:h="15840"/>
          <w:pgMar w:header="0" w:footer="1012" w:top="1380" w:bottom="1200" w:left="1220" w:right="700"/>
        </w:sectPr>
      </w:pPr>
    </w:p>
    <w:p>
      <w:pPr>
        <w:pStyle w:val="BodyText"/>
        <w:spacing w:line="480" w:lineRule="auto" w:before="60"/>
        <w:ind w:right="737"/>
        <w:jc w:val="both"/>
      </w:pPr>
      <w:r>
        <w:rPr/>
        <w:t>making them naturalbuyers of longer-termbonds and facilitating thedevelopment of these </w:t>
      </w:r>
      <w:r>
        <w:rPr>
          <w:spacing w:val="-2"/>
        </w:rPr>
        <w:t>markets.</w:t>
      </w:r>
    </w:p>
    <w:p>
      <w:pPr>
        <w:pStyle w:val="BodyText"/>
        <w:spacing w:line="480" w:lineRule="auto" w:before="160"/>
        <w:ind w:right="733"/>
        <w:jc w:val="both"/>
      </w:pPr>
      <w:r>
        <w:rPr/>
        <mc:AlternateContent>
          <mc:Choice Requires="wps">
            <w:drawing>
              <wp:anchor distT="0" distB="0" distL="0" distR="0" allowOverlap="1" layoutInCell="1" locked="0" behindDoc="1" simplePos="0" relativeHeight="478053376">
                <wp:simplePos x="0" y="0"/>
                <wp:positionH relativeFrom="page">
                  <wp:posOffset>950112</wp:posOffset>
                </wp:positionH>
                <wp:positionV relativeFrom="paragraph">
                  <wp:posOffset>552765</wp:posOffset>
                </wp:positionV>
                <wp:extent cx="5505450" cy="5661025"/>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63104" id="docshape103"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b/>
        </w:rPr>
        <w:t>A Balance Sheet Approach: </w:t>
      </w:r>
      <w:r>
        <w:rPr/>
        <w:t>This approach placesemphasis on the capacityof the economy to manage its aggregatebalance sheet in asmooth and balanced mannerand its swift response to shocks. In thisorder, a deep financialsector is one that facilitatesthe orderly andbalanced growth of itsbalance sheet (i.e., with expansionor contraction that is not toorapid, excessive, or unsustainable) andallows for smooth adjustmentto shocks. Such capacity is afunction of the following:</w:t>
      </w:r>
    </w:p>
    <w:p>
      <w:pPr>
        <w:pStyle w:val="ListParagraph"/>
        <w:numPr>
          <w:ilvl w:val="0"/>
          <w:numId w:val="20"/>
        </w:numPr>
        <w:tabs>
          <w:tab w:pos="580" w:val="left" w:leader="none"/>
          <w:tab w:pos="641" w:val="left" w:leader="none"/>
        </w:tabs>
        <w:spacing w:line="480" w:lineRule="auto" w:before="160" w:after="0"/>
        <w:ind w:left="580" w:right="733" w:hanging="360"/>
        <w:jc w:val="both"/>
        <w:rPr>
          <w:sz w:val="25"/>
        </w:rPr>
      </w:pPr>
      <w:r>
        <w:rPr>
          <w:sz w:val="25"/>
        </w:rPr>
        <w:tab/>
        <w:t>The structure ofbalance sheets (e.g., maturity of debt, size of rolloverneeds, - currency composition ofliabilities);</w:t>
      </w:r>
    </w:p>
    <w:p>
      <w:pPr>
        <w:pStyle w:val="ListParagraph"/>
        <w:numPr>
          <w:ilvl w:val="0"/>
          <w:numId w:val="20"/>
        </w:numPr>
        <w:tabs>
          <w:tab w:pos="580" w:val="left" w:leader="none"/>
        </w:tabs>
        <w:spacing w:line="480" w:lineRule="auto" w:before="161" w:after="0"/>
        <w:ind w:left="580" w:right="736" w:hanging="341"/>
        <w:jc w:val="both"/>
        <w:rPr>
          <w:sz w:val="25"/>
        </w:rPr>
      </w:pPr>
      <w:r>
        <w:rPr>
          <w:sz w:val="25"/>
        </w:rPr>
        <w:t>The ability of varioussectors to issueclaims in a cost-effectivemanner (e.g., if the corporate sector mustdeliver, the aggregateeffects can be attenuated if thehousehold sector can countercyclically expand itsbalance sheet)</w:t>
      </w:r>
    </w:p>
    <w:p>
      <w:pPr>
        <w:pStyle w:val="ListParagraph"/>
        <w:numPr>
          <w:ilvl w:val="0"/>
          <w:numId w:val="20"/>
        </w:numPr>
        <w:tabs>
          <w:tab w:pos="580" w:val="left" w:leader="none"/>
        </w:tabs>
        <w:spacing w:line="480" w:lineRule="auto" w:before="160" w:after="0"/>
        <w:ind w:left="580" w:right="742" w:hanging="341"/>
        <w:jc w:val="both"/>
        <w:rPr>
          <w:sz w:val="25"/>
        </w:rPr>
      </w:pPr>
      <w:r>
        <w:rPr>
          <w:sz w:val="25"/>
        </w:rPr>
        <w:t>The ability of thegovernment to employcountercyclical macroeconomicand financial policies andserve as a lender of lastresort</w:t>
      </w:r>
    </w:p>
    <w:p>
      <w:pPr>
        <w:pStyle w:val="ListParagraph"/>
        <w:numPr>
          <w:ilvl w:val="0"/>
          <w:numId w:val="20"/>
        </w:numPr>
        <w:tabs>
          <w:tab w:pos="579" w:val="left" w:leader="none"/>
        </w:tabs>
        <w:spacing w:line="240" w:lineRule="auto" w:before="160" w:after="0"/>
        <w:ind w:left="579" w:right="0" w:hanging="340"/>
        <w:jc w:val="both"/>
        <w:rPr>
          <w:sz w:val="25"/>
        </w:rPr>
      </w:pPr>
      <w:r>
        <w:rPr>
          <w:sz w:val="25"/>
        </w:rPr>
        <w:t>Prudent</w:t>
      </w:r>
      <w:r>
        <w:rPr>
          <w:spacing w:val="-10"/>
          <w:sz w:val="25"/>
        </w:rPr>
        <w:t> </w:t>
      </w:r>
      <w:r>
        <w:rPr>
          <w:sz w:val="25"/>
        </w:rPr>
        <w:t>financial</w:t>
      </w:r>
      <w:r>
        <w:rPr>
          <w:spacing w:val="-10"/>
          <w:sz w:val="25"/>
        </w:rPr>
        <w:t> </w:t>
      </w:r>
      <w:r>
        <w:rPr>
          <w:sz w:val="25"/>
        </w:rPr>
        <w:t>regulation</w:t>
      </w:r>
      <w:r>
        <w:rPr>
          <w:spacing w:val="-10"/>
          <w:sz w:val="25"/>
        </w:rPr>
        <w:t> </w:t>
      </w:r>
      <w:r>
        <w:rPr>
          <w:spacing w:val="-2"/>
          <w:sz w:val="25"/>
        </w:rPr>
        <w:t>andsupervision</w:t>
      </w:r>
    </w:p>
    <w:p>
      <w:pPr>
        <w:pStyle w:val="BodyText"/>
        <w:ind w:left="0"/>
      </w:pPr>
    </w:p>
    <w:p>
      <w:pPr>
        <w:pStyle w:val="BodyText"/>
        <w:spacing w:before="160"/>
        <w:ind w:left="0"/>
      </w:pPr>
    </w:p>
    <w:p>
      <w:pPr>
        <w:pStyle w:val="Heading2"/>
        <w:numPr>
          <w:ilvl w:val="2"/>
          <w:numId w:val="16"/>
        </w:numPr>
        <w:tabs>
          <w:tab w:pos="905" w:val="left" w:leader="none"/>
        </w:tabs>
        <w:spacing w:line="240" w:lineRule="auto" w:before="1" w:after="0"/>
        <w:ind w:left="905" w:right="0" w:hanging="685"/>
        <w:jc w:val="both"/>
      </w:pPr>
      <w:bookmarkStart w:name="_TOC_250046" w:id="29"/>
      <w:r>
        <w:rPr/>
        <w:t>Economic</w:t>
      </w:r>
      <w:r>
        <w:rPr>
          <w:spacing w:val="-13"/>
        </w:rPr>
        <w:t> </w:t>
      </w:r>
      <w:bookmarkEnd w:id="29"/>
      <w:r>
        <w:rPr>
          <w:spacing w:val="-2"/>
        </w:rPr>
        <w:t>Growth</w:t>
      </w:r>
    </w:p>
    <w:p>
      <w:pPr>
        <w:pStyle w:val="BodyText"/>
        <w:spacing w:before="159"/>
        <w:ind w:left="0"/>
        <w:rPr>
          <w:b/>
        </w:rPr>
      </w:pPr>
    </w:p>
    <w:p>
      <w:pPr>
        <w:pStyle w:val="BodyText"/>
        <w:spacing w:line="480" w:lineRule="auto"/>
        <w:ind w:right="737"/>
        <w:jc w:val="both"/>
      </w:pPr>
      <w:r>
        <w:rPr/>
        <w:t>Economic growth is theincrease in the amountof the goods and servicesproduced by</w:t>
      </w:r>
      <w:r>
        <w:rPr>
          <w:spacing w:val="40"/>
        </w:rPr>
        <w:t> </w:t>
      </w:r>
      <w:r>
        <w:rPr/>
        <w:t>economy overtime that is anincrease in the capacity of aneconomy to produce goodsand services,</w:t>
      </w:r>
      <w:r>
        <w:rPr>
          <w:spacing w:val="35"/>
        </w:rPr>
        <w:t> </w:t>
      </w:r>
      <w:r>
        <w:rPr/>
        <w:t>comparedfrom</w:t>
      </w:r>
      <w:r>
        <w:rPr>
          <w:spacing w:val="35"/>
        </w:rPr>
        <w:t> </w:t>
      </w:r>
      <w:r>
        <w:rPr/>
        <w:t>one</w:t>
      </w:r>
      <w:r>
        <w:rPr>
          <w:spacing w:val="35"/>
        </w:rPr>
        <w:t> </w:t>
      </w:r>
      <w:r>
        <w:rPr/>
        <w:t>period</w:t>
      </w:r>
      <w:r>
        <w:rPr>
          <w:spacing w:val="36"/>
        </w:rPr>
        <w:t> </w:t>
      </w:r>
      <w:r>
        <w:rPr/>
        <w:t>of</w:t>
      </w:r>
      <w:r>
        <w:rPr>
          <w:spacing w:val="36"/>
        </w:rPr>
        <w:t> </w:t>
      </w:r>
      <w:r>
        <w:rPr/>
        <w:t>timeto</w:t>
      </w:r>
      <w:r>
        <w:rPr>
          <w:spacing w:val="38"/>
        </w:rPr>
        <w:t> </w:t>
      </w:r>
      <w:r>
        <w:rPr/>
        <w:t>another</w:t>
      </w:r>
      <w:r>
        <w:rPr>
          <w:spacing w:val="36"/>
        </w:rPr>
        <w:t> </w:t>
      </w:r>
      <w:r>
        <w:rPr/>
        <w:t>(Lawal,</w:t>
      </w:r>
      <w:r>
        <w:rPr>
          <w:spacing w:val="35"/>
        </w:rPr>
        <w:t> </w:t>
      </w:r>
      <w:r>
        <w:rPr/>
        <w:t>Nwanji,</w:t>
      </w:r>
      <w:r>
        <w:rPr>
          <w:spacing w:val="35"/>
        </w:rPr>
        <w:t> </w:t>
      </w:r>
      <w:r>
        <w:rPr/>
        <w:t>Asaleye&amp;</w:t>
      </w:r>
      <w:r>
        <w:rPr>
          <w:spacing w:val="35"/>
        </w:rPr>
        <w:t> </w:t>
      </w:r>
      <w:r>
        <w:rPr>
          <w:spacing w:val="-2"/>
        </w:rPr>
        <w:t>Ahmed,</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53888">
                <wp:simplePos x="0" y="0"/>
                <wp:positionH relativeFrom="page">
                  <wp:posOffset>950112</wp:posOffset>
                </wp:positionH>
                <wp:positionV relativeFrom="paragraph">
                  <wp:posOffset>1321053</wp:posOffset>
                </wp:positionV>
                <wp:extent cx="5505450" cy="5661025"/>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62592" id="docshape104"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2016). It is measuredas a percentage of grossdomestic products GDP of acountry. Economic growth is regardedas a major goal ofnational policy in any giveneconomy. Economic growth is the rise in thetotal output (goods or services) producedby a country (Abbas, 2005). It is an increase in the capacityof an economy toproduce goods and services, comparedfrom one period of time toanother. Economic growthoccurs whenever people takeresources and rearrange them inways that are morevaluable. Economic growthrefers only to thequantity of goods</w:t>
      </w:r>
      <w:r>
        <w:rPr>
          <w:spacing w:val="-1"/>
        </w:rPr>
        <w:t> </w:t>
      </w:r>
      <w:r>
        <w:rPr/>
        <w:t>and</w:t>
      </w:r>
      <w:r>
        <w:rPr>
          <w:spacing w:val="-3"/>
        </w:rPr>
        <w:t> </w:t>
      </w:r>
      <w:r>
        <w:rPr/>
        <w:t>servicesproduced;</w:t>
      </w:r>
      <w:r>
        <w:rPr>
          <w:spacing w:val="-2"/>
        </w:rPr>
        <w:t> </w:t>
      </w:r>
      <w:r>
        <w:rPr/>
        <w:t>it</w:t>
      </w:r>
      <w:r>
        <w:rPr>
          <w:spacing w:val="-2"/>
        </w:rPr>
        <w:t> </w:t>
      </w:r>
      <w:r>
        <w:rPr/>
        <w:t>says</w:t>
      </w:r>
      <w:r>
        <w:rPr>
          <w:spacing w:val="-2"/>
        </w:rPr>
        <w:t> </w:t>
      </w:r>
      <w:r>
        <w:rPr/>
        <w:t>nothingabout</w:t>
      </w:r>
      <w:r>
        <w:rPr>
          <w:spacing w:val="-2"/>
        </w:rPr>
        <w:t> </w:t>
      </w:r>
      <w:r>
        <w:rPr/>
        <w:t>the</w:t>
      </w:r>
      <w:r>
        <w:rPr>
          <w:spacing w:val="-3"/>
        </w:rPr>
        <w:t> </w:t>
      </w:r>
      <w:r>
        <w:rPr/>
        <w:t>way in</w:t>
      </w:r>
      <w:r>
        <w:rPr>
          <w:spacing w:val="-2"/>
        </w:rPr>
        <w:t> </w:t>
      </w:r>
      <w:r>
        <w:rPr/>
        <w:t>which</w:t>
      </w:r>
      <w:r>
        <w:rPr>
          <w:spacing w:val="-3"/>
        </w:rPr>
        <w:t> </w:t>
      </w:r>
      <w:r>
        <w:rPr/>
        <w:t>they</w:t>
      </w:r>
      <w:r>
        <w:rPr>
          <w:spacing w:val="-2"/>
        </w:rPr>
        <w:t> </w:t>
      </w:r>
      <w:r>
        <w:rPr/>
        <w:t>areproduced.</w:t>
      </w:r>
      <w:r>
        <w:rPr>
          <w:spacing w:val="-2"/>
        </w:rPr>
        <w:t> </w:t>
      </w:r>
      <w:r>
        <w:rPr/>
        <w:t>Lipsey (1986) defined economicgrowth as the positivetrend in the nationstotal output overlong period of time. This implies asustained increase in GrossDomestic Product (GDP) for along time. Schiller (1999) opined thateconomic growth is anincrease in output(real GDP), an expansion in productpossibility curve.</w:t>
      </w:r>
    </w:p>
    <w:p>
      <w:pPr>
        <w:pStyle w:val="BodyText"/>
        <w:spacing w:line="480" w:lineRule="auto" w:before="160"/>
        <w:ind w:right="734"/>
        <w:jc w:val="both"/>
      </w:pPr>
      <w:r>
        <w:rPr/>
        <w:t>Ayres and Warr (2006) defineeconomic growth as 'a rise in thetotal output (goods or</w:t>
      </w:r>
      <w:r>
        <w:rPr>
          <w:spacing w:val="40"/>
        </w:rPr>
        <w:t> </w:t>
      </w:r>
      <w:r>
        <w:rPr/>
        <w:t>services) producedby a country'. It representsan increase in the capacityof an economy to produce goodsand services, comparedfrom one periodof time to another. Economicgrowth refers only to thequantity of goods andservices produced. Economic growthcan be measured in nominal termsincluding inflation, or inreal terms, which areadjusted for inflationlike by</w:t>
      </w:r>
      <w:r>
        <w:rPr>
          <w:spacing w:val="40"/>
        </w:rPr>
        <w:t> </w:t>
      </w:r>
      <w:r>
        <w:rPr/>
        <w:t>the percent rate ofincrease in thegross domestic product (GDP). Economicgrowth measures growth in monetaryterms and looks at noother aspects ofdevelopment (Illyas &amp; Siddiqi, 2010). Economic growthcan be either positive ornegative. Negative growth can bereferred to by saying that theeconomy is shrinking. Negative growth is associatedwith economic recessionand economicdepression (King &amp; Levine, 1993).</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54400">
                <wp:simplePos x="0" y="0"/>
                <wp:positionH relativeFrom="page">
                  <wp:posOffset>950112</wp:posOffset>
                </wp:positionH>
                <wp:positionV relativeFrom="paragraph">
                  <wp:posOffset>1321053</wp:posOffset>
                </wp:positionV>
                <wp:extent cx="5505450" cy="5661025"/>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62080" id="docshape105"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Jhingan (2005) conceptualizedeconomic growth as agradual and steadychange in the long- run which comesabout by a general increase in therate of savings andpopulation. It has also been described as apositive change in thelevel of productionof goods and servicesby a country over a certainperiod of time. Economic growth is measuredby the increasein the amount of goodsand services produced in acountry. An economy is said to begrowing when</w:t>
      </w:r>
      <w:r>
        <w:rPr>
          <w:spacing w:val="40"/>
        </w:rPr>
        <w:t> </w:t>
      </w:r>
      <w:r>
        <w:rPr/>
        <w:t>it increases itsproductive capacity which lateryield more in productionof more goods andservices (Jhingan 2005). Economic growth is usuallybrought about bytechnological innovation and positiveexternal forces. It is theyardstick for raising thestandard of livingof the people. It also implies reductionof inequalities of incomedistribution. Economic growth can be measured innominal or real term. In nominalterm it includesinflation, while in real term,</w:t>
      </w:r>
      <w:r>
        <w:rPr>
          <w:spacing w:val="-3"/>
        </w:rPr>
        <w:t> </w:t>
      </w:r>
      <w:r>
        <w:rPr/>
        <w:t>adjustment</w:t>
      </w:r>
      <w:r>
        <w:rPr>
          <w:spacing w:val="-3"/>
        </w:rPr>
        <w:t> </w:t>
      </w:r>
      <w:r>
        <w:rPr/>
        <w:t>ismade</w:t>
      </w:r>
      <w:r>
        <w:rPr>
          <w:spacing w:val="-1"/>
        </w:rPr>
        <w:t> </w:t>
      </w:r>
      <w:r>
        <w:rPr/>
        <w:t>for</w:t>
      </w:r>
      <w:r>
        <w:rPr>
          <w:spacing w:val="-2"/>
        </w:rPr>
        <w:t> </w:t>
      </w:r>
      <w:r>
        <w:rPr/>
        <w:t>inflation</w:t>
      </w:r>
      <w:r>
        <w:rPr>
          <w:spacing w:val="-3"/>
        </w:rPr>
        <w:t> </w:t>
      </w:r>
      <w:r>
        <w:rPr/>
        <w:t>toeliminate</w:t>
      </w:r>
      <w:r>
        <w:rPr>
          <w:spacing w:val="-1"/>
        </w:rPr>
        <w:t> </w:t>
      </w:r>
      <w:r>
        <w:rPr/>
        <w:t>thedistorting</w:t>
      </w:r>
      <w:r>
        <w:rPr>
          <w:spacing w:val="-3"/>
        </w:rPr>
        <w:t> </w:t>
      </w:r>
      <w:r>
        <w:rPr/>
        <w:t>effect</w:t>
      </w:r>
      <w:r>
        <w:rPr>
          <w:spacing w:val="-3"/>
        </w:rPr>
        <w:t> </w:t>
      </w:r>
      <w:r>
        <w:rPr/>
        <w:t>of</w:t>
      </w:r>
      <w:r>
        <w:rPr>
          <w:spacing w:val="-2"/>
        </w:rPr>
        <w:t> </w:t>
      </w:r>
      <w:r>
        <w:rPr/>
        <w:t>the</w:t>
      </w:r>
      <w:r>
        <w:rPr>
          <w:spacing w:val="-3"/>
        </w:rPr>
        <w:t> </w:t>
      </w:r>
      <w:r>
        <w:rPr/>
        <w:t>priceof</w:t>
      </w:r>
      <w:r>
        <w:rPr>
          <w:spacing w:val="-2"/>
        </w:rPr>
        <w:t> </w:t>
      </w:r>
      <w:r>
        <w:rPr/>
        <w:t>goods</w:t>
      </w:r>
      <w:r>
        <w:rPr>
          <w:spacing w:val="-1"/>
        </w:rPr>
        <w:t> </w:t>
      </w:r>
      <w:r>
        <w:rPr/>
        <w:t>and services produced. For thepurpose of inter –countrycomparison, the GDP or GNP percapita income is used dueto the fact thatthey take intoaccount the populationdifferences of these countries. The topeconomic goal ofNigeria is to have asustainable economic growthand development proxiedby gross domesticproduct. It is the total amountof goods and services produced</w:t>
      </w:r>
      <w:r>
        <w:rPr>
          <w:spacing w:val="-1"/>
        </w:rPr>
        <w:t> </w:t>
      </w:r>
      <w:r>
        <w:rPr/>
        <w:t>withinthe</w:t>
      </w:r>
      <w:r>
        <w:rPr>
          <w:spacing w:val="-2"/>
        </w:rPr>
        <w:t> </w:t>
      </w:r>
      <w:r>
        <w:rPr/>
        <w:t>economy</w:t>
      </w:r>
      <w:r>
        <w:rPr>
          <w:spacing w:val="-1"/>
        </w:rPr>
        <w:t> </w:t>
      </w:r>
      <w:r>
        <w:rPr/>
        <w:t>perannum.</w:t>
      </w:r>
      <w:r>
        <w:rPr>
          <w:spacing w:val="-1"/>
        </w:rPr>
        <w:t> </w:t>
      </w:r>
      <w:r>
        <w:rPr/>
        <w:t>Economic</w:t>
      </w:r>
      <w:r>
        <w:rPr>
          <w:spacing w:val="-1"/>
        </w:rPr>
        <w:t> </w:t>
      </w:r>
      <w:r>
        <w:rPr/>
        <w:t>growth</w:t>
      </w:r>
      <w:r>
        <w:rPr>
          <w:spacing w:val="-1"/>
        </w:rPr>
        <w:t> </w:t>
      </w:r>
      <w:r>
        <w:rPr/>
        <w:t>is seento</w:t>
      </w:r>
      <w:r>
        <w:rPr>
          <w:spacing w:val="-1"/>
        </w:rPr>
        <w:t> </w:t>
      </w:r>
      <w:r>
        <w:rPr/>
        <w:t>be</w:t>
      </w:r>
      <w:r>
        <w:rPr>
          <w:spacing w:val="-4"/>
        </w:rPr>
        <w:t> </w:t>
      </w:r>
      <w:r>
        <w:rPr/>
        <w:t>a</w:t>
      </w:r>
      <w:r>
        <w:rPr>
          <w:spacing w:val="-2"/>
        </w:rPr>
        <w:t> </w:t>
      </w:r>
      <w:r>
        <w:rPr/>
        <w:t>measure</w:t>
      </w:r>
      <w:r>
        <w:rPr>
          <w:spacing w:val="-2"/>
        </w:rPr>
        <w:t> </w:t>
      </w:r>
      <w:r>
        <w:rPr/>
        <w:t>of</w:t>
      </w:r>
      <w:r>
        <w:rPr>
          <w:spacing w:val="-1"/>
        </w:rPr>
        <w:t> </w:t>
      </w:r>
      <w:r>
        <w:rPr/>
        <w:t>increase in the nationalincome or total volumeof production of goodsand services of acountry accompanied byimprovements in thetotal livingstandard of thepeople (Chinwuba &amp; Amos, </w:t>
      </w:r>
      <w:r>
        <w:rPr>
          <w:spacing w:val="-2"/>
        </w:rPr>
        <w:t>2011).</w:t>
      </w:r>
    </w:p>
    <w:p>
      <w:pPr>
        <w:pStyle w:val="BodyText"/>
        <w:spacing w:line="480" w:lineRule="auto" w:before="163"/>
        <w:ind w:right="737"/>
        <w:jc w:val="both"/>
      </w:pPr>
      <w:r>
        <w:rPr/>
        <w:t>Economic growth can beeither positive or negative. Negativegrowth can be referredto by saying that theeconomy is shrinking. Negative growth is associatedwith economic recession and</w:t>
      </w:r>
      <w:r>
        <w:rPr>
          <w:spacing w:val="18"/>
        </w:rPr>
        <w:t> </w:t>
      </w:r>
      <w:r>
        <w:rPr/>
        <w:t>economicdepression.</w:t>
      </w:r>
      <w:r>
        <w:rPr>
          <w:spacing w:val="18"/>
        </w:rPr>
        <w:t> </w:t>
      </w:r>
      <w:r>
        <w:rPr/>
        <w:t>Gross</w:t>
      </w:r>
      <w:r>
        <w:rPr>
          <w:spacing w:val="20"/>
        </w:rPr>
        <w:t> </w:t>
      </w:r>
      <w:r>
        <w:rPr/>
        <w:t>national</w:t>
      </w:r>
      <w:r>
        <w:rPr>
          <w:spacing w:val="18"/>
        </w:rPr>
        <w:t> </w:t>
      </w:r>
      <w:r>
        <w:rPr/>
        <w:t>product</w:t>
      </w:r>
      <w:r>
        <w:rPr>
          <w:spacing w:val="18"/>
        </w:rPr>
        <w:t> </w:t>
      </w:r>
      <w:r>
        <w:rPr/>
        <w:t>(GNP)</w:t>
      </w:r>
      <w:r>
        <w:rPr>
          <w:spacing w:val="19"/>
        </w:rPr>
        <w:t> </w:t>
      </w:r>
      <w:r>
        <w:rPr/>
        <w:t>is</w:t>
      </w:r>
      <w:r>
        <w:rPr>
          <w:spacing w:val="17"/>
        </w:rPr>
        <w:t> </w:t>
      </w:r>
      <w:r>
        <w:rPr/>
        <w:t>sometimesused</w:t>
      </w:r>
      <w:r>
        <w:rPr>
          <w:spacing w:val="18"/>
        </w:rPr>
        <w:t> </w:t>
      </w:r>
      <w:r>
        <w:rPr/>
        <w:t>as</w:t>
      </w:r>
      <w:r>
        <w:rPr>
          <w:spacing w:val="19"/>
        </w:rPr>
        <w:t> </w:t>
      </w:r>
      <w:r>
        <w:rPr/>
        <w:t>an</w:t>
      </w:r>
      <w:r>
        <w:rPr>
          <w:spacing w:val="18"/>
        </w:rPr>
        <w:t> </w:t>
      </w:r>
      <w:r>
        <w:rPr>
          <w:spacing w:val="-2"/>
        </w:rPr>
        <w:t>alternative</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54912">
                <wp:simplePos x="0" y="0"/>
                <wp:positionH relativeFrom="page">
                  <wp:posOffset>950112</wp:posOffset>
                </wp:positionH>
                <wp:positionV relativeFrom="paragraph">
                  <wp:posOffset>1321053</wp:posOffset>
                </wp:positionV>
                <wp:extent cx="5505450" cy="566102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61568" id="docshape106"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measure to grossdomestic product. In order tocompare multiple countries, thestatistics may be quoted in a singlecurrency, based on eitherprevailing exchange rates orpurchasing power parity.</w:t>
      </w:r>
      <w:r>
        <w:rPr>
          <w:spacing w:val="-1"/>
        </w:rPr>
        <w:t> </w:t>
      </w:r>
      <w:r>
        <w:rPr/>
        <w:t>Then,</w:t>
      </w:r>
      <w:r>
        <w:rPr>
          <w:spacing w:val="-2"/>
        </w:rPr>
        <w:t> </w:t>
      </w:r>
      <w:r>
        <w:rPr/>
        <w:t>in</w:t>
      </w:r>
      <w:r>
        <w:rPr>
          <w:spacing w:val="-1"/>
        </w:rPr>
        <w:t> </w:t>
      </w:r>
      <w:r>
        <w:rPr/>
        <w:t>order</w:t>
      </w:r>
      <w:r>
        <w:rPr>
          <w:spacing w:val="-1"/>
        </w:rPr>
        <w:t> </w:t>
      </w:r>
      <w:r>
        <w:rPr/>
        <w:t>tocompare</w:t>
      </w:r>
      <w:r>
        <w:rPr>
          <w:spacing w:val="-2"/>
        </w:rPr>
        <w:t> </w:t>
      </w:r>
      <w:r>
        <w:rPr/>
        <w:t>countries</w:t>
      </w:r>
      <w:r>
        <w:rPr>
          <w:spacing w:val="-1"/>
        </w:rPr>
        <w:t> </w:t>
      </w:r>
      <w:r>
        <w:rPr/>
        <w:t>ofdifferent</w:t>
      </w:r>
      <w:r>
        <w:rPr>
          <w:spacing w:val="-1"/>
        </w:rPr>
        <w:t> </w:t>
      </w:r>
      <w:r>
        <w:rPr/>
        <w:t>population</w:t>
      </w:r>
      <w:r>
        <w:rPr>
          <w:spacing w:val="-1"/>
        </w:rPr>
        <w:t> </w:t>
      </w:r>
      <w:r>
        <w:rPr/>
        <w:t>sizes,</w:t>
      </w:r>
      <w:r>
        <w:rPr>
          <w:spacing w:val="-1"/>
        </w:rPr>
        <w:t> </w:t>
      </w:r>
      <w:r>
        <w:rPr/>
        <w:t>the</w:t>
      </w:r>
      <w:r>
        <w:rPr>
          <w:spacing w:val="-2"/>
        </w:rPr>
        <w:t> </w:t>
      </w:r>
      <w:r>
        <w:rPr/>
        <w:t>percapita</w:t>
      </w:r>
      <w:r>
        <w:rPr>
          <w:spacing w:val="-1"/>
        </w:rPr>
        <w:t> </w:t>
      </w:r>
      <w:r>
        <w:rPr/>
        <w:t>figure</w:t>
      </w:r>
      <w:r>
        <w:rPr>
          <w:spacing w:val="-2"/>
        </w:rPr>
        <w:t> </w:t>
      </w:r>
      <w:r>
        <w:rPr/>
        <w:t>is quoted. To compensate forchanges in the value ofmoney (inflation or deflation) the GDP or GNP is usually given in "real" or inflationadjusted, terms rather than theactual money figure compiled in agiven year, which is called thenominal or current figure (Ayres, Robert, Warr, </w:t>
      </w:r>
      <w:r>
        <w:rPr>
          <w:spacing w:val="-2"/>
        </w:rPr>
        <w:t>2006).</w:t>
      </w:r>
    </w:p>
    <w:p>
      <w:pPr>
        <w:pStyle w:val="BodyText"/>
        <w:spacing w:before="161"/>
        <w:ind w:left="0"/>
      </w:pPr>
    </w:p>
    <w:p>
      <w:pPr>
        <w:pStyle w:val="Heading2"/>
        <w:numPr>
          <w:ilvl w:val="1"/>
          <w:numId w:val="21"/>
        </w:numPr>
        <w:tabs>
          <w:tab w:pos="593" w:val="left" w:leader="none"/>
        </w:tabs>
        <w:spacing w:line="240" w:lineRule="auto" w:before="1" w:after="0"/>
        <w:ind w:left="593" w:right="0" w:hanging="373"/>
        <w:jc w:val="left"/>
      </w:pPr>
      <w:bookmarkStart w:name="_TOC_250045" w:id="30"/>
      <w:r>
        <w:rPr/>
        <w:t>Financial</w:t>
      </w:r>
      <w:r>
        <w:rPr>
          <w:spacing w:val="-10"/>
        </w:rPr>
        <w:t> </w:t>
      </w:r>
      <w:r>
        <w:rPr/>
        <w:t>Integration</w:t>
      </w:r>
      <w:r>
        <w:rPr>
          <w:spacing w:val="-10"/>
        </w:rPr>
        <w:t> </w:t>
      </w:r>
      <w:r>
        <w:rPr/>
        <w:t>and</w:t>
      </w:r>
      <w:r>
        <w:rPr>
          <w:spacing w:val="-10"/>
        </w:rPr>
        <w:t> </w:t>
      </w:r>
      <w:r>
        <w:rPr/>
        <w:t>Economic</w:t>
      </w:r>
      <w:r>
        <w:rPr>
          <w:spacing w:val="-10"/>
        </w:rPr>
        <w:t> </w:t>
      </w:r>
      <w:bookmarkEnd w:id="30"/>
      <w:r>
        <w:rPr>
          <w:spacing w:val="-2"/>
        </w:rPr>
        <w:t>Growth</w:t>
      </w:r>
    </w:p>
    <w:p>
      <w:pPr>
        <w:pStyle w:val="BodyText"/>
        <w:spacing w:before="159"/>
        <w:ind w:left="0"/>
        <w:rPr>
          <w:b/>
        </w:rPr>
      </w:pPr>
    </w:p>
    <w:p>
      <w:pPr>
        <w:pStyle w:val="BodyText"/>
        <w:spacing w:line="480" w:lineRule="auto"/>
        <w:ind w:right="737"/>
        <w:jc w:val="both"/>
      </w:pPr>
      <w:r>
        <w:rPr/>
        <w:t>Financial integration is believed toaffect the real economythrough at least twobroad</w:t>
      </w:r>
      <w:r>
        <w:rPr>
          <w:spacing w:val="40"/>
        </w:rPr>
        <w:t> </w:t>
      </w:r>
      <w:r>
        <w:rPr/>
        <w:t>channels. First, the sizeof the financial sector and thevolume of available credit areseen as a proxy indicator for howeffectively the sectormanages to collect savingsand allocate them to productiveinvestments. This transfer offunds not only raisesproductive capacity but should also</w:t>
      </w:r>
      <w:r>
        <w:rPr>
          <w:spacing w:val="-1"/>
        </w:rPr>
        <w:t> </w:t>
      </w:r>
      <w:r>
        <w:rPr/>
        <w:t>enhance theefficiency</w:t>
      </w:r>
      <w:r>
        <w:rPr>
          <w:spacing w:val="-2"/>
        </w:rPr>
        <w:t> </w:t>
      </w:r>
      <w:r>
        <w:rPr/>
        <w:t>of</w:t>
      </w:r>
      <w:r>
        <w:rPr>
          <w:spacing w:val="-1"/>
        </w:rPr>
        <w:t> </w:t>
      </w:r>
      <w:r>
        <w:rPr/>
        <w:t>the economyby</w:t>
      </w:r>
      <w:r>
        <w:rPr>
          <w:spacing w:val="-1"/>
        </w:rPr>
        <w:t> </w:t>
      </w:r>
      <w:r>
        <w:rPr/>
        <w:t>reallocating</w:t>
      </w:r>
      <w:r>
        <w:rPr>
          <w:spacing w:val="-1"/>
        </w:rPr>
        <w:t> </w:t>
      </w:r>
      <w:r>
        <w:rPr/>
        <w:t>fundsfrom</w:t>
      </w:r>
      <w:r>
        <w:rPr>
          <w:spacing w:val="-1"/>
        </w:rPr>
        <w:t> </w:t>
      </w:r>
      <w:r>
        <w:rPr/>
        <w:t>least</w:t>
      </w:r>
      <w:r>
        <w:rPr>
          <w:spacing w:val="-1"/>
        </w:rPr>
        <w:t> </w:t>
      </w:r>
      <w:r>
        <w:rPr/>
        <w:t>to</w:t>
      </w:r>
      <w:r>
        <w:rPr>
          <w:spacing w:val="-1"/>
        </w:rPr>
        <w:t> </w:t>
      </w:r>
      <w:r>
        <w:rPr/>
        <w:t>most</w:t>
      </w:r>
      <w:r>
        <w:rPr>
          <w:spacing w:val="-1"/>
        </w:rPr>
        <w:t> </w:t>
      </w:r>
      <w:r>
        <w:rPr/>
        <w:t>productive investments. A secondchannel relates to thecapacity of the financialsector to absorbshocks. An effective financialsector will raise thepossibilities for householdsand enterprises tohedge against risksand systemic shocks (Bloch &amp; Tang, 2003).</w:t>
      </w:r>
    </w:p>
    <w:p>
      <w:pPr>
        <w:pStyle w:val="BodyText"/>
        <w:spacing w:line="480" w:lineRule="auto" w:before="161"/>
        <w:ind w:right="734"/>
        <w:jc w:val="both"/>
      </w:pPr>
      <w:r>
        <w:rPr/>
        <w:t>Theoretically, financialintegration promotes development of the financialsystem and economicgrowth (McKinnon &amp; Pill, 1997). Financial integration advances theworking of the financial systemthrough two main channels. First, financial integration increases theflows of funds and enhances financialinfrastructure through reduced asymmetric informationwhich, consequently,</w:t>
      </w:r>
      <w:r>
        <w:rPr>
          <w:spacing w:val="33"/>
        </w:rPr>
        <w:t> </w:t>
      </w:r>
      <w:r>
        <w:rPr/>
        <w:t>decreases</w:t>
      </w:r>
      <w:r>
        <w:rPr>
          <w:spacing w:val="36"/>
        </w:rPr>
        <w:t> </w:t>
      </w:r>
      <w:r>
        <w:rPr/>
        <w:t>adverse</w:t>
      </w:r>
      <w:r>
        <w:rPr>
          <w:spacing w:val="32"/>
        </w:rPr>
        <w:t> </w:t>
      </w:r>
      <w:r>
        <w:rPr/>
        <w:t>selectionand</w:t>
      </w:r>
      <w:r>
        <w:rPr>
          <w:spacing w:val="35"/>
        </w:rPr>
        <w:t> </w:t>
      </w:r>
      <w:r>
        <w:rPr/>
        <w:t>moral</w:t>
      </w:r>
      <w:r>
        <w:rPr>
          <w:spacing w:val="34"/>
        </w:rPr>
        <w:t> </w:t>
      </w:r>
      <w:r>
        <w:rPr/>
        <w:t>hazardand</w:t>
      </w:r>
      <w:r>
        <w:rPr>
          <w:spacing w:val="33"/>
        </w:rPr>
        <w:t> </w:t>
      </w:r>
      <w:r>
        <w:rPr/>
        <w:t>enhances</w:t>
      </w:r>
      <w:r>
        <w:rPr>
          <w:spacing w:val="34"/>
        </w:rPr>
        <w:t> </w:t>
      </w:r>
      <w:r>
        <w:rPr/>
        <w:t>the</w:t>
      </w:r>
      <w:r>
        <w:rPr>
          <w:spacing w:val="34"/>
        </w:rPr>
        <w:t> </w:t>
      </w:r>
      <w:r>
        <w:rPr>
          <w:spacing w:val="-2"/>
        </w:rPr>
        <w:t>availabilityof</w:t>
      </w:r>
    </w:p>
    <w:p>
      <w:pPr>
        <w:spacing w:after="0" w:line="480" w:lineRule="auto"/>
        <w:jc w:val="both"/>
        <w:sectPr>
          <w:pgSz w:w="12240" w:h="15840"/>
          <w:pgMar w:header="0" w:footer="1012" w:top="1380" w:bottom="1200" w:left="1220" w:right="700"/>
        </w:sectPr>
      </w:pPr>
    </w:p>
    <w:p>
      <w:pPr>
        <w:pStyle w:val="BodyText"/>
        <w:spacing w:line="480" w:lineRule="auto" w:before="60"/>
        <w:ind w:right="737"/>
        <w:jc w:val="both"/>
      </w:pPr>
      <w:r>
        <w:rPr/>
        <w:t>credit (Unite &amp; Sullivan2003 and Mishkin, 2006). Secondly, financial integration leads to morecomprehensive, stable, andeffective financial marketsand, as a result, increases economic growthand development (Levine, 2001).</w:t>
      </w:r>
    </w:p>
    <w:p>
      <w:pPr>
        <w:pStyle w:val="BodyText"/>
        <w:spacing w:line="480" w:lineRule="auto" w:before="161"/>
        <w:ind w:right="736"/>
        <w:jc w:val="both"/>
      </w:pPr>
      <w:r>
        <w:rPr/>
        <mc:AlternateContent>
          <mc:Choice Requires="wps">
            <w:drawing>
              <wp:anchor distT="0" distB="0" distL="0" distR="0" allowOverlap="1" layoutInCell="1" locked="0" behindDoc="1" simplePos="0" relativeHeight="478055424">
                <wp:simplePos x="0" y="0"/>
                <wp:positionH relativeFrom="page">
                  <wp:posOffset>950112</wp:posOffset>
                </wp:positionH>
                <wp:positionV relativeFrom="paragraph">
                  <wp:posOffset>187671</wp:posOffset>
                </wp:positionV>
                <wp:extent cx="5505450" cy="5661025"/>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4.777295pt;width:433.5pt;height:445.75pt;mso-position-horizontal-relative:page;mso-position-vertical-relative:paragraph;z-index:-25261056" id="docshape107" coordorigin="1496,296" coordsize="8670,8915" path="m2562,9015l1691,8144,1496,8339,2367,9210,2562,9015xm3154,8339l3153,8300,3148,8257,3139,8213,3125,8169,3106,8126,3083,8082,3055,8040,3025,7999,2991,7959,2954,7920,2435,7400,2241,7595,2772,8126,2805,8162,2829,8198,2846,8232,2856,8267,2858,8299,2851,8330,2837,8358,2816,8385,2790,8406,2761,8420,2730,8426,2697,8424,2663,8414,2628,8398,2593,8373,2557,8342,2026,7810,1831,8004,2351,8523,2385,8556,2424,8588,2468,8620,2516,8653,2548,8672,2583,8687,2620,8701,2658,8711,2697,8719,2733,8723,2767,8723,2800,8720,2831,8713,2863,8701,2895,8685,2926,8664,2957,8641,2985,8618,3011,8595,3035,8573,3071,8532,3102,8492,3125,8450,3142,8408,3150,8375,3154,8339xm3882,7556l3876,7492,3860,7426,3834,7360,3806,7305,3771,7249,3728,7192,3678,7133,3661,7114,3621,7072,3597,7050,3597,7544,3592,7584,3577,7621,3551,7654,3518,7679,3481,7694,3441,7699,3396,7693,3347,7674,3294,7643,3235,7598,3171,7539,3112,7475,3066,7416,3035,7361,3016,7312,3010,7268,3014,7228,3029,7192,3053,7160,3086,7134,3122,7119,3163,7114,3207,7119,3255,7136,3307,7166,3363,7208,3423,7263,3488,7333,3538,7396,3572,7452,3591,7500,3597,7544,3597,7050,3551,7007,3482,6952,3413,6907,3344,6872,3276,6846,3209,6830,3130,6824,3055,6834,2983,6860,2914,6900,2850,6956,2796,7019,2756,7087,2732,7159,2723,7234,2729,7314,2746,7382,2772,7451,2808,7521,2854,7591,2910,7661,2976,7732,3036,7789,3096,7839,3156,7881,3215,7916,3273,7943,3344,7967,3411,7981,3475,7984,3535,7978,3593,7962,3649,7935,3705,7897,3758,7849,3805,7795,3841,7739,3858,7699,3866,7680,3879,7619,3882,7556xm4153,6976l3966,6789,3712,7044,3899,7231,4153,6976xm4664,6914l3793,6043,3598,6238,4469,7109,4664,6914xm4998,6580l4675,6256,4781,6150,4832,6090,4837,6080,4866,6028,4883,5965,4882,5900,4866,5835,4843,5784,4836,5769,4792,5703,4733,5637,4670,5580,4607,5537,4598,5532,4598,5926,4597,5951,4587,5977,4570,6004,4546,6032,4498,6080,4304,5885,4359,5830,4386,5807,4412,5791,4438,5784,4462,5784,4486,5791,4509,5801,4531,5815,4552,5834,4570,5855,4584,5878,4593,5901,4598,5926,4598,5532,4544,5507,4483,5491,4423,5490,4365,5505,4309,5535,4255,5580,3931,5904,4803,6775,4998,6580xm5788,5790l5132,5134,5330,4935,5115,4720,4524,5312,4739,5527,4937,5328,5593,5984,5788,5790xm6423,5154l5767,4498,5966,4300,5751,4085,5159,4676,5374,4891,5573,4693,6229,5349,6423,5154xm7157,4281l7151,4217,7135,4151,7109,4085,7081,4030,7046,3974,7003,3917,6953,3858,6935,3839,6896,3798,6872,3775,6872,4269,6867,4309,6851,4346,6825,4379,6793,4405,6756,4420,6716,4424,6671,4418,6622,4399,6569,4368,6510,4323,6446,4264,6387,4200,6341,4141,6309,4086,6291,4037,6285,3993,6289,3953,6304,3917,6328,3885,6361,3860,6397,3844,6438,3839,6482,3844,6530,3862,6582,3891,6638,3934,6698,3989,6763,4058,6813,4121,6847,4177,6866,4226,6872,4269,6872,3775,6826,3732,6756,3677,6687,3632,6619,3597,6551,3571,6483,3555,6405,3550,6329,3560,6258,3585,6189,3625,6125,3681,6071,3744,6031,3812,6007,3884,5998,3959,6004,4039,6021,4107,6047,4176,6083,4246,6129,4316,6184,4386,6250,4457,6311,4514,6371,4564,6431,4606,6490,4641,6548,4668,6619,4692,6686,4706,6750,4710,6810,4703,6868,4687,6924,4660,6979,4622,7033,4574,7080,4520,7116,4464,7133,4424,7141,4405,7154,4344,7157,4281xm8170,3286l8165,3237,8153,3186,8134,3134,8109,3079,8079,3023,8041,2966,7980,2991,7799,3065,7831,3112,7855,3155,7873,3195,7884,3233,7887,3268,7881,3301,7866,3332,7843,3361,7812,3385,7778,3399,7740,3403,7700,3397,7653,3378,7600,3344,7538,3295,7469,3230,7417,3174,7375,3122,7344,3074,7324,3031,7311,2980,7312,2933,7325,2892,7352,2856,7367,2843,7384,2833,7402,2825,7422,2820,7442,2818,7464,2819,7486,2822,7509,2828,7524,2834,7542,2842,7563,2853,7586,2867,7705,2642,7622,2596,7543,2564,7469,2545,7400,2539,7333,2547,7269,2569,7206,2607,7146,2660,7092,2722,7054,2789,7030,2859,7021,2933,7027,3011,7044,3078,7070,3145,7106,3214,7153,3284,7209,3355,7276,3427,7341,3487,7404,3539,7467,3583,7529,3618,7590,3646,7662,3669,7730,3682,7791,3685,7847,3678,7900,3661,7952,3635,8004,3598,8056,3552,8094,3509,8125,3466,8147,3422,8161,3378,8169,3333,8170,3286xm8868,2570l8861,2506,8846,2441,8820,2374,8792,2319,8757,2263,8714,2206,8664,2147,8646,2128,8607,2087,8583,2064,8583,2558,8578,2598,8562,2635,8536,2668,8504,2694,8467,2709,8427,2713,8382,2707,8333,2689,8279,2657,8221,2612,8157,2553,8098,2489,8052,2430,8020,2376,8002,2327,7996,2282,8000,2242,8014,2206,8039,2174,8071,2149,8108,2133,8149,2128,8193,2133,8241,2151,8293,2180,8349,2223,8409,2278,8474,2347,8524,2410,8558,2466,8577,2515,8583,2558,8583,2064,8537,2021,8467,1966,8398,1921,8330,1886,8262,1860,8194,1844,8116,1839,8040,1849,7968,1874,7900,1915,7835,1970,7781,2034,7742,2101,7718,2173,7709,2249,7715,2328,7731,2397,7758,2466,7794,2535,7839,2605,7895,2676,7961,2746,8022,2804,8082,2853,8142,2895,8201,2930,8259,2957,8329,2982,8397,2995,8461,2999,8521,2992,8579,2976,8635,2949,8690,2911,8744,2863,8791,2809,8827,2753,8844,2713,8852,2694,8865,2633,8868,2570xm9348,2229l9025,1906,9132,1799,9182,1739,9188,1730,9216,1678,9233,1615,9233,1550,9217,1484,9194,1433,9187,1418,9142,1353,9084,1287,9020,1229,8957,1186,8948,1182,8948,1575,8947,1601,8938,1627,8921,1654,8896,1682,8849,1730,8654,1535,8710,1480,8737,1456,8763,1441,8788,1433,8812,1434,8836,1440,8859,1451,8881,1465,8902,1484,8920,1505,8934,1528,8943,1551,8948,1575,8948,1182,8895,1157,8833,1141,8773,1140,8715,1155,8659,1185,8605,1230,8282,1554,9153,2425,9348,2229xm10166,1412l9801,1047,9748,897,9593,446,9540,296,9325,511,9353,581,9436,792,9492,932,9422,904,9211,821,9071,765,8854,981,9005,1034,9456,1189,9606,1242,9971,1607,10166,1412xe" filled="true" fillcolor="#c0c0c0" stroked="false">
                <v:path arrowok="t"/>
                <v:fill opacity="32896f" type="solid"/>
                <w10:wrap type="none"/>
              </v:shape>
            </w:pict>
          </mc:Fallback>
        </mc:AlternateContent>
      </w:r>
      <w:r>
        <w:rPr/>
        <w:t>The standard open economy neoclassical-Solowmodel provides the foremost and lasting argument forcapital account liberalizationand financial integration (La Marca, 2004). Thus, under financialopenness, real interest ratedifferential between capital-abundantcountries and capital-scarce countrieswould lead to theflow of funds to thecapital-scarce countries as foreign savingsneeded for investmentand growth. Financial integration will cause thenatural flow of fundsfrom the capital-abundantdeveloped economies to thecapital-scarce developing economies whichwould ultimately lead to an “unconditional” convergence</w:t>
      </w:r>
      <w:r>
        <w:rPr>
          <w:spacing w:val="-1"/>
        </w:rPr>
        <w:t> </w:t>
      </w:r>
      <w:r>
        <w:rPr/>
        <w:t>inportfolio (asset) returns, capitalintensity, technology andper capita incomes.</w:t>
      </w:r>
    </w:p>
    <w:p>
      <w:pPr>
        <w:pStyle w:val="BodyText"/>
        <w:spacing w:line="480" w:lineRule="auto" w:before="161"/>
        <w:ind w:right="733"/>
        <w:jc w:val="both"/>
      </w:pPr>
      <w:r>
        <w:rPr/>
        <w:t>Financial integration improvesmacroeconomic policy-making andencourages the implementation of pro-growthreforms by imposing disciplineon governments (Goldberg, 2004). It strengthens corporategovernance through a more competitivemarket for corporate control; improvescountry risk-sharing (Boyle, 2009); enhances productmarket competition through the inflowof new, internationally operatingenterprise and portfoliodiversification (Armanious, 2007) and directscapital flows to the mostefficient and productive useand</w:t>
      </w:r>
      <w:r>
        <w:rPr>
          <w:spacing w:val="40"/>
        </w:rPr>
        <w:t> </w:t>
      </w:r>
      <w:r>
        <w:rPr/>
        <w:t>ensure that executives are performingat their best (Mishkin, 2003).</w:t>
      </w:r>
    </w:p>
    <w:p>
      <w:pPr>
        <w:pStyle w:val="BodyText"/>
        <w:spacing w:line="480" w:lineRule="auto" w:before="159"/>
        <w:ind w:right="734"/>
        <w:jc w:val="both"/>
      </w:pPr>
      <w:r>
        <w:rPr/>
        <w:t>Through financial integration, foreignfinancial institutions bring to domesticfinancial</w:t>
      </w:r>
      <w:r>
        <w:rPr>
          <w:spacing w:val="40"/>
        </w:rPr>
        <w:t> </w:t>
      </w:r>
      <w:r>
        <w:rPr/>
        <w:t>markets best corporatepractices and experiences that which are likely toencourage</w:t>
      </w:r>
      <w:r>
        <w:rPr>
          <w:spacing w:val="40"/>
        </w:rPr>
        <w:t> </w:t>
      </w:r>
      <w:r>
        <w:rPr/>
        <w:t>technology transfer todomestic financial institutions (Goldberg, 2004). Entry of foreign financialinstitutions</w:t>
      </w:r>
      <w:r>
        <w:rPr>
          <w:spacing w:val="42"/>
        </w:rPr>
        <w:t> </w:t>
      </w:r>
      <w:r>
        <w:rPr/>
        <w:t>helps</w:t>
      </w:r>
      <w:r>
        <w:rPr>
          <w:spacing w:val="42"/>
        </w:rPr>
        <w:t> </w:t>
      </w:r>
      <w:r>
        <w:rPr/>
        <w:t>improve</w:t>
      </w:r>
      <w:r>
        <w:rPr>
          <w:spacing w:val="41"/>
        </w:rPr>
        <w:t> </w:t>
      </w:r>
      <w:r>
        <w:rPr/>
        <w:t>domestic</w:t>
      </w:r>
      <w:r>
        <w:rPr>
          <w:spacing w:val="41"/>
        </w:rPr>
        <w:t> </w:t>
      </w:r>
      <w:r>
        <w:rPr/>
        <w:t>prudentialsupervision</w:t>
      </w:r>
      <w:r>
        <w:rPr>
          <w:spacing w:val="42"/>
        </w:rPr>
        <w:t> </w:t>
      </w:r>
      <w:r>
        <w:rPr/>
        <w:t>becausesupervisors</w:t>
      </w:r>
      <w:r>
        <w:rPr>
          <w:spacing w:val="42"/>
        </w:rPr>
        <w:t> </w:t>
      </w:r>
      <w:r>
        <w:rPr>
          <w:spacing w:val="-5"/>
        </w:rPr>
        <w:t>are</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w:t>now able to see what riskmanagement practices are successfullyused in foreign institutions and insist that they beadopted bydomestic institutions (Mishkin, 2003).</w:t>
      </w:r>
    </w:p>
    <w:p>
      <w:pPr>
        <w:pStyle w:val="BodyText"/>
        <w:spacing w:line="480" w:lineRule="auto" w:before="160"/>
        <w:ind w:right="733"/>
        <w:jc w:val="both"/>
      </w:pPr>
      <w:r>
        <w:rPr/>
        <mc:AlternateContent>
          <mc:Choice Requires="wps">
            <w:drawing>
              <wp:anchor distT="0" distB="0" distL="0" distR="0" allowOverlap="1" layoutInCell="1" locked="0" behindDoc="1" simplePos="0" relativeHeight="478055936">
                <wp:simplePos x="0" y="0"/>
                <wp:positionH relativeFrom="page">
                  <wp:posOffset>950112</wp:posOffset>
                </wp:positionH>
                <wp:positionV relativeFrom="paragraph">
                  <wp:posOffset>552765</wp:posOffset>
                </wp:positionV>
                <wp:extent cx="5505450" cy="5661025"/>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60544" id="docshape108"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However, despite its notableadvantages, financial integration has beenclaimed to expose a country to capital flightand financial crisisand financial malpractices (Boyle, 2009). Rogoff, Kose, Prasad and Wei (2006) note thatfinancial market integration can heighten acountry’s vulnerability</w:t>
      </w:r>
      <w:r>
        <w:rPr>
          <w:spacing w:val="-2"/>
        </w:rPr>
        <w:t> </w:t>
      </w:r>
      <w:r>
        <w:rPr/>
        <w:t>tomacroeconomic</w:t>
      </w:r>
      <w:r>
        <w:rPr>
          <w:spacing w:val="-2"/>
        </w:rPr>
        <w:t> </w:t>
      </w:r>
      <w:r>
        <w:rPr/>
        <w:t>instability</w:t>
      </w:r>
      <w:r>
        <w:rPr>
          <w:spacing w:val="-2"/>
        </w:rPr>
        <w:t> </w:t>
      </w:r>
      <w:r>
        <w:rPr/>
        <w:t>and</w:t>
      </w:r>
      <w:r>
        <w:rPr>
          <w:spacing w:val="-3"/>
        </w:rPr>
        <w:t> </w:t>
      </w:r>
      <w:r>
        <w:rPr/>
        <w:t>financialcrisis</w:t>
      </w:r>
      <w:r>
        <w:rPr>
          <w:spacing w:val="-1"/>
        </w:rPr>
        <w:t> </w:t>
      </w:r>
      <w:r>
        <w:rPr/>
        <w:t>if</w:t>
      </w:r>
      <w:r>
        <w:rPr>
          <w:spacing w:val="-2"/>
        </w:rPr>
        <w:t> </w:t>
      </w:r>
      <w:r>
        <w:rPr/>
        <w:t>a</w:t>
      </w:r>
      <w:r>
        <w:rPr>
          <w:spacing w:val="-3"/>
        </w:rPr>
        <w:t> </w:t>
      </w:r>
      <w:r>
        <w:rPr/>
        <w:t>country’s</w:t>
      </w:r>
      <w:r>
        <w:rPr>
          <w:spacing w:val="-1"/>
        </w:rPr>
        <w:t> </w:t>
      </w:r>
      <w:r>
        <w:rPr/>
        <w:t>financialmarket</w:t>
      </w:r>
      <w:r>
        <w:rPr>
          <w:spacing w:val="-2"/>
        </w:rPr>
        <w:t> </w:t>
      </w:r>
      <w:r>
        <w:rPr/>
        <w:t>is imperfect. The imperfections in financial market can generate speculativeattacks’ bubbles, and herding behavioramong others. Imperfections in international financialmarkets may also lead to financial crises even incountries with soundfundamentals. It was also pointed outthat inadequate financial infrastructureduring the process ofintegration can weaken thehealth of the local financial marketand increase itsvulnerability (Lane &amp; Mislesi-ferretti 2006).</w:t>
      </w:r>
    </w:p>
    <w:p>
      <w:pPr>
        <w:pStyle w:val="BodyText"/>
        <w:spacing w:line="480" w:lineRule="auto" w:before="162"/>
        <w:ind w:right="736"/>
        <w:jc w:val="both"/>
      </w:pPr>
      <w:r>
        <w:rPr/>
        <w:t>Hence, for countriesto benefit from financialintegration, Mishkin (2006) points outsome prerequisites whichinclude: developing strongproperty rights, strengthening the legalsystem, reducing corruption, improving thequality of financial information, improvingcorporate governance, andgetting the government outof the business of directingcredit.</w:t>
      </w:r>
    </w:p>
    <w:p>
      <w:pPr>
        <w:pStyle w:val="BodyText"/>
        <w:ind w:left="0"/>
      </w:pPr>
    </w:p>
    <w:p>
      <w:pPr>
        <w:pStyle w:val="BodyText"/>
        <w:spacing w:before="31"/>
        <w:ind w:left="0"/>
      </w:pPr>
    </w:p>
    <w:p>
      <w:pPr>
        <w:pStyle w:val="Heading2"/>
        <w:numPr>
          <w:ilvl w:val="2"/>
          <w:numId w:val="21"/>
        </w:numPr>
        <w:tabs>
          <w:tab w:pos="780" w:val="left" w:leader="none"/>
        </w:tabs>
        <w:spacing w:line="240" w:lineRule="auto" w:before="0" w:after="0"/>
        <w:ind w:left="780" w:right="0" w:hanging="560"/>
        <w:jc w:val="left"/>
      </w:pPr>
      <w:r>
        <w:rPr/>
        <mc:AlternateContent>
          <mc:Choice Requires="wps">
            <w:drawing>
              <wp:anchor distT="0" distB="0" distL="0" distR="0" allowOverlap="1" layoutInCell="1" locked="0" behindDoc="1" simplePos="0" relativeHeight="478056448">
                <wp:simplePos x="0" y="0"/>
                <wp:positionH relativeFrom="page">
                  <wp:posOffset>896416</wp:posOffset>
                </wp:positionH>
                <wp:positionV relativeFrom="paragraph">
                  <wp:posOffset>750</wp:posOffset>
                </wp:positionV>
                <wp:extent cx="5981065" cy="36449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5981065" cy="364490"/>
                        </a:xfrm>
                        <a:custGeom>
                          <a:avLst/>
                          <a:gdLst/>
                          <a:ahLst/>
                          <a:cxnLst/>
                          <a:rect l="l" t="t" r="r" b="b"/>
                          <a:pathLst>
                            <a:path w="5981065" h="364490">
                              <a:moveTo>
                                <a:pt x="5981065" y="0"/>
                              </a:moveTo>
                              <a:lnTo>
                                <a:pt x="0" y="0"/>
                              </a:lnTo>
                              <a:lnTo>
                                <a:pt x="0" y="364236"/>
                              </a:lnTo>
                              <a:lnTo>
                                <a:pt x="5981065" y="364236"/>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059062pt;width:470.95pt;height:28.68pt;mso-position-horizontal-relative:page;mso-position-vertical-relative:paragraph;z-index:-25260032" id="docshape109" filled="true" fillcolor="#ffffff" stroked="false">
                <v:fill type="solid"/>
                <w10:wrap type="none"/>
              </v:rect>
            </w:pict>
          </mc:Fallback>
        </mc:AlternateContent>
      </w:r>
      <w:bookmarkStart w:name="_TOC_250044" w:id="31"/>
      <w:r>
        <w:rPr/>
        <w:t>Foreign</w:t>
      </w:r>
      <w:r>
        <w:rPr>
          <w:spacing w:val="-10"/>
        </w:rPr>
        <w:t> </w:t>
      </w:r>
      <w:r>
        <w:rPr/>
        <w:t>Direct</w:t>
      </w:r>
      <w:r>
        <w:rPr>
          <w:spacing w:val="-9"/>
        </w:rPr>
        <w:t> </w:t>
      </w:r>
      <w:r>
        <w:rPr/>
        <w:t>Investment</w:t>
      </w:r>
      <w:r>
        <w:rPr>
          <w:spacing w:val="-8"/>
        </w:rPr>
        <w:t> </w:t>
      </w:r>
      <w:r>
        <w:rPr/>
        <w:t>Inflow</w:t>
      </w:r>
      <w:r>
        <w:rPr>
          <w:spacing w:val="-9"/>
        </w:rPr>
        <w:t> </w:t>
      </w:r>
      <w:r>
        <w:rPr/>
        <w:t>and</w:t>
      </w:r>
      <w:r>
        <w:rPr>
          <w:spacing w:val="-8"/>
        </w:rPr>
        <w:t> </w:t>
      </w:r>
      <w:r>
        <w:rPr/>
        <w:t>Economic</w:t>
      </w:r>
      <w:r>
        <w:rPr>
          <w:spacing w:val="-9"/>
        </w:rPr>
        <w:t> </w:t>
      </w:r>
      <w:bookmarkEnd w:id="31"/>
      <w:r>
        <w:rPr>
          <w:spacing w:val="-2"/>
        </w:rPr>
        <w:t>Growth</w:t>
      </w:r>
    </w:p>
    <w:p>
      <w:pPr>
        <w:pStyle w:val="BodyText"/>
        <w:spacing w:before="160"/>
        <w:ind w:left="0"/>
        <w:rPr>
          <w:b/>
        </w:rPr>
      </w:pPr>
    </w:p>
    <w:p>
      <w:pPr>
        <w:pStyle w:val="BodyText"/>
        <w:spacing w:line="480" w:lineRule="auto"/>
        <w:ind w:right="734"/>
        <w:jc w:val="both"/>
      </w:pPr>
      <w:r>
        <w:rPr/>
        <w:t>In most developing countries, Foreign DirectInvestment (FDI) serves as a meansof earning foreign reserves viainvestments, businesses and foreignaids from advancedcountries. FDI is considered</w:t>
      </w:r>
      <w:r>
        <w:rPr>
          <w:spacing w:val="-1"/>
        </w:rPr>
        <w:t> </w:t>
      </w:r>
      <w:r>
        <w:rPr/>
        <w:t>a</w:t>
      </w:r>
      <w:r>
        <w:rPr>
          <w:spacing w:val="-2"/>
        </w:rPr>
        <w:t> </w:t>
      </w:r>
      <w:r>
        <w:rPr/>
        <w:t>valuable</w:t>
      </w:r>
      <w:r>
        <w:rPr>
          <w:spacing w:val="-2"/>
        </w:rPr>
        <w:t> </w:t>
      </w:r>
      <w:r>
        <w:rPr/>
        <w:t>sourceof</w:t>
      </w:r>
      <w:r>
        <w:rPr>
          <w:spacing w:val="-1"/>
        </w:rPr>
        <w:t> </w:t>
      </w:r>
      <w:r>
        <w:rPr/>
        <w:t>finance</w:t>
      </w:r>
      <w:r>
        <w:rPr>
          <w:spacing w:val="-2"/>
        </w:rPr>
        <w:t> </w:t>
      </w:r>
      <w:r>
        <w:rPr/>
        <w:t>and</w:t>
      </w:r>
      <w:r>
        <w:rPr>
          <w:spacing w:val="-1"/>
        </w:rPr>
        <w:t> </w:t>
      </w:r>
      <w:r>
        <w:rPr/>
        <w:t>capitalformation,</w:t>
      </w:r>
      <w:r>
        <w:rPr>
          <w:spacing w:val="-1"/>
        </w:rPr>
        <w:t> </w:t>
      </w:r>
      <w:r>
        <w:rPr/>
        <w:t>Technology-Transferand</w:t>
      </w:r>
      <w:r>
        <w:rPr>
          <w:spacing w:val="-1"/>
        </w:rPr>
        <w:t> </w:t>
      </w:r>
      <w:r>
        <w:rPr/>
        <w:t>know- how, as well as a viablemedium for trade amongcountries. The Spillovereffect also allows</w:t>
      </w:r>
      <w:r>
        <w:rPr>
          <w:spacing w:val="80"/>
        </w:rPr>
        <w:t> </w:t>
      </w:r>
      <w:r>
        <w:rPr/>
        <w:t>for</w:t>
      </w:r>
      <w:r>
        <w:rPr>
          <w:spacing w:val="19"/>
        </w:rPr>
        <w:t> </w:t>
      </w:r>
      <w:r>
        <w:rPr/>
        <w:t>the</w:t>
      </w:r>
      <w:r>
        <w:rPr>
          <w:spacing w:val="19"/>
        </w:rPr>
        <w:t> </w:t>
      </w:r>
      <w:r>
        <w:rPr/>
        <w:t>transferof</w:t>
      </w:r>
      <w:r>
        <w:rPr>
          <w:spacing w:val="20"/>
        </w:rPr>
        <w:t> </w:t>
      </w:r>
      <w:r>
        <w:rPr/>
        <w:t>innovations</w:t>
      </w:r>
      <w:r>
        <w:rPr>
          <w:spacing w:val="21"/>
        </w:rPr>
        <w:t> </w:t>
      </w:r>
      <w:r>
        <w:rPr/>
        <w:t>and</w:t>
      </w:r>
      <w:r>
        <w:rPr>
          <w:spacing w:val="18"/>
        </w:rPr>
        <w:t> </w:t>
      </w:r>
      <w:r>
        <w:rPr/>
        <w:t>inventionto</w:t>
      </w:r>
      <w:r>
        <w:rPr>
          <w:spacing w:val="20"/>
        </w:rPr>
        <w:t> </w:t>
      </w:r>
      <w:r>
        <w:rPr/>
        <w:t>the</w:t>
      </w:r>
      <w:r>
        <w:rPr>
          <w:spacing w:val="19"/>
        </w:rPr>
        <w:t> </w:t>
      </w:r>
      <w:r>
        <w:rPr/>
        <w:t>receiving</w:t>
      </w:r>
      <w:r>
        <w:rPr>
          <w:spacing w:val="19"/>
        </w:rPr>
        <w:t> </w:t>
      </w:r>
      <w:r>
        <w:rPr/>
        <w:t>countries,</w:t>
      </w:r>
      <w:r>
        <w:rPr>
          <w:spacing w:val="20"/>
        </w:rPr>
        <w:t> </w:t>
      </w:r>
      <w:r>
        <w:rPr/>
        <w:t>oneof</w:t>
      </w:r>
      <w:r>
        <w:rPr>
          <w:spacing w:val="20"/>
        </w:rPr>
        <w:t> </w:t>
      </w:r>
      <w:r>
        <w:rPr/>
        <w:t>which</w:t>
      </w:r>
      <w:r>
        <w:rPr>
          <w:spacing w:val="18"/>
        </w:rPr>
        <w:t> </w:t>
      </w:r>
      <w:r>
        <w:rPr>
          <w:spacing w:val="-2"/>
        </w:rPr>
        <w:t>Nigeria</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56960">
                <wp:simplePos x="0" y="0"/>
                <wp:positionH relativeFrom="page">
                  <wp:posOffset>950112</wp:posOffset>
                </wp:positionH>
                <wp:positionV relativeFrom="paragraph">
                  <wp:posOffset>1321053</wp:posOffset>
                </wp:positionV>
                <wp:extent cx="5505450" cy="5661025"/>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59520" id="docshape110"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belongs. According to therequirement for acceleratedgrowth in associationwith the Sustainable DevelopmentGoals is not completelyclear, however, for economies toexperience sustainable and inclusivedevelopment, cross-bordertrade is paramount (UNCTAD, 2019). Given this backdrop, there is littlewonder that the last fewdecades have witnessed a phenomenalupsurge in the flow offoreign direct investment (FDI) to developingcountries. The low income countries in theirdevelopmental process are becoming increasingly conscious of the fact that FDI is amajor stimulus to economicgrowth and developmentgiven the inadequacy offinancial resources, technologyand skills. Several otherreasons can be adduced for thedramatic increase in the inflowof FDI to developingcountries. These include low levels ofdomestic savings, underdevelopedfinancial sector as evidenced in thelimited capacity to harnessdomestic financial resources amongother factors. Furthermore, thenew wave of globalization, has added moreimpetus to the flowof FDI to the hostcountries (Maghori, 2014).</w:t>
      </w:r>
    </w:p>
    <w:p>
      <w:pPr>
        <w:pStyle w:val="BodyText"/>
        <w:spacing w:line="480" w:lineRule="auto" w:before="161"/>
        <w:ind w:right="734"/>
        <w:jc w:val="both"/>
      </w:pPr>
      <w:r>
        <w:rPr/>
        <w:t>Foreign direct investment has beendebated to be an importantvehicle for the transferof technology, contributing togrowth in larger measures often more thandomestic investment. Therefore, the need forgovernment to provide specialincentives in order to motivateforeign firms to set upcompanies in the countrybecomes important.</w:t>
      </w:r>
      <w:r>
        <w:rPr>
          <w:spacing w:val="80"/>
        </w:rPr>
        <w:t> </w:t>
      </w:r>
      <w:r>
        <w:rPr/>
        <w:t>Carkovic and Levine (2008)</w:t>
      </w:r>
      <w:r>
        <w:rPr>
          <w:spacing w:val="40"/>
        </w:rPr>
        <w:t> </w:t>
      </w:r>
      <w:r>
        <w:rPr/>
        <w:t>note that economicrationale for offering specialincentives to attract FDI frequentlyderives from the belief thatforeign investment producesexternalities in the form oftechnology transferand spillover benefits.</w:t>
      </w:r>
    </w:p>
    <w:p>
      <w:pPr>
        <w:pStyle w:val="BodyText"/>
        <w:spacing w:line="480" w:lineRule="auto" w:before="161"/>
        <w:ind w:right="735"/>
        <w:jc w:val="both"/>
      </w:pPr>
      <w:r>
        <w:rPr/>
        <w:t>Foreign direct investment (FDI) has played aleading role in manyof the economiesof the Africa.</w:t>
      </w:r>
      <w:r>
        <w:rPr>
          <w:spacing w:val="1"/>
        </w:rPr>
        <w:t> </w:t>
      </w:r>
      <w:r>
        <w:rPr/>
        <w:t>There</w:t>
      </w:r>
      <w:r>
        <w:rPr>
          <w:spacing w:val="1"/>
        </w:rPr>
        <w:t> </w:t>
      </w:r>
      <w:r>
        <w:rPr/>
        <w:t>is</w:t>
      </w:r>
      <w:r>
        <w:rPr>
          <w:spacing w:val="3"/>
        </w:rPr>
        <w:t> </w:t>
      </w:r>
      <w:r>
        <w:rPr/>
        <w:t>a</w:t>
      </w:r>
      <w:r>
        <w:rPr>
          <w:spacing w:val="3"/>
        </w:rPr>
        <w:t> </w:t>
      </w:r>
      <w:r>
        <w:rPr/>
        <w:t>widespreadbelief</w:t>
      </w:r>
      <w:r>
        <w:rPr>
          <w:spacing w:val="2"/>
        </w:rPr>
        <w:t> </w:t>
      </w:r>
      <w:r>
        <w:rPr/>
        <w:t>among</w:t>
      </w:r>
      <w:r>
        <w:rPr>
          <w:spacing w:val="4"/>
        </w:rPr>
        <w:t> </w:t>
      </w:r>
      <w:r>
        <w:rPr/>
        <w:t>policymakers</w:t>
      </w:r>
      <w:r>
        <w:rPr>
          <w:spacing w:val="2"/>
        </w:rPr>
        <w:t> </w:t>
      </w:r>
      <w:r>
        <w:rPr/>
        <w:t>thatforeign</w:t>
      </w:r>
      <w:r>
        <w:rPr>
          <w:spacing w:val="2"/>
        </w:rPr>
        <w:t> </w:t>
      </w:r>
      <w:r>
        <w:rPr/>
        <w:t>direct</w:t>
      </w:r>
      <w:r>
        <w:rPr>
          <w:spacing w:val="2"/>
        </w:rPr>
        <w:t> </w:t>
      </w:r>
      <w:r>
        <w:rPr/>
        <w:t>investment</w:t>
      </w:r>
      <w:r>
        <w:rPr>
          <w:spacing w:val="4"/>
        </w:rPr>
        <w:t> </w:t>
      </w:r>
      <w:r>
        <w:rPr>
          <w:spacing w:val="-2"/>
        </w:rPr>
        <w:t>(FDI)</w:t>
      </w:r>
    </w:p>
    <w:p>
      <w:pPr>
        <w:spacing w:after="0" w:line="480" w:lineRule="auto"/>
        <w:jc w:val="both"/>
        <w:sectPr>
          <w:pgSz w:w="12240" w:h="15840"/>
          <w:pgMar w:header="0" w:footer="1012" w:top="1380" w:bottom="1200" w:left="1220" w:right="700"/>
        </w:sectPr>
      </w:pPr>
    </w:p>
    <w:p>
      <w:pPr>
        <w:pStyle w:val="BodyText"/>
        <w:spacing w:line="480" w:lineRule="auto" w:before="60"/>
        <w:ind w:right="736"/>
        <w:jc w:val="both"/>
      </w:pPr>
      <w:r>
        <w:rPr/>
        <mc:AlternateContent>
          <mc:Choice Requires="wps">
            <w:drawing>
              <wp:anchor distT="0" distB="0" distL="0" distR="0" allowOverlap="1" layoutInCell="1" locked="0" behindDoc="1" simplePos="0" relativeHeight="478057472">
                <wp:simplePos x="0" y="0"/>
                <wp:positionH relativeFrom="page">
                  <wp:posOffset>950112</wp:posOffset>
                </wp:positionH>
                <wp:positionV relativeFrom="paragraph">
                  <wp:posOffset>1321053</wp:posOffset>
                </wp:positionV>
                <wp:extent cx="5505450" cy="5661025"/>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59008" id="docshape111"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enhances the productivityof host countries and promotesdevelopment (Antwi, Atta Mills, Atta Mills, &amp; Xicang, 2013). Althoughempirical studies offer rich insightson the impact of FDI and economicgrowth in host country, it providesmixed evidence on theexistence of its effect and role. Besides tocontribute the domesticinvestments, FDI enhances theforeign technologyabsorptive</w:t>
      </w:r>
      <w:r>
        <w:rPr>
          <w:spacing w:val="-6"/>
        </w:rPr>
        <w:t> </w:t>
      </w:r>
      <w:r>
        <w:rPr/>
        <w:t>capacity,</w:t>
      </w:r>
      <w:r>
        <w:rPr>
          <w:spacing w:val="-6"/>
        </w:rPr>
        <w:t> </w:t>
      </w:r>
      <w:r>
        <w:rPr/>
        <w:t>assists</w:t>
      </w:r>
      <w:r>
        <w:rPr>
          <w:spacing w:val="-4"/>
        </w:rPr>
        <w:t> </w:t>
      </w:r>
      <w:r>
        <w:rPr/>
        <w:t>ininnovation</w:t>
      </w:r>
      <w:r>
        <w:rPr>
          <w:spacing w:val="-6"/>
        </w:rPr>
        <w:t> </w:t>
      </w:r>
      <w:r>
        <w:rPr/>
        <w:t>and</w:t>
      </w:r>
      <w:r>
        <w:rPr>
          <w:spacing w:val="-6"/>
        </w:rPr>
        <w:t> </w:t>
      </w:r>
      <w:r>
        <w:rPr/>
        <w:t>technologytransfers</w:t>
      </w:r>
      <w:r>
        <w:rPr>
          <w:spacing w:val="-4"/>
        </w:rPr>
        <w:t> </w:t>
      </w:r>
      <w:r>
        <w:rPr/>
        <w:t>and</w:t>
      </w:r>
      <w:r>
        <w:rPr>
          <w:spacing w:val="-6"/>
        </w:rPr>
        <w:t> </w:t>
      </w:r>
      <w:r>
        <w:rPr/>
        <w:t>management skills, promotes internationaltrade integration and forces tostrength the competitive environment in ahost country.</w:t>
      </w:r>
    </w:p>
    <w:p>
      <w:pPr>
        <w:pStyle w:val="BodyText"/>
        <w:spacing w:line="480" w:lineRule="auto" w:before="161"/>
        <w:ind w:right="735"/>
        <w:jc w:val="both"/>
      </w:pPr>
      <w:r>
        <w:rPr/>
        <w:t>Ample of studies suggest that thesignificant positive effects while somestudies find no independent effectof FDI on host countryeconomic growth. Moreover, theexisting studies have mostly focusedon explore impact ofinward FDI on host country economicgrowth. For example De-Mello (1999)suggests that whetherFDI contributes to theeconomic growth depends on quantumof skilled labour in hostcountry. Borensztein, De-Gregorioand Lee (1998) also establishedthat although FDI has apositive impact on GDP, themagnitude of effect depends onhuman capital level. In thesame vein, Xu (2000) finds that FDIbrings technology and itforces into higher economicgrowth only when the hostcountry has</w:t>
      </w:r>
      <w:r>
        <w:rPr>
          <w:spacing w:val="40"/>
        </w:rPr>
        <w:t> </w:t>
      </w:r>
      <w:r>
        <w:rPr/>
        <w:t>minimum thresholdlevel of humancapital. Alfaro (2003) finds that total FDI anambiguous effect on hostcountry economic growth; FDI inflows intoprimary sector tend+ tohave negative effecton growth, manufacturingsector has positivespillover. Balasubramanyan, Salisu andSapsford (1996) find that FDI enforceseconomic growth and its effect isrelatively stronger forcountries that pursue outwardoriented trade policy.</w:t>
      </w:r>
    </w:p>
    <w:p>
      <w:pPr>
        <w:pStyle w:val="BodyText"/>
        <w:spacing w:line="480" w:lineRule="auto" w:before="161"/>
        <w:ind w:right="739"/>
        <w:jc w:val="both"/>
      </w:pPr>
      <w:r>
        <w:rPr/>
        <w:t>On the other hand Lyroudi, Papanastasiouand Vamvakidis (2004) show that thereis no significant</w:t>
      </w:r>
      <w:r>
        <w:rPr>
          <w:spacing w:val="12"/>
        </w:rPr>
        <w:t> </w:t>
      </w:r>
      <w:r>
        <w:rPr/>
        <w:t>relationshipbetween</w:t>
      </w:r>
      <w:r>
        <w:rPr>
          <w:spacing w:val="13"/>
        </w:rPr>
        <w:t> </w:t>
      </w:r>
      <w:r>
        <w:rPr/>
        <w:t>FDI</w:t>
      </w:r>
      <w:r>
        <w:rPr>
          <w:spacing w:val="14"/>
        </w:rPr>
        <w:t> </w:t>
      </w:r>
      <w:r>
        <w:rPr/>
        <w:t>and</w:t>
      </w:r>
      <w:r>
        <w:rPr>
          <w:spacing w:val="15"/>
        </w:rPr>
        <w:t> </w:t>
      </w:r>
      <w:r>
        <w:rPr/>
        <w:t>economic</w:t>
      </w:r>
      <w:r>
        <w:rPr>
          <w:spacing w:val="13"/>
        </w:rPr>
        <w:t> </w:t>
      </w:r>
      <w:r>
        <w:rPr/>
        <w:t>growth.</w:t>
      </w:r>
      <w:r>
        <w:rPr>
          <w:spacing w:val="14"/>
        </w:rPr>
        <w:t> </w:t>
      </w:r>
      <w:r>
        <w:rPr/>
        <w:t>Otherstudies</w:t>
      </w:r>
      <w:r>
        <w:rPr>
          <w:spacing w:val="14"/>
        </w:rPr>
        <w:t> </w:t>
      </w:r>
      <w:r>
        <w:rPr/>
        <w:t>like</w:t>
      </w:r>
      <w:r>
        <w:rPr>
          <w:spacing w:val="15"/>
        </w:rPr>
        <w:t> </w:t>
      </w:r>
      <w:r>
        <w:rPr/>
        <w:t>Najia</w:t>
      </w:r>
      <w:r>
        <w:rPr>
          <w:spacing w:val="12"/>
        </w:rPr>
        <w:t> </w:t>
      </w:r>
      <w:r>
        <w:rPr>
          <w:spacing w:val="-2"/>
        </w:rPr>
        <w:t>Maryam</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57984">
                <wp:simplePos x="0" y="0"/>
                <wp:positionH relativeFrom="page">
                  <wp:posOffset>950112</wp:posOffset>
                </wp:positionH>
                <wp:positionV relativeFrom="paragraph">
                  <wp:posOffset>1321053</wp:posOffset>
                </wp:positionV>
                <wp:extent cx="5505450" cy="5661025"/>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58496" id="docshape112"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and Nabeel (2013) indicates thatPakistan’s economicperformance is negatively affected by foreign investmentwhile its domestic investment has benefitted itseconomy. Similarly, Awe (2013) reports a negativerelationship between economicgrowth proxied by GrossDomestic Product (GDP) and ForeignDirect Investment (FDI) as a resultof insufficient FDI flow into the Nigerianeconomy. Also, Basem andAbeer (2011) econometric resultshows that FDI inflows do not exert anindependent influence oneconomic growth.</w:t>
      </w:r>
    </w:p>
    <w:p>
      <w:pPr>
        <w:pStyle w:val="BodyText"/>
        <w:spacing w:line="480" w:lineRule="auto"/>
        <w:ind w:right="734"/>
        <w:jc w:val="both"/>
      </w:pPr>
      <w:r>
        <w:rPr/>
        <w:t>While the FDI-growth linkage is stillambiguous, most macroeconomicstudies nevertheless support the notion of a positiverole of FDI within particulareconomic conditions. There are three main channels through which FDI can bring about economic growth. The first is through the release it affords from the binding constraint of domestic savings. In this case, foreign direct investmentaugments domesticsavings in the process of capitalaccumulation. Second, FDI is the mainconduit through which technologyspillovers lead to anincrease in factor productivityand efficiency in theutilization of resources, which leads togrowth. Third, FDI leads to increase inexports as a result ofincreased capacity andcompetitiveness in domesticproduction. This linkage is oftensaid to depend on anotherfactor, called “absorptive capacity”, which includes thelevel of human capitaldevelopment, type of traderegimes and degree ofopenness (Ajayi, 2006).</w:t>
      </w:r>
    </w:p>
    <w:p>
      <w:pPr>
        <w:pStyle w:val="BodyText"/>
        <w:ind w:left="0"/>
      </w:pPr>
    </w:p>
    <w:p>
      <w:pPr>
        <w:pStyle w:val="Heading2"/>
        <w:numPr>
          <w:ilvl w:val="2"/>
          <w:numId w:val="21"/>
        </w:numPr>
        <w:tabs>
          <w:tab w:pos="780" w:val="left" w:leader="none"/>
        </w:tabs>
        <w:spacing w:line="240" w:lineRule="auto" w:before="0" w:after="0"/>
        <w:ind w:left="780" w:right="0" w:hanging="560"/>
        <w:jc w:val="left"/>
      </w:pPr>
      <w:r>
        <w:rPr/>
        <mc:AlternateContent>
          <mc:Choice Requires="wps">
            <w:drawing>
              <wp:anchor distT="0" distB="0" distL="0" distR="0" allowOverlap="1" layoutInCell="1" locked="0" behindDoc="1" simplePos="0" relativeHeight="478058496">
                <wp:simplePos x="0" y="0"/>
                <wp:positionH relativeFrom="page">
                  <wp:posOffset>896416</wp:posOffset>
                </wp:positionH>
                <wp:positionV relativeFrom="paragraph">
                  <wp:posOffset>-181004</wp:posOffset>
                </wp:positionV>
                <wp:extent cx="5981065" cy="1014094"/>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5981065" cy="1014094"/>
                        </a:xfrm>
                        <a:custGeom>
                          <a:avLst/>
                          <a:gdLst/>
                          <a:ahLst/>
                          <a:cxnLst/>
                          <a:rect l="l" t="t" r="r" b="b"/>
                          <a:pathLst>
                            <a:path w="5981065" h="1014094">
                              <a:moveTo>
                                <a:pt x="5981065" y="181432"/>
                              </a:moveTo>
                              <a:lnTo>
                                <a:pt x="0" y="181432"/>
                              </a:lnTo>
                              <a:lnTo>
                                <a:pt x="0" y="547497"/>
                              </a:lnTo>
                              <a:lnTo>
                                <a:pt x="0" y="1013841"/>
                              </a:lnTo>
                              <a:lnTo>
                                <a:pt x="5981065" y="1013841"/>
                              </a:lnTo>
                              <a:lnTo>
                                <a:pt x="5981065" y="547497"/>
                              </a:lnTo>
                              <a:lnTo>
                                <a:pt x="5981065" y="181432"/>
                              </a:lnTo>
                              <a:close/>
                            </a:path>
                            <a:path w="5981065" h="1014094">
                              <a:moveTo>
                                <a:pt x="5981065" y="0"/>
                              </a:moveTo>
                              <a:lnTo>
                                <a:pt x="0" y="0"/>
                              </a:lnTo>
                              <a:lnTo>
                                <a:pt x="0" y="181356"/>
                              </a:lnTo>
                              <a:lnTo>
                                <a:pt x="5981065" y="181356"/>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4.252286pt;width:470.95pt;height:79.850pt;mso-position-horizontal-relative:page;mso-position-vertical-relative:paragraph;z-index:-25257984" id="docshape113" coordorigin="1412,-285" coordsize="9419,1597" path="m10831,1l1412,1,1412,577,1412,1312,10831,1312,10831,577,10831,1xm10831,-285l1412,-285,1412,1,10831,1,10831,-285xe" filled="true" fillcolor="#ffffff" stroked="false">
                <v:path arrowok="t"/>
                <v:fill type="solid"/>
                <w10:wrap type="none"/>
              </v:shape>
            </w:pict>
          </mc:Fallback>
        </mc:AlternateContent>
      </w:r>
      <w:bookmarkStart w:name="_TOC_250043" w:id="32"/>
      <w:r>
        <w:rPr/>
        <w:t>Foreign</w:t>
      </w:r>
      <w:r>
        <w:rPr>
          <w:spacing w:val="-10"/>
        </w:rPr>
        <w:t> </w:t>
      </w:r>
      <w:r>
        <w:rPr/>
        <w:t>Portfolio</w:t>
      </w:r>
      <w:r>
        <w:rPr>
          <w:spacing w:val="-9"/>
        </w:rPr>
        <w:t> </w:t>
      </w:r>
      <w:r>
        <w:rPr/>
        <w:t>Investment</w:t>
      </w:r>
      <w:r>
        <w:rPr>
          <w:spacing w:val="-10"/>
        </w:rPr>
        <w:t> </w:t>
      </w:r>
      <w:r>
        <w:rPr/>
        <w:t>Inflow</w:t>
      </w:r>
      <w:r>
        <w:rPr>
          <w:spacing w:val="-9"/>
        </w:rPr>
        <w:t> </w:t>
      </w:r>
      <w:r>
        <w:rPr/>
        <w:t>and</w:t>
      </w:r>
      <w:r>
        <w:rPr>
          <w:spacing w:val="-9"/>
        </w:rPr>
        <w:t> </w:t>
      </w:r>
      <w:r>
        <w:rPr/>
        <w:t>Economic</w:t>
      </w:r>
      <w:r>
        <w:rPr>
          <w:spacing w:val="-9"/>
        </w:rPr>
        <w:t> </w:t>
      </w:r>
      <w:bookmarkEnd w:id="32"/>
      <w:r>
        <w:rPr>
          <w:spacing w:val="-2"/>
        </w:rPr>
        <w:t>Growth</w:t>
      </w:r>
    </w:p>
    <w:p>
      <w:pPr>
        <w:pStyle w:val="BodyText"/>
        <w:spacing w:before="162"/>
        <w:ind w:left="0"/>
        <w:rPr>
          <w:b/>
        </w:rPr>
      </w:pPr>
    </w:p>
    <w:p>
      <w:pPr>
        <w:pStyle w:val="BodyText"/>
        <w:spacing w:line="480" w:lineRule="auto"/>
        <w:ind w:right="734"/>
        <w:jc w:val="both"/>
      </w:pPr>
      <w:r>
        <w:rPr/>
        <w:t>Growth of foreigncapital inflows to emergingworld since the end of the 20thcentury has stimulated debateamong the scholars likeMarkowitz (1952); Tobin (1958) andBlume (1970). This</w:t>
      </w:r>
      <w:r>
        <w:rPr>
          <w:spacing w:val="-2"/>
        </w:rPr>
        <w:t> </w:t>
      </w:r>
      <w:r>
        <w:rPr/>
        <w:t>is</w:t>
      </w:r>
      <w:r>
        <w:rPr>
          <w:spacing w:val="-2"/>
        </w:rPr>
        <w:t> </w:t>
      </w:r>
      <w:r>
        <w:rPr/>
        <w:t>attributed</w:t>
      </w:r>
      <w:r>
        <w:rPr>
          <w:spacing w:val="-4"/>
        </w:rPr>
        <w:t> </w:t>
      </w:r>
      <w:r>
        <w:rPr/>
        <w:t>tochange</w:t>
      </w:r>
      <w:r>
        <w:rPr>
          <w:spacing w:val="-4"/>
        </w:rPr>
        <w:t> </w:t>
      </w:r>
      <w:r>
        <w:rPr/>
        <w:t>in</w:t>
      </w:r>
      <w:r>
        <w:rPr>
          <w:spacing w:val="-4"/>
        </w:rPr>
        <w:t> </w:t>
      </w:r>
      <w:r>
        <w:rPr/>
        <w:t>differenteconomic</w:t>
      </w:r>
      <w:r>
        <w:rPr>
          <w:spacing w:val="-1"/>
        </w:rPr>
        <w:t> </w:t>
      </w:r>
      <w:r>
        <w:rPr/>
        <w:t>fundamentals</w:t>
      </w:r>
      <w:r>
        <w:rPr>
          <w:spacing w:val="-2"/>
        </w:rPr>
        <w:t> </w:t>
      </w:r>
      <w:r>
        <w:rPr/>
        <w:t>andcountry</w:t>
      </w:r>
      <w:r>
        <w:rPr>
          <w:spacing w:val="-4"/>
        </w:rPr>
        <w:t> </w:t>
      </w:r>
      <w:r>
        <w:rPr/>
        <w:t>specific</w:t>
      </w:r>
      <w:r>
        <w:rPr>
          <w:spacing w:val="-4"/>
        </w:rPr>
        <w:t> </w:t>
      </w:r>
      <w:r>
        <w:rPr/>
        <w:t>conditions across</w:t>
      </w:r>
      <w:r>
        <w:rPr>
          <w:spacing w:val="77"/>
        </w:rPr>
        <w:t> </w:t>
      </w:r>
      <w:r>
        <w:rPr/>
        <w:t>the</w:t>
      </w:r>
      <w:r>
        <w:rPr>
          <w:spacing w:val="77"/>
        </w:rPr>
        <w:t> </w:t>
      </w:r>
      <w:r>
        <w:rPr/>
        <w:t>globe.</w:t>
      </w:r>
      <w:r>
        <w:rPr>
          <w:spacing w:val="76"/>
        </w:rPr>
        <w:t> </w:t>
      </w:r>
      <w:r>
        <w:rPr/>
        <w:t>Foreigncapital</w:t>
      </w:r>
      <w:r>
        <w:rPr>
          <w:spacing w:val="77"/>
        </w:rPr>
        <w:t> </w:t>
      </w:r>
      <w:r>
        <w:rPr/>
        <w:t>flows</w:t>
      </w:r>
      <w:r>
        <w:rPr>
          <w:spacing w:val="78"/>
        </w:rPr>
        <w:t> </w:t>
      </w:r>
      <w:r>
        <w:rPr/>
        <w:t>play</w:t>
      </w:r>
      <w:r>
        <w:rPr>
          <w:spacing w:val="76"/>
        </w:rPr>
        <w:t> </w:t>
      </w:r>
      <w:r>
        <w:rPr/>
        <w:t>animportant</w:t>
      </w:r>
      <w:r>
        <w:rPr>
          <w:spacing w:val="77"/>
        </w:rPr>
        <w:t> </w:t>
      </w:r>
      <w:r>
        <w:rPr/>
        <w:t>role</w:t>
      </w:r>
      <w:r>
        <w:rPr>
          <w:spacing w:val="77"/>
        </w:rPr>
        <w:t> </w:t>
      </w:r>
      <w:r>
        <w:rPr/>
        <w:t>in</w:t>
      </w:r>
      <w:r>
        <w:rPr>
          <w:spacing w:val="76"/>
        </w:rPr>
        <w:t> </w:t>
      </w:r>
      <w:r>
        <w:rPr/>
        <w:t>theeconomy</w:t>
      </w:r>
      <w:r>
        <w:rPr>
          <w:spacing w:val="77"/>
        </w:rPr>
        <w:t> </w:t>
      </w:r>
      <w:r>
        <w:rPr/>
        <w:t>of</w:t>
      </w:r>
      <w:r>
        <w:rPr>
          <w:spacing w:val="78"/>
        </w:rPr>
        <w:t> </w:t>
      </w:r>
      <w:r>
        <w:rPr>
          <w:spacing w:val="-2"/>
        </w:rPr>
        <w:t>every</w:t>
      </w:r>
    </w:p>
    <w:p>
      <w:pPr>
        <w:spacing w:after="0" w:line="480" w:lineRule="auto"/>
        <w:jc w:val="both"/>
        <w:sectPr>
          <w:pgSz w:w="12240" w:h="15840"/>
          <w:pgMar w:header="0" w:footer="1012" w:top="1380" w:bottom="1200" w:left="1220" w:right="700"/>
        </w:sectPr>
      </w:pPr>
    </w:p>
    <w:p>
      <w:pPr>
        <w:pStyle w:val="BodyText"/>
        <w:spacing w:line="480" w:lineRule="auto" w:before="60"/>
        <w:ind w:right="736"/>
        <w:jc w:val="both"/>
      </w:pPr>
      <w:r>
        <w:rPr/>
        <w:t>developing andemerging country. These flowsbridge the investmentgap and fill thecapital needs of acountry at the domesticand international level. In thepresent era of globalization and</w:t>
      </w:r>
      <w:r>
        <w:rPr>
          <w:spacing w:val="-5"/>
        </w:rPr>
        <w:t> </w:t>
      </w:r>
      <w:r>
        <w:rPr/>
        <w:t>financialliberalization,</w:t>
      </w:r>
      <w:r>
        <w:rPr>
          <w:spacing w:val="-4"/>
        </w:rPr>
        <w:t> </w:t>
      </w:r>
      <w:r>
        <w:rPr/>
        <w:t>foreign</w:t>
      </w:r>
      <w:r>
        <w:rPr>
          <w:spacing w:val="-4"/>
        </w:rPr>
        <w:t> </w:t>
      </w:r>
      <w:r>
        <w:rPr/>
        <w:t>investors</w:t>
      </w:r>
      <w:r>
        <w:rPr>
          <w:spacing w:val="-3"/>
        </w:rPr>
        <w:t> </w:t>
      </w:r>
      <w:r>
        <w:rPr/>
        <w:t>fromvarious</w:t>
      </w:r>
      <w:r>
        <w:rPr>
          <w:spacing w:val="-3"/>
        </w:rPr>
        <w:t> </w:t>
      </w:r>
      <w:r>
        <w:rPr/>
        <w:t>countries</w:t>
      </w:r>
      <w:r>
        <w:rPr>
          <w:spacing w:val="-4"/>
        </w:rPr>
        <w:t> </w:t>
      </w:r>
      <w:r>
        <w:rPr/>
        <w:t>of</w:t>
      </w:r>
      <w:r>
        <w:rPr>
          <w:spacing w:val="-3"/>
        </w:rPr>
        <w:t> </w:t>
      </w:r>
      <w:r>
        <w:rPr/>
        <w:t>theworld</w:t>
      </w:r>
      <w:r>
        <w:rPr>
          <w:spacing w:val="-4"/>
        </w:rPr>
        <w:t> </w:t>
      </w:r>
      <w:r>
        <w:rPr/>
        <w:t>are</w:t>
      </w:r>
      <w:r>
        <w:rPr>
          <w:spacing w:val="-3"/>
        </w:rPr>
        <w:t> </w:t>
      </w:r>
      <w:r>
        <w:rPr/>
        <w:t>willing</w:t>
      </w:r>
      <w:r>
        <w:rPr>
          <w:spacing w:val="-3"/>
        </w:rPr>
        <w:t> </w:t>
      </w:r>
      <w:r>
        <w:rPr>
          <w:spacing w:val="-5"/>
        </w:rPr>
        <w:t>to</w:t>
      </w:r>
    </w:p>
    <w:p>
      <w:pPr>
        <w:pStyle w:val="BodyText"/>
      </w:pPr>
      <w:r>
        <w:rPr/>
        <mc:AlternateContent>
          <mc:Choice Requires="wps">
            <w:drawing>
              <wp:anchor distT="0" distB="0" distL="0" distR="0" allowOverlap="1" layoutInCell="1" locked="0" behindDoc="1" simplePos="0" relativeHeight="478059520">
                <wp:simplePos x="0" y="0"/>
                <wp:positionH relativeFrom="page">
                  <wp:posOffset>896416</wp:posOffset>
                </wp:positionH>
                <wp:positionV relativeFrom="paragraph">
                  <wp:posOffset>740</wp:posOffset>
                </wp:positionV>
                <wp:extent cx="5981065" cy="594360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5981065" cy="5943600"/>
                        </a:xfrm>
                        <a:custGeom>
                          <a:avLst/>
                          <a:gdLst/>
                          <a:ahLst/>
                          <a:cxnLst/>
                          <a:rect l="l" t="t" r="r" b="b"/>
                          <a:pathLst>
                            <a:path w="5981065" h="5943600">
                              <a:moveTo>
                                <a:pt x="5981065" y="5212778"/>
                              </a:moveTo>
                              <a:lnTo>
                                <a:pt x="0" y="5212778"/>
                              </a:lnTo>
                              <a:lnTo>
                                <a:pt x="0" y="5578843"/>
                              </a:lnTo>
                              <a:lnTo>
                                <a:pt x="0" y="5943079"/>
                              </a:lnTo>
                              <a:lnTo>
                                <a:pt x="5981065" y="5943079"/>
                              </a:lnTo>
                              <a:lnTo>
                                <a:pt x="5981065" y="5578843"/>
                              </a:lnTo>
                              <a:lnTo>
                                <a:pt x="5981065" y="5212778"/>
                              </a:lnTo>
                              <a:close/>
                            </a:path>
                            <a:path w="5981065" h="5943600">
                              <a:moveTo>
                                <a:pt x="5981065" y="1094295"/>
                              </a:moveTo>
                              <a:lnTo>
                                <a:pt x="0" y="1094295"/>
                              </a:lnTo>
                              <a:lnTo>
                                <a:pt x="0" y="1460360"/>
                              </a:lnTo>
                              <a:lnTo>
                                <a:pt x="0" y="1826120"/>
                              </a:lnTo>
                              <a:lnTo>
                                <a:pt x="0" y="5212702"/>
                              </a:lnTo>
                              <a:lnTo>
                                <a:pt x="5981065" y="5212702"/>
                              </a:lnTo>
                              <a:lnTo>
                                <a:pt x="5981065" y="1460360"/>
                              </a:lnTo>
                              <a:lnTo>
                                <a:pt x="5981065" y="1094295"/>
                              </a:lnTo>
                              <a:close/>
                            </a:path>
                            <a:path w="5981065" h="5943600">
                              <a:moveTo>
                                <a:pt x="5981065" y="729996"/>
                              </a:moveTo>
                              <a:lnTo>
                                <a:pt x="0" y="729996"/>
                              </a:lnTo>
                              <a:lnTo>
                                <a:pt x="0" y="1094219"/>
                              </a:lnTo>
                              <a:lnTo>
                                <a:pt x="5981065" y="1094219"/>
                              </a:lnTo>
                              <a:lnTo>
                                <a:pt x="5981065" y="729996"/>
                              </a:lnTo>
                              <a:close/>
                            </a:path>
                            <a:path w="5981065" h="5943600">
                              <a:moveTo>
                                <a:pt x="5981065" y="0"/>
                              </a:moveTo>
                              <a:lnTo>
                                <a:pt x="0" y="0"/>
                              </a:lnTo>
                              <a:lnTo>
                                <a:pt x="0" y="364223"/>
                              </a:lnTo>
                              <a:lnTo>
                                <a:pt x="0" y="729983"/>
                              </a:lnTo>
                              <a:lnTo>
                                <a:pt x="5981065" y="729983"/>
                              </a:lnTo>
                              <a:lnTo>
                                <a:pt x="5981065" y="364223"/>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058294pt;width:470.95pt;height:468pt;mso-position-horizontal-relative:page;mso-position-vertical-relative:paragraph;z-index:-25256960" id="docshape114" coordorigin="1412,1" coordsize="9419,9360" path="m10831,8210l1412,8210,1412,8787,1412,9360,10831,9360,10831,8787,10831,8210xm10831,1724l1412,1724,1412,2301,1412,2877,1412,3451,1412,4027,1412,4600,1412,4600,1412,5335,1412,5911,1412,6487,1412,7061,1412,7637,1412,8210,10831,8210,10831,7637,10831,7061,10831,6487,10831,5911,10831,5335,10831,4600,10831,4600,10831,4027,10831,3451,10831,2877,10831,2301,10831,1724xm10831,1151l1412,1151,1412,1724,10831,1724,10831,1151xm10831,1l1412,1,1412,575,1412,1151,10831,1151,10831,575,10831,1xe" filled="true" fillcolor="#ffffff" stroked="false">
                <v:path arrowok="t"/>
                <v:fill type="solid"/>
                <w10:wrap type="none"/>
              </v:shape>
            </w:pict>
          </mc:Fallback>
        </mc:AlternateContent>
      </w:r>
      <w:r>
        <w:rPr/>
        <w:t>invest</w:t>
      </w:r>
      <w:r>
        <w:rPr>
          <w:spacing w:val="26"/>
        </w:rPr>
        <w:t> </w:t>
      </w:r>
      <w:r>
        <w:rPr/>
        <w:t>in</w:t>
      </w:r>
      <w:r>
        <w:rPr>
          <w:spacing w:val="26"/>
        </w:rPr>
        <w:t> </w:t>
      </w:r>
      <w:r>
        <w:rPr/>
        <w:t>the</w:t>
      </w:r>
      <w:r>
        <w:rPr>
          <w:spacing w:val="26"/>
        </w:rPr>
        <w:t> </w:t>
      </w:r>
      <w:r>
        <w:rPr/>
        <w:t>restof</w:t>
      </w:r>
      <w:r>
        <w:rPr>
          <w:spacing w:val="27"/>
        </w:rPr>
        <w:t> </w:t>
      </w:r>
      <w:r>
        <w:rPr/>
        <w:t>the</w:t>
      </w:r>
      <w:r>
        <w:rPr>
          <w:spacing w:val="28"/>
        </w:rPr>
        <w:t> </w:t>
      </w:r>
      <w:r>
        <w:rPr/>
        <w:t>world.</w:t>
      </w:r>
      <w:r>
        <w:rPr>
          <w:spacing w:val="26"/>
        </w:rPr>
        <w:t> </w:t>
      </w:r>
      <w:r>
        <w:rPr/>
        <w:t>Foreign</w:t>
      </w:r>
      <w:r>
        <w:rPr>
          <w:spacing w:val="26"/>
        </w:rPr>
        <w:t> </w:t>
      </w:r>
      <w:r>
        <w:rPr/>
        <w:t>portfolioinvestment</w:t>
      </w:r>
      <w:r>
        <w:rPr>
          <w:spacing w:val="26"/>
        </w:rPr>
        <w:t> </w:t>
      </w:r>
      <w:r>
        <w:rPr/>
        <w:t>is</w:t>
      </w:r>
      <w:r>
        <w:rPr>
          <w:spacing w:val="28"/>
        </w:rPr>
        <w:t> </w:t>
      </w:r>
      <w:r>
        <w:rPr/>
        <w:t>becoming</w:t>
      </w:r>
      <w:r>
        <w:rPr>
          <w:spacing w:val="26"/>
        </w:rPr>
        <w:t> </w:t>
      </w:r>
      <w:r>
        <w:rPr/>
        <w:t>acommon</w:t>
      </w:r>
      <w:r>
        <w:rPr>
          <w:spacing w:val="27"/>
        </w:rPr>
        <w:t> </w:t>
      </w:r>
      <w:r>
        <w:rPr/>
        <w:t>form</w:t>
      </w:r>
      <w:r>
        <w:rPr>
          <w:spacing w:val="27"/>
        </w:rPr>
        <w:t> </w:t>
      </w:r>
      <w:r>
        <w:rPr>
          <w:spacing w:val="-5"/>
        </w:rPr>
        <w:t>of</w:t>
      </w:r>
    </w:p>
    <w:p>
      <w:pPr>
        <w:pStyle w:val="BodyText"/>
        <w:spacing w:before="286"/>
      </w:pPr>
      <w:r>
        <w:rPr/>
        <mc:AlternateContent>
          <mc:Choice Requires="wps">
            <w:drawing>
              <wp:anchor distT="0" distB="0" distL="0" distR="0" allowOverlap="1" layoutInCell="1" locked="0" behindDoc="1" simplePos="0" relativeHeight="478059008">
                <wp:simplePos x="0" y="0"/>
                <wp:positionH relativeFrom="page">
                  <wp:posOffset>950112</wp:posOffset>
                </wp:positionH>
                <wp:positionV relativeFrom="paragraph">
                  <wp:posOffset>5124</wp:posOffset>
                </wp:positionV>
                <wp:extent cx="5505450" cy="566102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03516pt;width:433.5pt;height:445.75pt;mso-position-horizontal-relative:page;mso-position-vertical-relative:paragraph;z-index:-25257472" id="docshape115" coordorigin="1496,8" coordsize="8670,8915" path="m2562,8728l1691,7857,1496,8052,2367,8923,2562,8728xm3154,8052l3153,8012,3148,7969,3139,7926,3125,7882,3106,7838,3083,7795,3055,7753,3025,7711,2991,7671,2954,7632,2435,7113,2241,7307,2772,7839,2805,7875,2829,7910,2846,7945,2856,7979,2858,8012,2851,8043,2837,8071,2816,8097,2790,8119,2761,8133,2730,8139,2697,8136,2663,8127,2628,8110,2593,8086,2557,8054,2026,7522,1831,7716,2351,8236,2385,8268,2424,8300,2468,8333,2516,8365,2548,8384,2583,8400,2620,8413,2658,8424,2697,8432,2733,8436,2767,8436,2800,8432,2831,8425,2863,8414,2895,8397,2926,8377,2957,8354,2985,8331,3011,8308,3035,8285,3071,8245,3102,8204,3125,8163,3142,8120,3150,8088,3154,8052xm3882,7269l3876,7204,3860,7139,3834,7072,3806,7018,3771,6962,3728,6904,3678,6845,3661,6826,3621,6785,3597,6762,3597,7256,3592,7297,3577,7333,3551,7366,3518,7392,3481,7407,3441,7411,3396,7405,3347,7387,3294,7355,3235,7310,3171,7251,3112,7187,3066,7128,3035,7074,3016,7025,3010,6980,3014,6940,3029,6904,3053,6872,3086,6847,3122,6832,3163,6826,3207,6832,3255,6849,3307,6879,3363,6921,3423,6976,3488,7046,3538,7108,3572,7164,3591,7213,3597,7256,3597,6762,3551,6720,3482,6665,3413,6619,3344,6584,3276,6558,3209,6542,3130,6537,3055,6547,2983,6572,2914,6613,2850,6668,2796,6732,2756,6799,2732,6871,2723,6947,2729,7026,2746,7095,2772,7164,2808,7233,2854,7303,2910,7374,2976,7445,3036,7502,3096,7551,3156,7593,3215,7628,3273,7655,3344,7680,3411,7693,3475,7697,3535,7691,3593,7674,3649,7647,3705,7610,3758,7561,3805,7508,3841,7451,3858,7411,3866,7393,3879,7331,3882,7269xm4153,6689l3966,6502,3712,6756,3899,6943,4153,6689xm4664,6626l3793,5755,3598,5950,4469,6821,4664,6626xm4998,6292l4675,5969,4781,5862,4832,5802,4837,5792,4866,5741,4883,5677,4882,5613,4866,5547,4843,5496,4836,5481,4792,5415,4733,5349,4670,5292,4607,5249,4598,5245,4598,5638,4597,5664,4587,5690,4570,5717,4546,5745,4498,5792,4304,5598,4359,5542,4386,5519,4412,5504,4438,5496,4462,5497,4486,5503,4509,5514,4531,5528,4552,5546,4570,5568,4584,5590,4593,5614,4598,5638,4598,5245,4544,5220,4483,5204,4423,5203,4365,5217,4309,5248,4255,5293,3931,5616,4803,6487,4998,6292xm5788,5502l5132,4846,5330,4648,5115,4433,4524,5024,4739,5239,4937,5041,5593,5697,5788,5502xm6423,4867l5767,4211,5966,4012,5751,3797,5159,4389,5374,4604,5573,4405,6229,5061,6423,4867xm7157,3994l7151,3929,7135,3864,7109,3797,7081,3743,7046,3687,7003,3629,6953,3570,6935,3552,6896,3510,6872,3488,6872,3982,6867,4022,6851,4058,6825,4092,6793,4117,6756,4132,6716,4136,6671,4130,6622,4112,6569,4080,6510,4035,6446,3976,6387,3912,6341,3853,6309,3799,6291,3750,6285,3705,6289,3665,6304,3629,6328,3598,6361,3572,6397,3557,6438,3552,6482,3557,6530,3574,6582,3604,6638,3646,6698,3701,6763,3771,6813,3834,6847,3889,6866,3938,6872,3982,6872,3488,6826,3445,6756,3390,6687,3345,6619,3309,6551,3284,6483,3268,6405,3262,6329,3272,6258,3297,6189,3338,6125,3393,6071,3457,6031,3525,6007,3596,5998,3672,6004,3752,6021,3820,6047,3889,6083,3958,6129,4028,6184,4099,6250,4170,6311,4227,6371,4276,6431,4319,6490,4353,6548,4381,6619,4405,6686,4419,6750,4422,6810,4416,6868,4400,6924,4372,6979,4335,7033,4287,7080,4233,7116,4177,7133,4136,7141,4118,7154,4057,7157,3994xm8170,2998l8165,2949,8153,2899,8134,2846,8109,2792,8079,2736,8041,2679,7980,2703,7799,2778,7831,2824,7855,2867,7873,2908,7884,2945,7887,2980,7881,3013,7866,3044,7843,3073,7812,3097,7778,3111,7740,3115,7700,3109,7653,3090,7600,3056,7538,3007,7469,2942,7417,2886,7375,2834,7344,2787,7324,2744,7311,2692,7312,2646,7325,2605,7352,2569,7367,2556,7384,2545,7402,2537,7422,2533,7442,2531,7464,2531,7486,2534,7509,2540,7524,2546,7542,2554,7563,2566,7586,2580,7705,2355,7622,2309,7543,2277,7469,2258,7400,2251,7333,2259,7269,2282,7206,2320,7146,2372,7092,2435,7054,2501,7030,2572,7021,2645,7027,2723,7044,2790,7070,2858,7106,2927,7153,2997,7209,3067,7276,3139,7341,3200,7404,3252,7467,3295,7529,3331,7590,3358,7662,3382,7730,3395,7791,3398,7847,3391,7900,3374,7952,3347,8004,3310,8056,3264,8094,3221,8125,3178,8147,3135,8161,3090,8169,3045,8170,2998xm8868,2283l8861,2219,8846,2153,8820,2086,8792,2032,8757,1976,8714,1918,8664,1859,8646,1841,8607,1799,8583,1777,8583,2271,8578,2311,8562,2348,8536,2381,8504,2406,8467,2421,8427,2426,8382,2419,8333,2401,8279,2370,8221,2324,8157,2265,8098,2201,8052,2142,8020,2088,8002,2039,7996,1995,8000,1954,8014,1918,8039,1887,8071,1861,8108,1846,8149,1841,8193,1846,8241,1863,8293,1893,8349,1935,8409,1990,8474,2060,8524,2123,8558,2179,8577,2227,8583,2271,8583,1777,8537,1734,8467,1679,8398,1634,8330,1598,8262,1573,8194,1557,8116,1551,8040,1561,7968,1587,7900,1627,7835,1683,7781,1746,7742,1814,7718,1885,7709,1961,7715,2041,7731,2109,7758,2178,7794,2248,7839,2318,7895,2388,7961,2459,8022,2516,8082,2566,8142,2608,8201,2642,8259,2670,8329,2694,8397,2708,8461,2711,8521,2705,8579,2689,8635,2662,8690,2624,8744,2576,8791,2522,8827,2466,8844,2426,8852,2407,8865,2346,8868,2283xm9348,1942l9025,1618,9132,1512,9182,1452,9188,1442,9216,1390,9233,1327,9233,1262,9217,1197,9194,1146,9187,1131,9142,1065,9084,999,9020,942,8957,899,8948,895,8948,1288,8947,1313,8938,1340,8921,1367,8896,1394,8849,1442,8654,1248,8710,1192,8737,1169,8763,1153,8788,1146,8812,1146,8836,1153,8859,1163,8881,1178,8902,1196,8920,1218,8934,1240,8943,1264,8948,1288,8948,895,8895,869,8833,853,8773,853,8715,867,8659,897,8605,942,8282,1266,9153,2137,9348,1942xm10166,1124l9801,759,9748,609,9593,158,9540,8,9325,223,9353,293,9436,504,9492,645,9422,617,9211,533,9071,477,8854,693,9005,746,9456,902,9606,954,9971,1319,10166,1124xe" filled="true" fillcolor="#c0c0c0" stroked="false">
                <v:path arrowok="t"/>
                <v:fill opacity="32896f" type="solid"/>
                <w10:wrap type="none"/>
              </v:shape>
            </w:pict>
          </mc:Fallback>
        </mc:AlternateContent>
      </w:r>
      <w:r>
        <w:rPr/>
        <w:t>investment</w:t>
      </w:r>
      <w:r>
        <w:rPr>
          <w:spacing w:val="1"/>
        </w:rPr>
        <w:t> </w:t>
      </w:r>
      <w:r>
        <w:rPr/>
        <w:t>inmany</w:t>
      </w:r>
      <w:r>
        <w:rPr>
          <w:spacing w:val="2"/>
        </w:rPr>
        <w:t> </w:t>
      </w:r>
      <w:r>
        <w:rPr/>
        <w:t>countries</w:t>
      </w:r>
      <w:r>
        <w:rPr>
          <w:spacing w:val="1"/>
        </w:rPr>
        <w:t> </w:t>
      </w:r>
      <w:r>
        <w:rPr/>
        <w:t>of the</w:t>
      </w:r>
      <w:r>
        <w:rPr>
          <w:spacing w:val="2"/>
        </w:rPr>
        <w:t> </w:t>
      </w:r>
      <w:r>
        <w:rPr/>
        <w:t>world.</w:t>
      </w:r>
      <w:r>
        <w:rPr>
          <w:spacing w:val="1"/>
        </w:rPr>
        <w:t> </w:t>
      </w:r>
      <w:r>
        <w:rPr/>
        <w:t>Foreignportfolio</w:t>
      </w:r>
      <w:r>
        <w:rPr>
          <w:spacing w:val="2"/>
        </w:rPr>
        <w:t> </w:t>
      </w:r>
      <w:r>
        <w:rPr/>
        <w:t>investors,</w:t>
      </w:r>
      <w:r>
        <w:rPr>
          <w:spacing w:val="-3"/>
        </w:rPr>
        <w:t> </w:t>
      </w:r>
      <w:r>
        <w:rPr/>
        <w:t>as</w:t>
      </w:r>
      <w:r>
        <w:rPr>
          <w:spacing w:val="2"/>
        </w:rPr>
        <w:t> </w:t>
      </w:r>
      <w:r>
        <w:rPr/>
        <w:t>comparedto</w:t>
      </w:r>
      <w:r>
        <w:rPr>
          <w:spacing w:val="1"/>
        </w:rPr>
        <w:t> </w:t>
      </w:r>
      <w:r>
        <w:rPr>
          <w:spacing w:val="-2"/>
        </w:rPr>
        <w:t>foreign</w:t>
      </w:r>
    </w:p>
    <w:p>
      <w:pPr>
        <w:pStyle w:val="BodyText"/>
        <w:spacing w:before="1"/>
        <w:ind w:left="0"/>
      </w:pPr>
    </w:p>
    <w:p>
      <w:pPr>
        <w:pStyle w:val="BodyText"/>
      </w:pPr>
      <w:r>
        <w:rPr/>
        <w:t>direct</w:t>
      </w:r>
      <w:r>
        <w:rPr>
          <w:spacing w:val="22"/>
        </w:rPr>
        <w:t> </w:t>
      </w:r>
      <w:r>
        <w:rPr/>
        <w:t>investors,</w:t>
      </w:r>
      <w:r>
        <w:rPr>
          <w:spacing w:val="23"/>
        </w:rPr>
        <w:t> </w:t>
      </w:r>
      <w:r>
        <w:rPr/>
        <w:t>are</w:t>
      </w:r>
      <w:r>
        <w:rPr>
          <w:spacing w:val="23"/>
        </w:rPr>
        <w:t> </w:t>
      </w:r>
      <w:r>
        <w:rPr/>
        <w:t>ashort</w:t>
      </w:r>
      <w:r>
        <w:rPr>
          <w:spacing w:val="23"/>
        </w:rPr>
        <w:t> </w:t>
      </w:r>
      <w:r>
        <w:rPr/>
        <w:t>term</w:t>
      </w:r>
      <w:r>
        <w:rPr>
          <w:spacing w:val="24"/>
        </w:rPr>
        <w:t> </w:t>
      </w:r>
      <w:r>
        <w:rPr/>
        <w:t>investorsand</w:t>
      </w:r>
      <w:r>
        <w:rPr>
          <w:spacing w:val="23"/>
        </w:rPr>
        <w:t> </w:t>
      </w:r>
      <w:r>
        <w:rPr/>
        <w:t>their</w:t>
      </w:r>
      <w:r>
        <w:rPr>
          <w:spacing w:val="24"/>
        </w:rPr>
        <w:t> </w:t>
      </w:r>
      <w:r>
        <w:rPr/>
        <w:t>purpose</w:t>
      </w:r>
      <w:r>
        <w:rPr>
          <w:spacing w:val="23"/>
        </w:rPr>
        <w:t> </w:t>
      </w:r>
      <w:r>
        <w:rPr/>
        <w:t>is</w:t>
      </w:r>
      <w:r>
        <w:rPr>
          <w:spacing w:val="24"/>
        </w:rPr>
        <w:t> </w:t>
      </w:r>
      <w:r>
        <w:rPr/>
        <w:t>tospeculate</w:t>
      </w:r>
      <w:r>
        <w:rPr>
          <w:spacing w:val="23"/>
        </w:rPr>
        <w:t> </w:t>
      </w:r>
      <w:r>
        <w:rPr/>
        <w:t>the</w:t>
      </w:r>
      <w:r>
        <w:rPr>
          <w:spacing w:val="24"/>
        </w:rPr>
        <w:t> </w:t>
      </w:r>
      <w:r>
        <w:rPr>
          <w:spacing w:val="-2"/>
        </w:rPr>
        <w:t>marketboom.</w:t>
      </w:r>
    </w:p>
    <w:p>
      <w:pPr>
        <w:pStyle w:val="BodyText"/>
        <w:spacing w:before="287"/>
      </w:pPr>
      <w:r>
        <w:rPr/>
        <w:t>International</w:t>
      </w:r>
      <w:r>
        <w:rPr>
          <w:spacing w:val="66"/>
        </w:rPr>
        <w:t> </w:t>
      </w:r>
      <w:r>
        <w:rPr/>
        <w:t>capitalinflows</w:t>
      </w:r>
      <w:r>
        <w:rPr>
          <w:spacing w:val="66"/>
        </w:rPr>
        <w:t> </w:t>
      </w:r>
      <w:r>
        <w:rPr/>
        <w:t>can</w:t>
      </w:r>
      <w:r>
        <w:rPr>
          <w:spacing w:val="65"/>
        </w:rPr>
        <w:t> </w:t>
      </w:r>
      <w:r>
        <w:rPr/>
        <w:t>play</w:t>
      </w:r>
      <w:r>
        <w:rPr>
          <w:spacing w:val="65"/>
        </w:rPr>
        <w:t> </w:t>
      </w:r>
      <w:r>
        <w:rPr/>
        <w:t>auseful</w:t>
      </w:r>
      <w:r>
        <w:rPr>
          <w:spacing w:val="66"/>
        </w:rPr>
        <w:t> </w:t>
      </w:r>
      <w:r>
        <w:rPr/>
        <w:t>role</w:t>
      </w:r>
      <w:r>
        <w:rPr>
          <w:spacing w:val="65"/>
        </w:rPr>
        <w:t> </w:t>
      </w:r>
      <w:r>
        <w:rPr/>
        <w:t>in</w:t>
      </w:r>
      <w:r>
        <w:rPr>
          <w:spacing w:val="65"/>
        </w:rPr>
        <w:t> </w:t>
      </w:r>
      <w:r>
        <w:rPr/>
        <w:t>developmentof</w:t>
      </w:r>
      <w:r>
        <w:rPr>
          <w:spacing w:val="66"/>
        </w:rPr>
        <w:t> </w:t>
      </w:r>
      <w:r>
        <w:rPr/>
        <w:t>every</w:t>
      </w:r>
      <w:r>
        <w:rPr>
          <w:spacing w:val="65"/>
        </w:rPr>
        <w:t> </w:t>
      </w:r>
      <w:r>
        <w:rPr/>
        <w:t>economy</w:t>
      </w:r>
      <w:r>
        <w:rPr>
          <w:spacing w:val="65"/>
        </w:rPr>
        <w:t> </w:t>
      </w:r>
      <w:r>
        <w:rPr>
          <w:spacing w:val="-5"/>
        </w:rPr>
        <w:t>by</w:t>
      </w:r>
    </w:p>
    <w:p>
      <w:pPr>
        <w:pStyle w:val="BodyText"/>
        <w:spacing w:before="1"/>
        <w:ind w:left="0"/>
      </w:pPr>
    </w:p>
    <w:p>
      <w:pPr>
        <w:pStyle w:val="BodyText"/>
      </w:pPr>
      <w:r>
        <w:rPr/>
        <w:t>adding</w:t>
      </w:r>
      <w:r>
        <w:rPr>
          <w:spacing w:val="49"/>
        </w:rPr>
        <w:t> </w:t>
      </w:r>
      <w:r>
        <w:rPr/>
        <w:t>to</w:t>
      </w:r>
      <w:r>
        <w:rPr>
          <w:spacing w:val="51"/>
        </w:rPr>
        <w:t> </w:t>
      </w:r>
      <w:r>
        <w:rPr/>
        <w:t>thesavings</w:t>
      </w:r>
      <w:r>
        <w:rPr>
          <w:spacing w:val="51"/>
        </w:rPr>
        <w:t> </w:t>
      </w:r>
      <w:r>
        <w:rPr/>
        <w:t>of</w:t>
      </w:r>
      <w:r>
        <w:rPr>
          <w:spacing w:val="51"/>
        </w:rPr>
        <w:t> </w:t>
      </w:r>
      <w:r>
        <w:rPr/>
        <w:t>low</w:t>
      </w:r>
      <w:r>
        <w:rPr>
          <w:spacing w:val="50"/>
        </w:rPr>
        <w:t> </w:t>
      </w:r>
      <w:r>
        <w:rPr/>
        <w:t>and</w:t>
      </w:r>
      <w:r>
        <w:rPr>
          <w:spacing w:val="49"/>
        </w:rPr>
        <w:t> </w:t>
      </w:r>
      <w:r>
        <w:rPr/>
        <w:t>middleincome</w:t>
      </w:r>
      <w:r>
        <w:rPr>
          <w:spacing w:val="50"/>
        </w:rPr>
        <w:t> </w:t>
      </w:r>
      <w:r>
        <w:rPr/>
        <w:t>countries</w:t>
      </w:r>
      <w:r>
        <w:rPr>
          <w:spacing w:val="51"/>
        </w:rPr>
        <w:t> </w:t>
      </w:r>
      <w:r>
        <w:rPr/>
        <w:t>inorder</w:t>
      </w:r>
      <w:r>
        <w:rPr>
          <w:spacing w:val="51"/>
        </w:rPr>
        <w:t> </w:t>
      </w:r>
      <w:r>
        <w:rPr/>
        <w:t>to</w:t>
      </w:r>
      <w:r>
        <w:rPr>
          <w:spacing w:val="50"/>
        </w:rPr>
        <w:t> </w:t>
      </w:r>
      <w:r>
        <w:rPr/>
        <w:t>increase</w:t>
      </w:r>
      <w:r>
        <w:rPr>
          <w:spacing w:val="49"/>
        </w:rPr>
        <w:t> </w:t>
      </w:r>
      <w:r>
        <w:rPr/>
        <w:t>thepace</w:t>
      </w:r>
      <w:r>
        <w:rPr>
          <w:spacing w:val="50"/>
        </w:rPr>
        <w:t> </w:t>
      </w:r>
      <w:r>
        <w:rPr>
          <w:spacing w:val="-5"/>
        </w:rPr>
        <w:t>of</w:t>
      </w:r>
    </w:p>
    <w:p>
      <w:pPr>
        <w:pStyle w:val="BodyText"/>
        <w:spacing w:before="1"/>
        <w:ind w:left="0"/>
      </w:pPr>
    </w:p>
    <w:p>
      <w:pPr>
        <w:pStyle w:val="BodyText"/>
        <w:tabs>
          <w:tab w:pos="1587" w:val="left" w:leader="none"/>
          <w:tab w:pos="2775" w:val="left" w:leader="none"/>
          <w:tab w:pos="3706" w:val="left" w:leader="none"/>
          <w:tab w:pos="5416" w:val="left" w:leader="none"/>
          <w:tab w:pos="5970" w:val="left" w:leader="none"/>
          <w:tab w:pos="6748" w:val="left" w:leader="none"/>
          <w:tab w:pos="8470" w:val="left" w:leader="none"/>
        </w:tabs>
      </w:pPr>
      <w:r>
        <w:rPr>
          <w:spacing w:val="-2"/>
        </w:rPr>
        <w:t>investment.</w:t>
      </w:r>
      <w:r>
        <w:rPr/>
        <w:tab/>
      </w:r>
      <w:r>
        <w:rPr>
          <w:spacing w:val="-2"/>
        </w:rPr>
        <w:t>However,</w:t>
      </w:r>
      <w:r>
        <w:rPr/>
        <w:tab/>
      </w:r>
      <w:r>
        <w:rPr>
          <w:spacing w:val="-2"/>
        </w:rPr>
        <w:t>foreign</w:t>
      </w:r>
      <w:r>
        <w:rPr/>
        <w:tab/>
      </w:r>
      <w:r>
        <w:rPr>
          <w:spacing w:val="-2"/>
        </w:rPr>
        <w:t>investmentalso</w:t>
      </w:r>
      <w:r>
        <w:rPr/>
        <w:tab/>
      </w:r>
      <w:r>
        <w:rPr>
          <w:spacing w:val="-5"/>
        </w:rPr>
        <w:t>can</w:t>
      </w:r>
      <w:r>
        <w:rPr/>
        <w:tab/>
      </w:r>
      <w:r>
        <w:rPr>
          <w:spacing w:val="-2"/>
        </w:rPr>
        <w:t>prove</w:t>
      </w:r>
      <w:r>
        <w:rPr/>
        <w:tab/>
      </w:r>
      <w:r>
        <w:rPr>
          <w:spacing w:val="-2"/>
        </w:rPr>
        <w:t>unproductiveto</w:t>
      </w:r>
      <w:r>
        <w:rPr/>
        <w:tab/>
      </w:r>
      <w:r>
        <w:rPr>
          <w:spacing w:val="-2"/>
        </w:rPr>
        <w:t>developing</w:t>
      </w:r>
    </w:p>
    <w:p>
      <w:pPr>
        <w:pStyle w:val="BodyText"/>
        <w:spacing w:before="286"/>
      </w:pPr>
      <w:r>
        <w:rPr/>
        <w:t>economies</w:t>
      </w:r>
      <w:r>
        <w:rPr>
          <w:spacing w:val="60"/>
        </w:rPr>
        <w:t> </w:t>
      </w:r>
      <w:r>
        <w:rPr/>
        <w:t>by</w:t>
      </w:r>
      <w:r>
        <w:rPr>
          <w:spacing w:val="59"/>
        </w:rPr>
        <w:t> </w:t>
      </w:r>
      <w:r>
        <w:rPr/>
        <w:t>exposingthem</w:t>
      </w:r>
      <w:r>
        <w:rPr>
          <w:spacing w:val="60"/>
        </w:rPr>
        <w:t> </w:t>
      </w:r>
      <w:r>
        <w:rPr/>
        <w:t>to</w:t>
      </w:r>
      <w:r>
        <w:rPr>
          <w:spacing w:val="61"/>
        </w:rPr>
        <w:t> </w:t>
      </w:r>
      <w:r>
        <w:rPr/>
        <w:t>disruptionsand</w:t>
      </w:r>
      <w:r>
        <w:rPr>
          <w:spacing w:val="59"/>
        </w:rPr>
        <w:t> </w:t>
      </w:r>
      <w:r>
        <w:rPr/>
        <w:t>distortions</w:t>
      </w:r>
      <w:r>
        <w:rPr>
          <w:spacing w:val="59"/>
        </w:rPr>
        <w:t> </w:t>
      </w:r>
      <w:r>
        <w:rPr/>
        <w:t>fromabroad,</w:t>
      </w:r>
      <w:r>
        <w:rPr>
          <w:spacing w:val="60"/>
        </w:rPr>
        <w:t> </w:t>
      </w:r>
      <w:r>
        <w:rPr/>
        <w:t>and</w:t>
      </w:r>
      <w:r>
        <w:rPr>
          <w:spacing w:val="59"/>
        </w:rPr>
        <w:t> </w:t>
      </w:r>
      <w:r>
        <w:rPr>
          <w:spacing w:val="-2"/>
        </w:rPr>
        <w:t>bysubjecting</w:t>
      </w:r>
    </w:p>
    <w:p>
      <w:pPr>
        <w:pStyle w:val="BodyText"/>
        <w:spacing w:before="1"/>
        <w:ind w:left="0"/>
      </w:pPr>
    </w:p>
    <w:p>
      <w:pPr>
        <w:pStyle w:val="BodyText"/>
      </w:pPr>
      <w:r>
        <w:rPr/>
        <w:t>them</w:t>
      </w:r>
      <w:r>
        <w:rPr>
          <w:spacing w:val="-8"/>
        </w:rPr>
        <w:t> </w:t>
      </w:r>
      <w:r>
        <w:rPr/>
        <w:t>to</w:t>
      </w:r>
      <w:r>
        <w:rPr>
          <w:spacing w:val="-8"/>
        </w:rPr>
        <w:t> </w:t>
      </w:r>
      <w:r>
        <w:rPr/>
        <w:t>surges</w:t>
      </w:r>
      <w:r>
        <w:rPr>
          <w:spacing w:val="-6"/>
        </w:rPr>
        <w:t> </w:t>
      </w:r>
      <w:r>
        <w:rPr/>
        <w:t>ofcapital</w:t>
      </w:r>
      <w:r>
        <w:rPr>
          <w:spacing w:val="-8"/>
        </w:rPr>
        <w:t> </w:t>
      </w:r>
      <w:r>
        <w:rPr/>
        <w:t>inflows</w:t>
      </w:r>
      <w:r>
        <w:rPr>
          <w:spacing w:val="-7"/>
        </w:rPr>
        <w:t> </w:t>
      </w:r>
      <w:r>
        <w:rPr/>
        <w:t>ormassive</w:t>
      </w:r>
      <w:r>
        <w:rPr>
          <w:spacing w:val="-7"/>
        </w:rPr>
        <w:t> </w:t>
      </w:r>
      <w:r>
        <w:rPr/>
        <w:t>outflows</w:t>
      </w:r>
      <w:r>
        <w:rPr>
          <w:spacing w:val="-7"/>
        </w:rPr>
        <w:t> </w:t>
      </w:r>
      <w:r>
        <w:rPr/>
        <w:t>ofapital</w:t>
      </w:r>
      <w:r>
        <w:rPr>
          <w:spacing w:val="-7"/>
        </w:rPr>
        <w:t> </w:t>
      </w:r>
      <w:r>
        <w:rPr/>
        <w:t>flight</w:t>
      </w:r>
      <w:r>
        <w:rPr>
          <w:spacing w:val="-8"/>
        </w:rPr>
        <w:t> </w:t>
      </w:r>
      <w:r>
        <w:rPr/>
        <w:t>(Sethi,</w:t>
      </w:r>
      <w:r>
        <w:rPr>
          <w:spacing w:val="-8"/>
        </w:rPr>
        <w:t> </w:t>
      </w:r>
      <w:r>
        <w:rPr>
          <w:spacing w:val="-2"/>
        </w:rPr>
        <w:t>2013).</w:t>
      </w:r>
    </w:p>
    <w:p>
      <w:pPr>
        <w:pStyle w:val="BodyText"/>
        <w:spacing w:before="160"/>
        <w:ind w:left="0"/>
      </w:pPr>
    </w:p>
    <w:p>
      <w:pPr>
        <w:pStyle w:val="BodyText"/>
      </w:pPr>
      <w:r>
        <w:rPr/>
        <w:t>Developing</w:t>
      </w:r>
      <w:r>
        <w:rPr>
          <w:spacing w:val="35"/>
        </w:rPr>
        <w:t> </w:t>
      </w:r>
      <w:r>
        <w:rPr/>
        <w:t>countriesin</w:t>
      </w:r>
      <w:r>
        <w:rPr>
          <w:spacing w:val="35"/>
        </w:rPr>
        <w:t> </w:t>
      </w:r>
      <w:r>
        <w:rPr/>
        <w:t>particular,</w:t>
      </w:r>
      <w:r>
        <w:rPr>
          <w:spacing w:val="35"/>
        </w:rPr>
        <w:t> </w:t>
      </w:r>
      <w:r>
        <w:rPr/>
        <w:t>are</w:t>
      </w:r>
      <w:r>
        <w:rPr>
          <w:spacing w:val="37"/>
        </w:rPr>
        <w:t> </w:t>
      </w:r>
      <w:r>
        <w:rPr/>
        <w:t>strivingto</w:t>
      </w:r>
      <w:r>
        <w:rPr>
          <w:spacing w:val="36"/>
        </w:rPr>
        <w:t> </w:t>
      </w:r>
      <w:r>
        <w:rPr/>
        <w:t>grow</w:t>
      </w:r>
      <w:r>
        <w:rPr>
          <w:spacing w:val="35"/>
        </w:rPr>
        <w:t> </w:t>
      </w:r>
      <w:r>
        <w:rPr/>
        <w:t>their</w:t>
      </w:r>
      <w:r>
        <w:rPr>
          <w:spacing w:val="36"/>
        </w:rPr>
        <w:t> </w:t>
      </w:r>
      <w:r>
        <w:rPr/>
        <w:t>economies.</w:t>
      </w:r>
      <w:r>
        <w:rPr>
          <w:spacing w:val="35"/>
        </w:rPr>
        <w:t> </w:t>
      </w:r>
      <w:r>
        <w:rPr/>
        <w:t>Oneof</w:t>
      </w:r>
      <w:r>
        <w:rPr>
          <w:spacing w:val="36"/>
        </w:rPr>
        <w:t> </w:t>
      </w:r>
      <w:r>
        <w:rPr/>
        <w:t>the</w:t>
      </w:r>
      <w:r>
        <w:rPr>
          <w:spacing w:val="36"/>
        </w:rPr>
        <w:t> </w:t>
      </w:r>
      <w:r>
        <w:rPr>
          <w:spacing w:val="-2"/>
        </w:rPr>
        <w:t>waysto</w:t>
      </w:r>
    </w:p>
    <w:p>
      <w:pPr>
        <w:pStyle w:val="BodyText"/>
        <w:spacing w:before="286"/>
      </w:pPr>
      <w:r>
        <w:rPr/>
        <w:t>grow</w:t>
      </w:r>
      <w:r>
        <w:rPr>
          <w:spacing w:val="1"/>
        </w:rPr>
        <w:t> </w:t>
      </w:r>
      <w:r>
        <w:rPr/>
        <w:t>theeconomies</w:t>
      </w:r>
      <w:r>
        <w:rPr>
          <w:spacing w:val="3"/>
        </w:rPr>
        <w:t> </w:t>
      </w:r>
      <w:r>
        <w:rPr/>
        <w:t>is</w:t>
      </w:r>
      <w:r>
        <w:rPr>
          <w:spacing w:val="3"/>
        </w:rPr>
        <w:t> </w:t>
      </w:r>
      <w:r>
        <w:rPr/>
        <w:t>by</w:t>
      </w:r>
      <w:r>
        <w:rPr>
          <w:spacing w:val="2"/>
        </w:rPr>
        <w:t> </w:t>
      </w:r>
      <w:r>
        <w:rPr/>
        <w:t>attractinga</w:t>
      </w:r>
      <w:r>
        <w:rPr>
          <w:spacing w:val="2"/>
        </w:rPr>
        <w:t> </w:t>
      </w:r>
      <w:r>
        <w:rPr/>
        <w:t>substantial numberof</w:t>
      </w:r>
      <w:r>
        <w:rPr>
          <w:spacing w:val="3"/>
        </w:rPr>
        <w:t> </w:t>
      </w:r>
      <w:r>
        <w:rPr/>
        <w:t>foreign</w:t>
      </w:r>
      <w:r>
        <w:rPr>
          <w:spacing w:val="2"/>
        </w:rPr>
        <w:t> </w:t>
      </w:r>
      <w:r>
        <w:rPr/>
        <w:t>portfolioinvestments.</w:t>
      </w:r>
      <w:r>
        <w:rPr>
          <w:spacing w:val="2"/>
        </w:rPr>
        <w:t> </w:t>
      </w:r>
      <w:r>
        <w:rPr>
          <w:spacing w:val="-4"/>
        </w:rPr>
        <w:t>This</w:t>
      </w:r>
    </w:p>
    <w:p>
      <w:pPr>
        <w:pStyle w:val="BodyText"/>
        <w:spacing w:before="1"/>
        <w:ind w:left="0"/>
      </w:pPr>
    </w:p>
    <w:p>
      <w:pPr>
        <w:pStyle w:val="BodyText"/>
      </w:pPr>
      <w:r>
        <w:rPr/>
        <w:t>notion</w:t>
      </w:r>
      <w:r>
        <w:rPr>
          <w:spacing w:val="26"/>
        </w:rPr>
        <w:t>  </w:t>
      </w:r>
      <w:r>
        <w:rPr/>
        <w:t>is</w:t>
      </w:r>
      <w:r>
        <w:rPr>
          <w:spacing w:val="27"/>
        </w:rPr>
        <w:t>  </w:t>
      </w:r>
      <w:r>
        <w:rPr/>
        <w:t>based</w:t>
      </w:r>
      <w:r>
        <w:rPr>
          <w:spacing w:val="26"/>
        </w:rPr>
        <w:t>  </w:t>
      </w:r>
      <w:r>
        <w:rPr/>
        <w:t>onreported</w:t>
      </w:r>
      <w:r>
        <w:rPr>
          <w:spacing w:val="26"/>
        </w:rPr>
        <w:t>  </w:t>
      </w:r>
      <w:r>
        <w:rPr/>
        <w:t>evidence</w:t>
      </w:r>
      <w:r>
        <w:rPr>
          <w:spacing w:val="26"/>
        </w:rPr>
        <w:t>  </w:t>
      </w:r>
      <w:r>
        <w:rPr/>
        <w:t>byother</w:t>
      </w:r>
      <w:r>
        <w:rPr>
          <w:spacing w:val="27"/>
        </w:rPr>
        <w:t>  </w:t>
      </w:r>
      <w:r>
        <w:rPr/>
        <w:t>authors</w:t>
      </w:r>
      <w:r>
        <w:rPr>
          <w:spacing w:val="27"/>
        </w:rPr>
        <w:t>  </w:t>
      </w:r>
      <w:r>
        <w:rPr/>
        <w:t>thatthe</w:t>
      </w:r>
      <w:r>
        <w:rPr>
          <w:spacing w:val="26"/>
        </w:rPr>
        <w:t>  </w:t>
      </w:r>
      <w:r>
        <w:rPr/>
        <w:t>benefits</w:t>
      </w:r>
      <w:r>
        <w:rPr>
          <w:spacing w:val="27"/>
        </w:rPr>
        <w:t>  </w:t>
      </w:r>
      <w:r>
        <w:rPr>
          <w:spacing w:val="-2"/>
        </w:rPr>
        <w:t>oftransferring</w:t>
      </w:r>
    </w:p>
    <w:p>
      <w:pPr>
        <w:pStyle w:val="BodyText"/>
        <w:spacing w:before="1"/>
        <w:ind w:left="0"/>
      </w:pPr>
    </w:p>
    <w:p>
      <w:pPr>
        <w:pStyle w:val="BodyText"/>
      </w:pPr>
      <w:r>
        <w:rPr/>
        <w:t>technology,</w:t>
      </w:r>
      <w:r>
        <w:rPr>
          <w:spacing w:val="34"/>
        </w:rPr>
        <w:t> </w:t>
      </w:r>
      <w:r>
        <w:rPr/>
        <w:t>internationalcooperation,</w:t>
      </w:r>
      <w:r>
        <w:rPr>
          <w:spacing w:val="38"/>
        </w:rPr>
        <w:t> </w:t>
      </w:r>
      <w:r>
        <w:rPr/>
        <w:t>andemployment</w:t>
      </w:r>
      <w:r>
        <w:rPr>
          <w:spacing w:val="35"/>
        </w:rPr>
        <w:t> </w:t>
      </w:r>
      <w:r>
        <w:rPr/>
        <w:t>creation</w:t>
      </w:r>
      <w:r>
        <w:rPr>
          <w:spacing w:val="38"/>
        </w:rPr>
        <w:t> </w:t>
      </w:r>
      <w:r>
        <w:rPr/>
        <w:t>arebetter</w:t>
      </w:r>
      <w:r>
        <w:rPr>
          <w:spacing w:val="36"/>
        </w:rPr>
        <w:t> </w:t>
      </w:r>
      <w:r>
        <w:rPr/>
        <w:t>enhanced</w:t>
      </w:r>
      <w:r>
        <w:rPr>
          <w:spacing w:val="34"/>
        </w:rPr>
        <w:t> </w:t>
      </w:r>
      <w:r>
        <w:rPr>
          <w:spacing w:val="-2"/>
        </w:rPr>
        <w:t>through</w:t>
      </w:r>
    </w:p>
    <w:p>
      <w:pPr>
        <w:pStyle w:val="BodyText"/>
        <w:spacing w:before="287"/>
      </w:pPr>
      <w:r>
        <w:rPr/>
        <w:t>attracting</w:t>
      </w:r>
      <w:r>
        <w:rPr>
          <w:spacing w:val="56"/>
          <w:w w:val="150"/>
        </w:rPr>
        <w:t> </w:t>
      </w:r>
      <w:r>
        <w:rPr/>
        <w:t>foreignportfolio</w:t>
      </w:r>
      <w:r>
        <w:rPr>
          <w:spacing w:val="56"/>
          <w:w w:val="150"/>
        </w:rPr>
        <w:t> </w:t>
      </w:r>
      <w:r>
        <w:rPr/>
        <w:t>investment</w:t>
      </w:r>
      <w:r>
        <w:rPr>
          <w:spacing w:val="57"/>
          <w:w w:val="150"/>
        </w:rPr>
        <w:t> </w:t>
      </w:r>
      <w:r>
        <w:rPr/>
        <w:t>(OECD,</w:t>
      </w:r>
      <w:r>
        <w:rPr>
          <w:spacing w:val="55"/>
          <w:w w:val="150"/>
        </w:rPr>
        <w:t> </w:t>
      </w:r>
      <w:r>
        <w:rPr/>
        <w:t>2008</w:t>
      </w:r>
      <w:r>
        <w:rPr>
          <w:spacing w:val="57"/>
          <w:w w:val="150"/>
        </w:rPr>
        <w:t> </w:t>
      </w:r>
      <w:r>
        <w:rPr/>
        <w:t>&amp;UNCTAD,</w:t>
      </w:r>
      <w:r>
        <w:rPr>
          <w:spacing w:val="55"/>
          <w:w w:val="150"/>
        </w:rPr>
        <w:t> </w:t>
      </w:r>
      <w:r>
        <w:rPr/>
        <w:t>2014).</w:t>
      </w:r>
      <w:r>
        <w:rPr>
          <w:spacing w:val="57"/>
          <w:w w:val="150"/>
        </w:rPr>
        <w:t> </w:t>
      </w:r>
      <w:r>
        <w:rPr>
          <w:spacing w:val="-2"/>
        </w:rPr>
        <w:t>Anincreasing</w:t>
      </w:r>
    </w:p>
    <w:p>
      <w:pPr>
        <w:pStyle w:val="BodyText"/>
        <w:ind w:left="0"/>
      </w:pPr>
    </w:p>
    <w:p>
      <w:pPr>
        <w:pStyle w:val="BodyText"/>
        <w:spacing w:before="1"/>
      </w:pPr>
      <w:r>
        <w:rPr/>
        <w:t>amount</w:t>
      </w:r>
      <w:r>
        <w:rPr>
          <w:spacing w:val="27"/>
        </w:rPr>
        <w:t> </w:t>
      </w:r>
      <w:r>
        <w:rPr/>
        <w:t>of</w:t>
      </w:r>
      <w:r>
        <w:rPr>
          <w:spacing w:val="28"/>
        </w:rPr>
        <w:t> </w:t>
      </w:r>
      <w:r>
        <w:rPr/>
        <w:t>foreignportfolio</w:t>
      </w:r>
      <w:r>
        <w:rPr>
          <w:spacing w:val="28"/>
        </w:rPr>
        <w:t> </w:t>
      </w:r>
      <w:r>
        <w:rPr/>
        <w:t>investment</w:t>
      </w:r>
      <w:r>
        <w:rPr>
          <w:spacing w:val="27"/>
        </w:rPr>
        <w:t> </w:t>
      </w:r>
      <w:r>
        <w:rPr/>
        <w:t>has</w:t>
      </w:r>
      <w:r>
        <w:rPr>
          <w:spacing w:val="28"/>
        </w:rPr>
        <w:t> </w:t>
      </w:r>
      <w:r>
        <w:rPr/>
        <w:t>beenobserved</w:t>
      </w:r>
      <w:r>
        <w:rPr>
          <w:spacing w:val="27"/>
        </w:rPr>
        <w:t> </w:t>
      </w:r>
      <w:r>
        <w:rPr/>
        <w:t>flooding</w:t>
      </w:r>
      <w:r>
        <w:rPr>
          <w:spacing w:val="28"/>
        </w:rPr>
        <w:t> </w:t>
      </w:r>
      <w:r>
        <w:rPr/>
        <w:t>intodeveloping</w:t>
      </w:r>
      <w:r>
        <w:rPr>
          <w:spacing w:val="28"/>
        </w:rPr>
        <w:t> </w:t>
      </w:r>
      <w:r>
        <w:rPr>
          <w:spacing w:val="-2"/>
        </w:rPr>
        <w:t>markets.</w:t>
      </w:r>
    </w:p>
    <w:p>
      <w:pPr>
        <w:pStyle w:val="BodyText"/>
        <w:spacing w:before="286"/>
      </w:pPr>
      <w:r>
        <w:rPr/>
        <w:t>Asiedu</w:t>
      </w:r>
      <w:r>
        <w:rPr>
          <w:spacing w:val="44"/>
        </w:rPr>
        <w:t> </w:t>
      </w:r>
      <w:r>
        <w:rPr/>
        <w:t>(2002)</w:t>
      </w:r>
      <w:r>
        <w:rPr>
          <w:spacing w:val="45"/>
        </w:rPr>
        <w:t> </w:t>
      </w:r>
      <w:r>
        <w:rPr/>
        <w:t>argues</w:t>
      </w:r>
      <w:r>
        <w:rPr>
          <w:spacing w:val="46"/>
        </w:rPr>
        <w:t> </w:t>
      </w:r>
      <w:r>
        <w:rPr/>
        <w:t>thateach</w:t>
      </w:r>
      <w:r>
        <w:rPr>
          <w:spacing w:val="44"/>
        </w:rPr>
        <w:t> </w:t>
      </w:r>
      <w:r>
        <w:rPr/>
        <w:t>country</w:t>
      </w:r>
      <w:r>
        <w:rPr>
          <w:spacing w:val="45"/>
        </w:rPr>
        <w:t> </w:t>
      </w:r>
      <w:r>
        <w:rPr/>
        <w:t>has</w:t>
      </w:r>
      <w:r>
        <w:rPr>
          <w:spacing w:val="45"/>
        </w:rPr>
        <w:t> </w:t>
      </w:r>
      <w:r>
        <w:rPr/>
        <w:t>its</w:t>
      </w:r>
      <w:r>
        <w:rPr>
          <w:spacing w:val="46"/>
        </w:rPr>
        <w:t> </w:t>
      </w:r>
      <w:r>
        <w:rPr/>
        <w:t>ownattractions.</w:t>
      </w:r>
      <w:r>
        <w:rPr>
          <w:spacing w:val="45"/>
        </w:rPr>
        <w:t> </w:t>
      </w:r>
      <w:r>
        <w:rPr/>
        <w:t>Therefore,</w:t>
      </w:r>
      <w:r>
        <w:rPr>
          <w:spacing w:val="44"/>
        </w:rPr>
        <w:t> </w:t>
      </w:r>
      <w:r>
        <w:rPr/>
        <w:t>what</w:t>
      </w:r>
      <w:r>
        <w:rPr>
          <w:spacing w:val="44"/>
        </w:rPr>
        <w:t> </w:t>
      </w:r>
      <w:r>
        <w:rPr>
          <w:spacing w:val="-2"/>
        </w:rPr>
        <w:t>maydrive</w:t>
      </w:r>
    </w:p>
    <w:p>
      <w:pPr>
        <w:pStyle w:val="BodyText"/>
        <w:spacing w:before="1"/>
        <w:ind w:left="0"/>
      </w:pPr>
    </w:p>
    <w:p>
      <w:pPr>
        <w:pStyle w:val="BodyText"/>
        <w:spacing w:line="480" w:lineRule="auto"/>
        <w:ind w:right="736"/>
        <w:jc w:val="both"/>
      </w:pPr>
      <w:r>
        <w:rPr/>
        <w:t>foreign portfolioinvestment in one regionmay not drive it inanother. Stable socioeconomic and politicalenvironment is fundamental inattracting foreign investmentand making it beneficial to thehost economy. It is on this backgroundthat Nigeria liberalized hereconomy and</w:t>
      </w:r>
      <w:r>
        <w:rPr>
          <w:spacing w:val="54"/>
        </w:rPr>
        <w:t> </w:t>
      </w:r>
      <w:r>
        <w:rPr/>
        <w:t>capitalmarkets,</w:t>
      </w:r>
      <w:r>
        <w:rPr>
          <w:spacing w:val="53"/>
        </w:rPr>
        <w:t> </w:t>
      </w:r>
      <w:r>
        <w:rPr/>
        <w:t>as</w:t>
      </w:r>
      <w:r>
        <w:rPr>
          <w:spacing w:val="56"/>
        </w:rPr>
        <w:t> </w:t>
      </w:r>
      <w:r>
        <w:rPr/>
        <w:t>well</w:t>
      </w:r>
      <w:r>
        <w:rPr>
          <w:spacing w:val="54"/>
        </w:rPr>
        <w:t> </w:t>
      </w:r>
      <w:r>
        <w:rPr/>
        <w:t>asimproved</w:t>
      </w:r>
      <w:r>
        <w:rPr>
          <w:spacing w:val="54"/>
        </w:rPr>
        <w:t> </w:t>
      </w:r>
      <w:r>
        <w:rPr/>
        <w:t>its</w:t>
      </w:r>
      <w:r>
        <w:rPr>
          <w:spacing w:val="55"/>
        </w:rPr>
        <w:t> </w:t>
      </w:r>
      <w:r>
        <w:rPr/>
        <w:t>capitalmarket</w:t>
      </w:r>
      <w:r>
        <w:rPr>
          <w:spacing w:val="54"/>
        </w:rPr>
        <w:t> </w:t>
      </w:r>
      <w:r>
        <w:rPr/>
        <w:t>facilities</w:t>
      </w:r>
      <w:r>
        <w:rPr>
          <w:spacing w:val="56"/>
        </w:rPr>
        <w:t> </w:t>
      </w:r>
      <w:r>
        <w:rPr/>
        <w:t>and</w:t>
      </w:r>
      <w:r>
        <w:rPr>
          <w:spacing w:val="54"/>
        </w:rPr>
        <w:t> </w:t>
      </w:r>
      <w:r>
        <w:rPr/>
        <w:t>returnedto</w:t>
      </w:r>
      <w:r>
        <w:rPr>
          <w:spacing w:val="54"/>
        </w:rPr>
        <w:t> </w:t>
      </w:r>
      <w:r>
        <w:rPr>
          <w:spacing w:val="-2"/>
        </w:rPr>
        <w:t>stable</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w:t>democratic among otherthings. Portfolio investment is arecent phenomenon inNigeria. It was from mid 1980s thatNigeria started torecord any figure onportfolio investment (inflowor outflow) in herbalance of paymentsaccount.</w:t>
      </w:r>
    </w:p>
    <w:p>
      <w:pPr>
        <w:pStyle w:val="BodyText"/>
        <w:spacing w:line="480" w:lineRule="auto" w:before="161"/>
        <w:ind w:right="733"/>
        <w:jc w:val="both"/>
      </w:pPr>
      <w:r>
        <w:rPr/>
        <mc:AlternateContent>
          <mc:Choice Requires="wps">
            <w:drawing>
              <wp:anchor distT="0" distB="0" distL="0" distR="0" allowOverlap="1" layoutInCell="1" locked="0" behindDoc="1" simplePos="0" relativeHeight="478060032">
                <wp:simplePos x="0" y="0"/>
                <wp:positionH relativeFrom="page">
                  <wp:posOffset>950112</wp:posOffset>
                </wp:positionH>
                <wp:positionV relativeFrom="paragraph">
                  <wp:posOffset>187671</wp:posOffset>
                </wp:positionV>
                <wp:extent cx="5505450" cy="5661025"/>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4.777295pt;width:433.5pt;height:445.75pt;mso-position-horizontal-relative:page;mso-position-vertical-relative:paragraph;z-index:-25256448" id="docshape116" coordorigin="1496,296" coordsize="8670,8915" path="m2562,9015l1691,8144,1496,8339,2367,9210,2562,9015xm3154,8339l3153,8300,3148,8257,3139,8213,3125,8169,3106,8126,3083,8082,3055,8040,3025,7999,2991,7959,2954,7920,2435,7400,2241,7595,2772,8126,2805,8162,2829,8198,2846,8232,2856,8267,2858,8299,2851,8330,2837,8358,2816,8385,2790,8406,2761,8420,2730,8426,2697,8424,2663,8414,2628,8398,2593,8373,2557,8342,2026,7810,1831,8004,2351,8523,2385,8556,2424,8588,2468,8620,2516,8653,2548,8672,2583,8687,2620,8701,2658,8711,2697,8719,2733,8723,2767,8723,2800,8720,2831,8713,2863,8701,2895,8685,2926,8664,2957,8641,2985,8618,3011,8595,3035,8573,3071,8532,3102,8492,3125,8450,3142,8408,3150,8375,3154,8339xm3882,7556l3876,7492,3860,7426,3834,7360,3806,7305,3771,7249,3728,7192,3678,7133,3661,7114,3621,7072,3597,7050,3597,7544,3592,7584,3577,7621,3551,7654,3518,7679,3481,7694,3441,7699,3396,7693,3347,7674,3294,7643,3235,7598,3171,7539,3112,7475,3066,7416,3035,7361,3016,7312,3010,7268,3014,7228,3029,7192,3053,7160,3086,7134,3122,7119,3163,7114,3207,7119,3255,7136,3307,7166,3363,7208,3423,7263,3488,7333,3538,7396,3572,7452,3591,7500,3597,7544,3597,7050,3551,7007,3482,6952,3413,6907,3344,6872,3276,6846,3209,6830,3130,6824,3055,6834,2983,6860,2914,6900,2850,6956,2796,7019,2756,7087,2732,7159,2723,7234,2729,7314,2746,7382,2772,7451,2808,7521,2854,7591,2910,7661,2976,7732,3036,7789,3096,7839,3156,7881,3215,7916,3273,7943,3344,7967,3411,7981,3475,7984,3535,7978,3593,7962,3649,7935,3705,7897,3758,7849,3805,7795,3841,7739,3858,7699,3866,7680,3879,7619,3882,7556xm4153,6976l3966,6789,3712,7044,3899,7231,4153,6976xm4664,6914l3793,6043,3598,6238,4469,7109,4664,6914xm4998,6580l4675,6256,4781,6150,4832,6090,4837,6080,4866,6028,4883,5965,4882,5900,4866,5835,4843,5784,4836,5769,4792,5703,4733,5637,4670,5580,4607,5537,4598,5532,4598,5926,4597,5951,4587,5977,4570,6004,4546,6032,4498,6080,4304,5885,4359,5830,4386,5807,4412,5791,4438,5784,4462,5784,4486,5791,4509,5801,4531,5815,4552,5834,4570,5855,4584,5878,4593,5901,4598,5926,4598,5532,4544,5507,4483,5491,4423,5490,4365,5505,4309,5535,4255,5580,3931,5904,4803,6775,4998,6580xm5788,5790l5132,5134,5330,4935,5115,4720,4524,5312,4739,5527,4937,5328,5593,5984,5788,5790xm6423,5154l5767,4498,5966,4300,5751,4085,5159,4676,5374,4891,5573,4693,6229,5349,6423,5154xm7157,4281l7151,4217,7135,4151,7109,4085,7081,4030,7046,3974,7003,3917,6953,3858,6935,3839,6896,3798,6872,3775,6872,4269,6867,4309,6851,4346,6825,4379,6793,4405,6756,4420,6716,4424,6671,4418,6622,4399,6569,4368,6510,4323,6446,4264,6387,4200,6341,4141,6309,4086,6291,4037,6285,3993,6289,3953,6304,3917,6328,3885,6361,3860,6397,3844,6438,3839,6482,3844,6530,3862,6582,3891,6638,3934,6698,3989,6763,4058,6813,4121,6847,4177,6866,4226,6872,4269,6872,3775,6826,3732,6756,3677,6687,3632,6619,3597,6551,3571,6483,3555,6405,3550,6329,3560,6258,3585,6189,3625,6125,3681,6071,3744,6031,3812,6007,3884,5998,3959,6004,4039,6021,4107,6047,4176,6083,4246,6129,4316,6184,4386,6250,4457,6311,4514,6371,4564,6431,4606,6490,4641,6548,4668,6619,4692,6686,4706,6750,4710,6810,4703,6868,4687,6924,4660,6979,4622,7033,4574,7080,4520,7116,4464,7133,4424,7141,4405,7154,4344,7157,4281xm8170,3286l8165,3237,8153,3186,8134,3134,8109,3079,8079,3023,8041,2966,7980,2991,7799,3065,7831,3112,7855,3155,7873,3195,7884,3233,7887,3268,7881,3301,7866,3332,7843,3361,7812,3385,7778,3399,7740,3403,7700,3397,7653,3378,7600,3344,7538,3295,7469,3230,7417,3174,7375,3122,7344,3074,7324,3031,7311,2980,7312,2933,7325,2892,7352,2856,7367,2843,7384,2833,7402,2825,7422,2820,7442,2818,7464,2819,7486,2822,7509,2828,7524,2834,7542,2842,7563,2853,7586,2867,7705,2642,7622,2596,7543,2564,7469,2545,7400,2539,7333,2547,7269,2569,7206,2607,7146,2660,7092,2722,7054,2789,7030,2859,7021,2933,7027,3011,7044,3078,7070,3145,7106,3214,7153,3284,7209,3355,7276,3427,7341,3487,7404,3539,7467,3583,7529,3618,7590,3646,7662,3669,7730,3682,7791,3685,7847,3678,7900,3661,7952,3635,8004,3598,8056,3552,8094,3509,8125,3466,8147,3422,8161,3378,8169,3333,8170,3286xm8868,2570l8861,2506,8846,2441,8820,2374,8792,2319,8757,2263,8714,2206,8664,2147,8646,2128,8607,2087,8583,2064,8583,2558,8578,2598,8562,2635,8536,2668,8504,2694,8467,2709,8427,2713,8382,2707,8333,2689,8279,2657,8221,2612,8157,2553,8098,2489,8052,2430,8020,2376,8002,2327,7996,2282,8000,2242,8014,2206,8039,2174,8071,2149,8108,2133,8149,2128,8193,2133,8241,2151,8293,2180,8349,2223,8409,2278,8474,2347,8524,2410,8558,2466,8577,2515,8583,2558,8583,2064,8537,2021,8467,1966,8398,1921,8330,1886,8262,1860,8194,1844,8116,1839,8040,1849,7968,1874,7900,1915,7835,1970,7781,2034,7742,2101,7718,2173,7709,2249,7715,2328,7731,2397,7758,2466,7794,2535,7839,2605,7895,2676,7961,2746,8022,2804,8082,2853,8142,2895,8201,2930,8259,2957,8329,2982,8397,2995,8461,2999,8521,2992,8579,2976,8635,2949,8690,2911,8744,2863,8791,2809,8827,2753,8844,2713,8852,2694,8865,2633,8868,2570xm9348,2229l9025,1906,9132,1799,9182,1739,9188,1730,9216,1678,9233,1615,9233,1550,9217,1484,9194,1433,9187,1418,9142,1353,9084,1287,9020,1229,8957,1186,8948,1182,8948,1575,8947,1601,8938,1627,8921,1654,8896,1682,8849,1730,8654,1535,8710,1480,8737,1456,8763,1441,8788,1433,8812,1434,8836,1440,8859,1451,8881,1465,8902,1484,8920,1505,8934,1528,8943,1551,8948,1575,8948,1182,8895,1157,8833,1141,8773,1140,8715,1155,8659,1185,8605,1230,8282,1554,9153,2425,9348,2229xm10166,1412l9801,1047,9748,897,9593,446,9540,296,9325,511,9353,581,9436,792,9492,932,9422,904,9211,821,9071,765,8854,981,9005,1034,9456,1189,9606,1242,9971,1607,10166,1412xe" filled="true" fillcolor="#c0c0c0" stroked="false">
                <v:path arrowok="t"/>
                <v:fill opacity="32896f" type="solid"/>
                <w10:wrap type="none"/>
              </v:shape>
            </w:pict>
          </mc:Fallback>
        </mc:AlternateContent>
      </w:r>
      <w:r>
        <w:rPr/>
        <w:t>Foreign portfolio investment increases theliquidity of domesticcapital markets, and can help develop</w:t>
      </w:r>
      <w:r>
        <w:rPr>
          <w:spacing w:val="-4"/>
        </w:rPr>
        <w:t> </w:t>
      </w:r>
      <w:r>
        <w:rPr/>
        <w:t>marketefficiency</w:t>
      </w:r>
      <w:r>
        <w:rPr>
          <w:spacing w:val="-4"/>
        </w:rPr>
        <w:t> </w:t>
      </w:r>
      <w:r>
        <w:rPr/>
        <w:t>aswell.</w:t>
      </w:r>
      <w:r>
        <w:rPr>
          <w:spacing w:val="-4"/>
        </w:rPr>
        <w:t> </w:t>
      </w:r>
      <w:r>
        <w:rPr/>
        <w:t>As</w:t>
      </w:r>
      <w:r>
        <w:rPr>
          <w:spacing w:val="-3"/>
        </w:rPr>
        <w:t> </w:t>
      </w:r>
      <w:r>
        <w:rPr/>
        <w:t>markets</w:t>
      </w:r>
      <w:r>
        <w:rPr>
          <w:spacing w:val="-2"/>
        </w:rPr>
        <w:t> </w:t>
      </w:r>
      <w:r>
        <w:rPr/>
        <w:t>becomemore</w:t>
      </w:r>
      <w:r>
        <w:rPr>
          <w:spacing w:val="-4"/>
        </w:rPr>
        <w:t> </w:t>
      </w:r>
      <w:r>
        <w:rPr/>
        <w:t>liquid,</w:t>
      </w:r>
      <w:r>
        <w:rPr>
          <w:spacing w:val="-1"/>
        </w:rPr>
        <w:t> </w:t>
      </w:r>
      <w:r>
        <w:rPr/>
        <w:t>deeper</w:t>
      </w:r>
      <w:r>
        <w:rPr>
          <w:spacing w:val="-3"/>
        </w:rPr>
        <w:t> </w:t>
      </w:r>
      <w:r>
        <w:rPr/>
        <w:t>andbroader,</w:t>
      </w:r>
      <w:r>
        <w:rPr>
          <w:spacing w:val="-4"/>
        </w:rPr>
        <w:t> </w:t>
      </w:r>
      <w:r>
        <w:rPr/>
        <w:t>a</w:t>
      </w:r>
      <w:r>
        <w:rPr>
          <w:spacing w:val="-1"/>
        </w:rPr>
        <w:t> </w:t>
      </w:r>
      <w:r>
        <w:rPr/>
        <w:t>wider range ofinvestments can befinanced and new enterpriseshave a greater chance ofreceiving startup financing. Savers have moreopportunity to invest with theassurance that they will be able to managetheir portfolio, or sell theirfinancial securities quickly if theyneed access to their savings. In thisway, liquid markets canalso make long-term investmentsmore attractive. Foreign portfolioinvestment can alsobring discipline andknow-how into the domesticcapital markets. In a deeper, broadermarket, investors will havegreater incentives toexpend</w:t>
      </w:r>
      <w:r>
        <w:rPr>
          <w:spacing w:val="40"/>
        </w:rPr>
        <w:t> </w:t>
      </w:r>
      <w:r>
        <w:rPr/>
        <w:t>resources</w:t>
      </w:r>
      <w:r>
        <w:rPr>
          <w:spacing w:val="-1"/>
        </w:rPr>
        <w:t> </w:t>
      </w:r>
      <w:r>
        <w:rPr/>
        <w:t>in</w:t>
      </w:r>
      <w:r>
        <w:rPr>
          <w:spacing w:val="-2"/>
        </w:rPr>
        <w:t> </w:t>
      </w:r>
      <w:r>
        <w:rPr/>
        <w:t>researchingnew</w:t>
      </w:r>
      <w:r>
        <w:rPr>
          <w:spacing w:val="-3"/>
        </w:rPr>
        <w:t> </w:t>
      </w:r>
      <w:r>
        <w:rPr/>
        <w:t>or</w:t>
      </w:r>
      <w:r>
        <w:rPr>
          <w:spacing w:val="-2"/>
        </w:rPr>
        <w:t> </w:t>
      </w:r>
      <w:r>
        <w:rPr/>
        <w:t>emerginginvestment</w:t>
      </w:r>
      <w:r>
        <w:rPr>
          <w:spacing w:val="-2"/>
        </w:rPr>
        <w:t> </w:t>
      </w:r>
      <w:r>
        <w:rPr/>
        <w:t>opportunities.</w:t>
      </w:r>
      <w:r>
        <w:rPr>
          <w:spacing w:val="-2"/>
        </w:rPr>
        <w:t> </w:t>
      </w:r>
      <w:r>
        <w:rPr/>
        <w:t>As enterprisescompete</w:t>
      </w:r>
      <w:r>
        <w:rPr>
          <w:spacing w:val="-3"/>
        </w:rPr>
        <w:t> </w:t>
      </w:r>
      <w:r>
        <w:rPr/>
        <w:t>for financing, they will facedemands for betterinformation, both in termsof quantity and quality. This press for fullerdisclosure will promotetransparency, which can havepositive spill-over into other economicsectors. Foreign portfolio investors, without theadvantage of an insider’s knowledge of theinvestment opportunities, are especiallylikely to demand a higherlevel of information disclosureand accounting standards, andbring with them experienceutilizing these standards and aknowledge of how theyfunction. Foreign portfolioinvestment can also help to promotedevelopment of equitymarkets and the shareholdersvoice in </w:t>
      </w:r>
      <w:r>
        <w:rPr/>
        <w:t>corporate governance. As companiescompete for finance, the marketwill reward betterperformance, better prospectsfor future performanceand better corporate governance.</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60544">
                <wp:simplePos x="0" y="0"/>
                <wp:positionH relativeFrom="page">
                  <wp:posOffset>950112</wp:posOffset>
                </wp:positionH>
                <wp:positionV relativeFrom="paragraph">
                  <wp:posOffset>1321053</wp:posOffset>
                </wp:positionV>
                <wp:extent cx="5505450" cy="566102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55936" id="docshape117"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As the market’s liquidityand functionalityimproves, equity prices will increasinglyreflect the underlying valuesof the firms, enhancing themore efficient allocationof capital flows. Well- functioning equitymarkets will alsofacilitate takeovers, a pointwhere portfolio anddirect investmentoverlap. Takeovers can turn apoorly functioning firminto an efficientand more profitable firm, strengtheningthe firm, the financialreturn to its investors, and thedomestic economy. Foreignportfolio investors mayalso help the domesticcapital markets by introducing moresophisticated instrumentsand technology formanaging portfolios. For instance, they maybring with them afacility in usingfutures, optionsswaps and other hedging instruments to manageportfolio risk. Increased demandfor these instrumentswould be conducive to developingthis function indomestic markets, improvingrisk management opportunities forboth foreign anddomestic investors. In thevarious ways outlinedabove, foreign portfolio investmentcan help to strengthendomestic capital marketsand improve their functioning. This will lead to abetter allocation ofcapital and resources in thedomestic economyand thus a healthiereconomy. Open capital marketsalso contribute toworldwide economic developmentby improving the worldwideallocation of savings andresources. Open markets give foreigninvestors the opportunityto diversify their portfolios, improvingrisk management andpossibly fostering a higher levelof savings and investment.</w:t>
      </w:r>
    </w:p>
    <w:p>
      <w:pPr>
        <w:pStyle w:val="BodyText"/>
        <w:spacing w:line="480" w:lineRule="auto" w:before="162"/>
        <w:ind w:right="736"/>
        <w:jc w:val="both"/>
      </w:pPr>
      <w:r>
        <w:rPr/>
        <w:t>Baghebo and Apere (2014) explains therelative importance ofportfolio investment to asmall emerging economylike Nigeria cannot beoveremphasized, the positiveattributes of foreign portfolioinvestment include technologicaltransfer, increasein productivity, highincome, increase in governmentrevenue through taxesenhancement of balanceof payment </w:t>
      </w:r>
      <w:r>
        <w:rPr/>
        <w:t>ability, employment</w:t>
      </w:r>
      <w:r>
        <w:rPr>
          <w:spacing w:val="54"/>
        </w:rPr>
        <w:t> </w:t>
      </w:r>
      <w:r>
        <w:rPr/>
        <w:t>generationdiversification</w:t>
      </w:r>
      <w:r>
        <w:rPr>
          <w:spacing w:val="54"/>
        </w:rPr>
        <w:t> </w:t>
      </w:r>
      <w:r>
        <w:rPr/>
        <w:t>of</w:t>
      </w:r>
      <w:r>
        <w:rPr>
          <w:spacing w:val="55"/>
        </w:rPr>
        <w:t> </w:t>
      </w:r>
      <w:r>
        <w:rPr/>
        <w:t>theindustrial</w:t>
      </w:r>
      <w:r>
        <w:rPr>
          <w:spacing w:val="54"/>
        </w:rPr>
        <w:t> </w:t>
      </w:r>
      <w:r>
        <w:rPr/>
        <w:t>base</w:t>
      </w:r>
      <w:r>
        <w:rPr>
          <w:spacing w:val="54"/>
        </w:rPr>
        <w:t> </w:t>
      </w:r>
      <w:r>
        <w:rPr/>
        <w:t>andexpansion,</w:t>
      </w:r>
      <w:r>
        <w:rPr>
          <w:spacing w:val="54"/>
        </w:rPr>
        <w:t> </w:t>
      </w:r>
      <w:r>
        <w:rPr>
          <w:spacing w:val="-2"/>
        </w:rPr>
        <w:t>developmentof</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61056">
                <wp:simplePos x="0" y="0"/>
                <wp:positionH relativeFrom="page">
                  <wp:posOffset>950112</wp:posOffset>
                </wp:positionH>
                <wp:positionV relativeFrom="paragraph">
                  <wp:posOffset>1321053</wp:posOffset>
                </wp:positionV>
                <wp:extent cx="5505450" cy="5661025"/>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55424" id="docshape118"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existing industries.Bada, (2017) defined ForeignPortfolio Investment as aspectof foreign capital flows whichconsist of transfer of financialassets such as cash, stockor bonds across borders with thedesire to makeprofits. This occurs wheninvestors purchasenon-controlling interests in foreigncompanies or buy foreigncorporate or governmentbonds, short-term securities, ornotes. Also, as highlighted byPazarlıoglu and Gulay (2007) foreignportfolio results incontribution to the hostcountries‘ capital accumulation and production capacity,</w:t>
      </w:r>
      <w:r>
        <w:rPr>
          <w:spacing w:val="40"/>
        </w:rPr>
        <w:t> </w:t>
      </w:r>
      <w:r>
        <w:rPr/>
        <w:t>new technology and knowledge, contributionto the improvement of thecountry's balance of payments, new salesand marketing techniques, newbusiness opportunities, and hightax revenue. Foreign capitalalso has various effects on thehost country’s production, employment, income, balanceof payments andeconomic development. Despite these merits</w:t>
      </w:r>
      <w:r>
        <w:rPr>
          <w:spacing w:val="40"/>
        </w:rPr>
        <w:t> </w:t>
      </w:r>
      <w:r>
        <w:rPr/>
        <w:t>of FPI, there existsome demerits.</w:t>
      </w:r>
    </w:p>
    <w:p>
      <w:pPr>
        <w:pStyle w:val="BodyText"/>
        <w:spacing w:line="480" w:lineRule="auto" w:before="160"/>
        <w:ind w:right="733"/>
        <w:jc w:val="both"/>
      </w:pPr>
      <w:r>
        <w:rPr/>
        <w:t>Furthermore, the consensus in</w:t>
      </w:r>
      <w:r>
        <w:rPr>
          <w:spacing w:val="-2"/>
        </w:rPr>
        <w:t> </w:t>
      </w:r>
      <w:r>
        <w:rPr/>
        <w:t>theliterature seems to</w:t>
      </w:r>
      <w:r>
        <w:rPr>
          <w:spacing w:val="-2"/>
        </w:rPr>
        <w:t> </w:t>
      </w:r>
      <w:r>
        <w:rPr/>
        <w:t>support thatforeign</w:t>
      </w:r>
      <w:r>
        <w:rPr>
          <w:spacing w:val="-3"/>
        </w:rPr>
        <w:t> </w:t>
      </w:r>
      <w:r>
        <w:rPr/>
        <w:t>investment increases growth through productivityand efficiency gains. The empirical evidence is notunanimous. However, available evidence fordeveloped countries meet the ideathat the productivity of domestic firms is positively relatedto the presence of foreignfirms (Imbriani &amp; Reganeti, 1997). The resultsof developing countries are, not soclear, with some finding disclosed positivespillovers, (Blomstrom, 1986) andothers reporting limitedevidence. Also, others find out that there is no evidenceof positive short runspillover from foreignfirms. Some of the reasons adduced forthese mixed results are theenvisaged forward and backwardlinkages may not really necessaryand the arguments thattransnational companies encourage increased productivity due tocompetition may not be true inpractice. Other reasons include thefact that transnational</w:t>
      </w:r>
      <w:r>
        <w:rPr>
          <w:spacing w:val="60"/>
        </w:rPr>
        <w:t> </w:t>
      </w:r>
      <w:r>
        <w:rPr/>
        <w:t>companiestend</w:t>
      </w:r>
      <w:r>
        <w:rPr>
          <w:spacing w:val="61"/>
        </w:rPr>
        <w:t> </w:t>
      </w:r>
      <w:r>
        <w:rPr/>
        <w:t>to</w:t>
      </w:r>
      <w:r>
        <w:rPr>
          <w:spacing w:val="62"/>
        </w:rPr>
        <w:t> </w:t>
      </w:r>
      <w:r>
        <w:rPr/>
        <w:t>locate</w:t>
      </w:r>
      <w:r>
        <w:rPr>
          <w:spacing w:val="62"/>
        </w:rPr>
        <w:t> </w:t>
      </w:r>
      <w:r>
        <w:rPr/>
        <w:t>inhigh</w:t>
      </w:r>
      <w:r>
        <w:rPr>
          <w:spacing w:val="64"/>
        </w:rPr>
        <w:t> </w:t>
      </w:r>
      <w:r>
        <w:rPr/>
        <w:t>productivity</w:t>
      </w:r>
      <w:r>
        <w:rPr>
          <w:spacing w:val="62"/>
        </w:rPr>
        <w:t> </w:t>
      </w:r>
      <w:r>
        <w:rPr/>
        <w:t>industries</w:t>
      </w:r>
      <w:r>
        <w:rPr>
          <w:spacing w:val="61"/>
        </w:rPr>
        <w:t> </w:t>
      </w:r>
      <w:r>
        <w:rPr/>
        <w:t>and,</w:t>
      </w:r>
      <w:r>
        <w:rPr>
          <w:spacing w:val="61"/>
        </w:rPr>
        <w:t> </w:t>
      </w:r>
      <w:r>
        <w:rPr>
          <w:spacing w:val="-2"/>
        </w:rPr>
        <w:t>thereforecould</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61568">
                <wp:simplePos x="0" y="0"/>
                <wp:positionH relativeFrom="page">
                  <wp:posOffset>950112</wp:posOffset>
                </wp:positionH>
                <wp:positionV relativeFrom="paragraph">
                  <wp:posOffset>1321053</wp:posOffset>
                </wp:positionV>
                <wp:extent cx="5505450" cy="5661025"/>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54912" id="docshape119"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force less productive firmsto exit (Smarzynska, 2002). Cobham (2001) also assumedthat</w:t>
      </w:r>
      <w:r>
        <w:rPr>
          <w:spacing w:val="80"/>
        </w:rPr>
        <w:t> </w:t>
      </w:r>
      <w:r>
        <w:rPr/>
        <w:t>their is crowding outof domestic firms and possible contractionin the total industry and or employment. However, crowdingout is a more rare event and thebenefit of foreign direct investment inexport promotion remains controversialand depends crucially on themotive for such investment (World Bank, 1998). The previous literatures appearto be that direct and indirect investmentspillovers depend on thehost country’s capacityto absorb the foreign technologyand the</w:t>
      </w:r>
      <w:r>
        <w:rPr>
          <w:spacing w:val="-1"/>
        </w:rPr>
        <w:t> </w:t>
      </w:r>
      <w:r>
        <w:rPr/>
        <w:t>type ofinvestment climate.</w:t>
      </w:r>
      <w:r>
        <w:rPr>
          <w:spacing w:val="-1"/>
        </w:rPr>
        <w:t> </w:t>
      </w:r>
      <w:r>
        <w:rPr/>
        <w:t>The</w:t>
      </w:r>
      <w:r>
        <w:rPr>
          <w:spacing w:val="-1"/>
        </w:rPr>
        <w:t> </w:t>
      </w:r>
      <w:r>
        <w:rPr/>
        <w:t>review</w:t>
      </w:r>
      <w:r>
        <w:rPr>
          <w:spacing w:val="-1"/>
        </w:rPr>
        <w:t> </w:t>
      </w:r>
      <w:r>
        <w:rPr/>
        <w:t>shows that thedebate on the</w:t>
      </w:r>
      <w:r>
        <w:rPr>
          <w:spacing w:val="-1"/>
        </w:rPr>
        <w:t> </w:t>
      </w:r>
      <w:r>
        <w:rPr/>
        <w:t>impact of foreign directinvestment on economicgrowth is far from being conclusive. The roleof foreign portfolio investment may beeither be positive or negativeor insignificant, depending on the economicinstitutional and technological conditionsin the recipient countries.</w:t>
      </w:r>
    </w:p>
    <w:p>
      <w:pPr>
        <w:pStyle w:val="BodyText"/>
        <w:ind w:left="0"/>
      </w:pPr>
    </w:p>
    <w:p>
      <w:pPr>
        <w:pStyle w:val="BodyText"/>
        <w:spacing w:before="33"/>
        <w:ind w:left="0"/>
      </w:pPr>
    </w:p>
    <w:p>
      <w:pPr>
        <w:pStyle w:val="Heading2"/>
        <w:numPr>
          <w:ilvl w:val="2"/>
          <w:numId w:val="21"/>
        </w:numPr>
        <w:tabs>
          <w:tab w:pos="780" w:val="left" w:leader="none"/>
        </w:tabs>
        <w:spacing w:line="240" w:lineRule="auto" w:before="0" w:after="0"/>
        <w:ind w:left="780" w:right="0" w:hanging="560"/>
        <w:jc w:val="left"/>
      </w:pPr>
      <w:r>
        <w:rPr/>
        <mc:AlternateContent>
          <mc:Choice Requires="wps">
            <w:drawing>
              <wp:anchor distT="0" distB="0" distL="0" distR="0" allowOverlap="1" layoutInCell="1" locked="0" behindDoc="1" simplePos="0" relativeHeight="478062080">
                <wp:simplePos x="0" y="0"/>
                <wp:positionH relativeFrom="page">
                  <wp:posOffset>896416</wp:posOffset>
                </wp:positionH>
                <wp:positionV relativeFrom="paragraph">
                  <wp:posOffset>-284266</wp:posOffset>
                </wp:positionV>
                <wp:extent cx="5981065" cy="3307715"/>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5981065" cy="3307715"/>
                        </a:xfrm>
                        <a:custGeom>
                          <a:avLst/>
                          <a:gdLst/>
                          <a:ahLst/>
                          <a:cxnLst/>
                          <a:rect l="l" t="t" r="r" b="b"/>
                          <a:pathLst>
                            <a:path w="5981065" h="3307715">
                              <a:moveTo>
                                <a:pt x="5981065" y="2577414"/>
                              </a:moveTo>
                              <a:lnTo>
                                <a:pt x="0" y="2577414"/>
                              </a:lnTo>
                              <a:lnTo>
                                <a:pt x="0" y="2941955"/>
                              </a:lnTo>
                              <a:lnTo>
                                <a:pt x="0" y="3307715"/>
                              </a:lnTo>
                              <a:lnTo>
                                <a:pt x="5981065" y="3307715"/>
                              </a:lnTo>
                              <a:lnTo>
                                <a:pt x="5981065" y="2941955"/>
                              </a:lnTo>
                              <a:lnTo>
                                <a:pt x="5981065" y="2577414"/>
                              </a:lnTo>
                              <a:close/>
                            </a:path>
                            <a:path w="5981065" h="3307715">
                              <a:moveTo>
                                <a:pt x="5981065" y="0"/>
                              </a:moveTo>
                              <a:lnTo>
                                <a:pt x="0" y="0"/>
                              </a:lnTo>
                              <a:lnTo>
                                <a:pt x="0" y="182829"/>
                              </a:lnTo>
                              <a:lnTo>
                                <a:pt x="0" y="182880"/>
                              </a:lnTo>
                              <a:lnTo>
                                <a:pt x="0" y="2577338"/>
                              </a:lnTo>
                              <a:lnTo>
                                <a:pt x="5981065" y="2577338"/>
                              </a:lnTo>
                              <a:lnTo>
                                <a:pt x="5981065" y="182829"/>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22.383165pt;width:470.95pt;height:260.45pt;mso-position-horizontal-relative:page;mso-position-vertical-relative:paragraph;z-index:-25254400" id="docshape120" coordorigin="1412,-448" coordsize="9419,5209" path="m10831,3611l1412,3611,1412,4185,1412,4761,10831,4761,10831,4185,10831,3611xm10831,-448l1412,-448,1412,-160,1412,-160,1412,575,1412,1312,1412,1886,1412,2462,1412,3035,1412,3611,10831,3611,10831,3035,10831,2462,10831,1886,10831,1312,10831,575,10831,-160,10831,-160,10831,-448xe" filled="true" fillcolor="#ffffff" stroked="false">
                <v:path arrowok="t"/>
                <v:fill type="solid"/>
                <w10:wrap type="none"/>
              </v:shape>
            </w:pict>
          </mc:Fallback>
        </mc:AlternateContent>
      </w:r>
      <w:bookmarkStart w:name="_TOC_250042" w:id="33"/>
      <w:r>
        <w:rPr/>
        <w:t>Trade</w:t>
      </w:r>
      <w:r>
        <w:rPr>
          <w:spacing w:val="-9"/>
        </w:rPr>
        <w:t> </w:t>
      </w:r>
      <w:r>
        <w:rPr/>
        <w:t>Openness</w:t>
      </w:r>
      <w:r>
        <w:rPr>
          <w:spacing w:val="-6"/>
        </w:rPr>
        <w:t> </w:t>
      </w:r>
      <w:r>
        <w:rPr/>
        <w:t>and</w:t>
      </w:r>
      <w:r>
        <w:rPr>
          <w:spacing w:val="-7"/>
        </w:rPr>
        <w:t> </w:t>
      </w:r>
      <w:r>
        <w:rPr/>
        <w:t>Economic</w:t>
      </w:r>
      <w:r>
        <w:rPr>
          <w:spacing w:val="-9"/>
        </w:rPr>
        <w:t> </w:t>
      </w:r>
      <w:bookmarkEnd w:id="33"/>
      <w:r>
        <w:rPr>
          <w:spacing w:val="-2"/>
        </w:rPr>
        <w:t>Growth</w:t>
      </w:r>
    </w:p>
    <w:p>
      <w:pPr>
        <w:pStyle w:val="BodyText"/>
        <w:spacing w:before="160"/>
        <w:ind w:left="0"/>
        <w:rPr>
          <w:b/>
        </w:rPr>
      </w:pPr>
    </w:p>
    <w:p>
      <w:pPr>
        <w:pStyle w:val="BodyText"/>
      </w:pPr>
      <w:r>
        <w:rPr/>
        <w:t>Recent</w:t>
      </w:r>
      <w:r>
        <w:rPr>
          <w:spacing w:val="-6"/>
        </w:rPr>
        <w:t> </w:t>
      </w:r>
      <w:r>
        <w:rPr/>
        <w:t>years</w:t>
      </w:r>
      <w:r>
        <w:rPr>
          <w:spacing w:val="-5"/>
        </w:rPr>
        <w:t> </w:t>
      </w:r>
      <w:r>
        <w:rPr/>
        <w:t>have</w:t>
      </w:r>
      <w:r>
        <w:rPr>
          <w:spacing w:val="-6"/>
        </w:rPr>
        <w:t> </w:t>
      </w:r>
      <w:r>
        <w:rPr/>
        <w:t>witnessed</w:t>
      </w:r>
      <w:r>
        <w:rPr>
          <w:spacing w:val="-7"/>
        </w:rPr>
        <w:t> </w:t>
      </w:r>
      <w:r>
        <w:rPr/>
        <w:t>increased</w:t>
      </w:r>
      <w:r>
        <w:rPr>
          <w:spacing w:val="-6"/>
        </w:rPr>
        <w:t> </w:t>
      </w:r>
      <w:r>
        <w:rPr/>
        <w:t>research</w:t>
      </w:r>
      <w:r>
        <w:rPr>
          <w:spacing w:val="-8"/>
        </w:rPr>
        <w:t> </w:t>
      </w:r>
      <w:r>
        <w:rPr/>
        <w:t>attentionon</w:t>
      </w:r>
      <w:r>
        <w:rPr>
          <w:spacing w:val="-6"/>
        </w:rPr>
        <w:t> </w:t>
      </w:r>
      <w:r>
        <w:rPr/>
        <w:t>the</w:t>
      </w:r>
      <w:r>
        <w:rPr>
          <w:spacing w:val="-6"/>
        </w:rPr>
        <w:t> </w:t>
      </w:r>
      <w:r>
        <w:rPr/>
        <w:t>nexus</w:t>
      </w:r>
      <w:r>
        <w:rPr>
          <w:spacing w:val="-6"/>
        </w:rPr>
        <w:t> </w:t>
      </w:r>
      <w:r>
        <w:rPr/>
        <w:t>betweentrade</w:t>
      </w:r>
      <w:r>
        <w:rPr>
          <w:spacing w:val="-5"/>
        </w:rPr>
        <w:t> </w:t>
      </w:r>
      <w:r>
        <w:rPr>
          <w:spacing w:val="-2"/>
        </w:rPr>
        <w:t>openness</w:t>
      </w:r>
    </w:p>
    <w:p>
      <w:pPr>
        <w:pStyle w:val="BodyText"/>
        <w:spacing w:before="1"/>
        <w:ind w:left="0"/>
      </w:pPr>
    </w:p>
    <w:p>
      <w:pPr>
        <w:pStyle w:val="BodyText"/>
      </w:pPr>
      <w:r>
        <w:rPr/>
        <w:t>and</w:t>
      </w:r>
      <w:r>
        <w:rPr>
          <w:spacing w:val="29"/>
        </w:rPr>
        <w:t>  </w:t>
      </w:r>
      <w:r>
        <w:rPr/>
        <w:t>economic</w:t>
      </w:r>
      <w:r>
        <w:rPr>
          <w:spacing w:val="30"/>
        </w:rPr>
        <w:t>  </w:t>
      </w:r>
      <w:r>
        <w:rPr/>
        <w:t>growth</w:t>
      </w:r>
      <w:r>
        <w:rPr>
          <w:spacing w:val="30"/>
        </w:rPr>
        <w:t>  </w:t>
      </w:r>
      <w:r>
        <w:rPr/>
        <w:t>indeveloping</w:t>
      </w:r>
      <w:r>
        <w:rPr>
          <w:spacing w:val="30"/>
        </w:rPr>
        <w:t>  </w:t>
      </w:r>
      <w:r>
        <w:rPr/>
        <w:t>economies.</w:t>
      </w:r>
      <w:r>
        <w:rPr>
          <w:spacing w:val="29"/>
        </w:rPr>
        <w:t>  </w:t>
      </w:r>
      <w:r>
        <w:rPr/>
        <w:t>This</w:t>
      </w:r>
      <w:r>
        <w:rPr>
          <w:spacing w:val="30"/>
        </w:rPr>
        <w:t>  </w:t>
      </w:r>
      <w:r>
        <w:rPr/>
        <w:t>development</w:t>
      </w:r>
      <w:r>
        <w:rPr>
          <w:spacing w:val="30"/>
        </w:rPr>
        <w:t>  </w:t>
      </w:r>
      <w:r>
        <w:rPr/>
        <w:t>is</w:t>
      </w:r>
      <w:r>
        <w:rPr>
          <w:spacing w:val="30"/>
        </w:rPr>
        <w:t>  </w:t>
      </w:r>
      <w:r>
        <w:rPr/>
        <w:t>motivated</w:t>
      </w:r>
      <w:r>
        <w:rPr>
          <w:spacing w:val="29"/>
        </w:rPr>
        <w:t>  </w:t>
      </w:r>
      <w:r>
        <w:rPr>
          <w:spacing w:val="-5"/>
        </w:rPr>
        <w:t>by</w:t>
      </w:r>
    </w:p>
    <w:p>
      <w:pPr>
        <w:pStyle w:val="BodyText"/>
        <w:spacing w:before="286"/>
      </w:pPr>
      <w:r>
        <w:rPr/>
        <w:t>theincreasing</w:t>
      </w:r>
      <w:r>
        <w:rPr>
          <w:spacing w:val="4"/>
        </w:rPr>
        <w:t> </w:t>
      </w:r>
      <w:r>
        <w:rPr/>
        <w:t>integrationof</w:t>
      </w:r>
      <w:r>
        <w:rPr>
          <w:spacing w:val="5"/>
        </w:rPr>
        <w:t> </w:t>
      </w:r>
      <w:r>
        <w:rPr/>
        <w:t>economiesat</w:t>
      </w:r>
      <w:r>
        <w:rPr>
          <w:spacing w:val="5"/>
        </w:rPr>
        <w:t> </w:t>
      </w:r>
      <w:r>
        <w:rPr/>
        <w:t>the</w:t>
      </w:r>
      <w:r>
        <w:rPr>
          <w:spacing w:val="4"/>
        </w:rPr>
        <w:t> </w:t>
      </w:r>
      <w:r>
        <w:rPr/>
        <w:t>global</w:t>
      </w:r>
      <w:r>
        <w:rPr>
          <w:spacing w:val="5"/>
        </w:rPr>
        <w:t> </w:t>
      </w:r>
      <w:r>
        <w:rPr/>
        <w:t>level</w:t>
      </w:r>
      <w:r>
        <w:rPr>
          <w:spacing w:val="4"/>
        </w:rPr>
        <w:t> </w:t>
      </w:r>
      <w:r>
        <w:rPr/>
        <w:t>(Shahbaz,</w:t>
      </w:r>
      <w:r>
        <w:rPr>
          <w:spacing w:val="5"/>
        </w:rPr>
        <w:t> </w:t>
      </w:r>
      <w:r>
        <w:rPr/>
        <w:t>2012),</w:t>
      </w:r>
      <w:r>
        <w:rPr>
          <w:spacing w:val="4"/>
        </w:rPr>
        <w:t> </w:t>
      </w:r>
      <w:r>
        <w:rPr/>
        <w:t>and</w:t>
      </w:r>
      <w:r>
        <w:rPr>
          <w:spacing w:val="5"/>
        </w:rPr>
        <w:t> </w:t>
      </w:r>
      <w:r>
        <w:rPr/>
        <w:t>the</w:t>
      </w:r>
      <w:r>
        <w:rPr>
          <w:spacing w:val="4"/>
        </w:rPr>
        <w:t> </w:t>
      </w:r>
      <w:r>
        <w:rPr/>
        <w:t>belief</w:t>
      </w:r>
      <w:r>
        <w:rPr>
          <w:spacing w:val="10"/>
        </w:rPr>
        <w:t> </w:t>
      </w:r>
      <w:r>
        <w:rPr>
          <w:spacing w:val="-4"/>
        </w:rPr>
        <w:t>that</w:t>
      </w:r>
    </w:p>
    <w:p>
      <w:pPr>
        <w:pStyle w:val="BodyText"/>
        <w:spacing w:before="1"/>
        <w:ind w:left="0"/>
      </w:pPr>
    </w:p>
    <w:p>
      <w:pPr>
        <w:pStyle w:val="BodyText"/>
      </w:pPr>
      <w:r>
        <w:rPr/>
        <w:t>trade</w:t>
      </w:r>
      <w:r>
        <w:rPr>
          <w:spacing w:val="60"/>
        </w:rPr>
        <w:t> </w:t>
      </w:r>
      <w:r>
        <w:rPr/>
        <w:t>liberalization</w:t>
      </w:r>
      <w:r>
        <w:rPr>
          <w:spacing w:val="64"/>
        </w:rPr>
        <w:t> </w:t>
      </w:r>
      <w:r>
        <w:rPr/>
        <w:t>is</w:t>
      </w:r>
      <w:r>
        <w:rPr>
          <w:spacing w:val="64"/>
        </w:rPr>
        <w:t> </w:t>
      </w:r>
      <w:r>
        <w:rPr/>
        <w:t>arequired</w:t>
      </w:r>
      <w:r>
        <w:rPr>
          <w:spacing w:val="61"/>
        </w:rPr>
        <w:t> </w:t>
      </w:r>
      <w:r>
        <w:rPr/>
        <w:t>condition</w:t>
      </w:r>
      <w:r>
        <w:rPr>
          <w:spacing w:val="64"/>
        </w:rPr>
        <w:t> </w:t>
      </w:r>
      <w:r>
        <w:rPr/>
        <w:t>foraccelerating</w:t>
      </w:r>
      <w:r>
        <w:rPr>
          <w:spacing w:val="63"/>
        </w:rPr>
        <w:t> </w:t>
      </w:r>
      <w:r>
        <w:rPr/>
        <w:t>the</w:t>
      </w:r>
      <w:r>
        <w:rPr>
          <w:spacing w:val="61"/>
        </w:rPr>
        <w:t> </w:t>
      </w:r>
      <w:r>
        <w:rPr/>
        <w:t>transition</w:t>
      </w:r>
      <w:r>
        <w:rPr>
          <w:spacing w:val="62"/>
        </w:rPr>
        <w:t> </w:t>
      </w:r>
      <w:r>
        <w:rPr/>
        <w:t>from</w:t>
      </w:r>
      <w:r>
        <w:rPr>
          <w:spacing w:val="61"/>
        </w:rPr>
        <w:t> </w:t>
      </w:r>
      <w:r>
        <w:rPr>
          <w:spacing w:val="-2"/>
        </w:rPr>
        <w:t>arelatively</w:t>
      </w:r>
    </w:p>
    <w:p>
      <w:pPr>
        <w:pStyle w:val="BodyText"/>
        <w:spacing w:before="286"/>
      </w:pPr>
      <w:r>
        <w:rPr/>
        <w:t>closed</w:t>
      </w:r>
      <w:r>
        <w:rPr>
          <w:spacing w:val="26"/>
        </w:rPr>
        <w:t> </w:t>
      </w:r>
      <w:r>
        <w:rPr/>
        <w:t>to</w:t>
      </w:r>
      <w:r>
        <w:rPr>
          <w:spacing w:val="27"/>
        </w:rPr>
        <w:t> </w:t>
      </w:r>
      <w:r>
        <w:rPr/>
        <w:t>openeconomy</w:t>
      </w:r>
      <w:r>
        <w:rPr>
          <w:spacing w:val="29"/>
        </w:rPr>
        <w:t> </w:t>
      </w:r>
      <w:r>
        <w:rPr/>
        <w:t>(Zahonogo,</w:t>
      </w:r>
      <w:r>
        <w:rPr>
          <w:spacing w:val="26"/>
        </w:rPr>
        <w:t> </w:t>
      </w:r>
      <w:r>
        <w:rPr/>
        <w:t>2016).</w:t>
      </w:r>
      <w:r>
        <w:rPr>
          <w:spacing w:val="27"/>
        </w:rPr>
        <w:t> </w:t>
      </w:r>
      <w:r>
        <w:rPr/>
        <w:t>Theoretical</w:t>
      </w:r>
      <w:r>
        <w:rPr>
          <w:spacing w:val="27"/>
        </w:rPr>
        <w:t> </w:t>
      </w:r>
      <w:r>
        <w:rPr/>
        <w:t>literature</w:t>
      </w:r>
      <w:r>
        <w:rPr>
          <w:spacing w:val="27"/>
        </w:rPr>
        <w:t> </w:t>
      </w:r>
      <w:r>
        <w:rPr/>
        <w:t>suggests</w:t>
      </w:r>
      <w:r>
        <w:rPr>
          <w:spacing w:val="28"/>
        </w:rPr>
        <w:t> </w:t>
      </w:r>
      <w:r>
        <w:rPr>
          <w:spacing w:val="-2"/>
        </w:rPr>
        <w:t>thatinternational</w:t>
      </w:r>
    </w:p>
    <w:p>
      <w:pPr>
        <w:pStyle w:val="BodyText"/>
        <w:spacing w:before="2"/>
        <w:ind w:left="0"/>
      </w:pPr>
    </w:p>
    <w:p>
      <w:pPr>
        <w:pStyle w:val="BodyText"/>
      </w:pPr>
      <w:r>
        <w:rPr/>
        <w:t>trade</w:t>
      </w:r>
      <w:r>
        <w:rPr>
          <w:spacing w:val="73"/>
          <w:w w:val="150"/>
        </w:rPr>
        <w:t> </w:t>
      </w:r>
      <w:r>
        <w:rPr/>
        <w:t>promotes</w:t>
      </w:r>
      <w:r>
        <w:rPr>
          <w:spacing w:val="76"/>
          <w:w w:val="150"/>
        </w:rPr>
        <w:t> </w:t>
      </w:r>
      <w:r>
        <w:rPr/>
        <w:t>thetransfer</w:t>
      </w:r>
      <w:r>
        <w:rPr>
          <w:spacing w:val="76"/>
          <w:w w:val="150"/>
        </w:rPr>
        <w:t> </w:t>
      </w:r>
      <w:r>
        <w:rPr/>
        <w:t>of</w:t>
      </w:r>
      <w:r>
        <w:rPr>
          <w:spacing w:val="74"/>
          <w:w w:val="150"/>
        </w:rPr>
        <w:t> </w:t>
      </w:r>
      <w:r>
        <w:rPr/>
        <w:t>new</w:t>
      </w:r>
      <w:r>
        <w:rPr>
          <w:spacing w:val="73"/>
          <w:w w:val="150"/>
        </w:rPr>
        <w:t> </w:t>
      </w:r>
      <w:r>
        <w:rPr/>
        <w:t>technologies,</w:t>
      </w:r>
      <w:r>
        <w:rPr>
          <w:spacing w:val="75"/>
          <w:w w:val="150"/>
        </w:rPr>
        <w:t> </w:t>
      </w:r>
      <w:r>
        <w:rPr/>
        <w:t>facilitatetechnological</w:t>
      </w:r>
      <w:r>
        <w:rPr>
          <w:spacing w:val="73"/>
          <w:w w:val="150"/>
        </w:rPr>
        <w:t> </w:t>
      </w:r>
      <w:r>
        <w:rPr/>
        <w:t>progress,</w:t>
      </w:r>
      <w:r>
        <w:rPr>
          <w:spacing w:val="74"/>
          <w:w w:val="150"/>
        </w:rPr>
        <w:t> </w:t>
      </w:r>
      <w:r>
        <w:rPr>
          <w:spacing w:val="-5"/>
        </w:rPr>
        <w:t>and</w:t>
      </w:r>
    </w:p>
    <w:p>
      <w:pPr>
        <w:pStyle w:val="BodyText"/>
        <w:spacing w:line="480" w:lineRule="auto" w:before="286"/>
        <w:ind w:right="738"/>
        <w:jc w:val="both"/>
      </w:pPr>
      <w:r>
        <w:rPr/>
        <w:t>innovationand that these conditions dependon the degree ofeconomic openness (see Grossman &amp; Helpman, 1991). This explanation has often been anincentive for the implementationof trade liberalization policies indeveloping economies (Zahonogo, 2016).</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62592">
                <wp:simplePos x="0" y="0"/>
                <wp:positionH relativeFrom="page">
                  <wp:posOffset>950112</wp:posOffset>
                </wp:positionH>
                <wp:positionV relativeFrom="paragraph">
                  <wp:posOffset>1321053</wp:posOffset>
                </wp:positionV>
                <wp:extent cx="5505450" cy="5661025"/>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53888" id="docshape121"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In</w:t>
      </w:r>
      <w:r>
        <w:rPr>
          <w:spacing w:val="-3"/>
        </w:rPr>
        <w:t> </w:t>
      </w:r>
      <w:r>
        <w:rPr/>
        <w:t>the</w:t>
      </w:r>
      <w:r>
        <w:rPr>
          <w:spacing w:val="-3"/>
        </w:rPr>
        <w:t> </w:t>
      </w:r>
      <w:r>
        <w:rPr/>
        <w:t>late1980s</w:t>
      </w:r>
      <w:r>
        <w:rPr>
          <w:spacing w:val="-2"/>
        </w:rPr>
        <w:t> </w:t>
      </w:r>
      <w:r>
        <w:rPr/>
        <w:t>and</w:t>
      </w:r>
      <w:r>
        <w:rPr>
          <w:spacing w:val="-3"/>
        </w:rPr>
        <w:t> </w:t>
      </w:r>
      <w:r>
        <w:rPr/>
        <w:t>early</w:t>
      </w:r>
      <w:r>
        <w:rPr>
          <w:spacing w:val="-3"/>
        </w:rPr>
        <w:t> </w:t>
      </w:r>
      <w:r>
        <w:rPr/>
        <w:t>1990s,</w:t>
      </w:r>
      <w:r>
        <w:rPr>
          <w:spacing w:val="-3"/>
        </w:rPr>
        <w:t> </w:t>
      </w:r>
      <w:r>
        <w:rPr/>
        <w:t>a</w:t>
      </w:r>
      <w:r>
        <w:rPr>
          <w:spacing w:val="-3"/>
        </w:rPr>
        <w:t> </w:t>
      </w:r>
      <w:r>
        <w:rPr/>
        <w:t>newwave</w:t>
      </w:r>
      <w:r>
        <w:rPr>
          <w:spacing w:val="-3"/>
        </w:rPr>
        <w:t> </w:t>
      </w:r>
      <w:r>
        <w:rPr/>
        <w:t>of trade</w:t>
      </w:r>
      <w:r>
        <w:rPr>
          <w:spacing w:val="-3"/>
        </w:rPr>
        <w:t> </w:t>
      </w:r>
      <w:r>
        <w:rPr/>
        <w:t>theoryemerged,</w:t>
      </w:r>
      <w:r>
        <w:rPr>
          <w:spacing w:val="-3"/>
        </w:rPr>
        <w:t> </w:t>
      </w:r>
      <w:r>
        <w:rPr/>
        <w:t>focusing</w:t>
      </w:r>
      <w:r>
        <w:rPr>
          <w:spacing w:val="-3"/>
        </w:rPr>
        <w:t> </w:t>
      </w:r>
      <w:r>
        <w:rPr/>
        <w:t>on</w:t>
      </w:r>
      <w:r>
        <w:rPr>
          <w:spacing w:val="-3"/>
        </w:rPr>
        <w:t> </w:t>
      </w:r>
      <w:r>
        <w:rPr/>
        <w:t>thestudy</w:t>
      </w:r>
      <w:r>
        <w:rPr>
          <w:spacing w:val="-3"/>
        </w:rPr>
        <w:t> </w:t>
      </w:r>
      <w:r>
        <w:rPr/>
        <w:t>of the dynamic linkagesbetween international tradeand economic growth. Rather than looking</w:t>
      </w:r>
      <w:r>
        <w:rPr>
          <w:spacing w:val="80"/>
        </w:rPr>
        <w:t> </w:t>
      </w:r>
      <w:r>
        <w:rPr/>
        <w:t>at the gainsfrom trade at acertain point in time - the static view - economiststhen wanted to understand themechanisms through whichtrade affects growthand how thesemechanisms evolve overtime - the dynamicview. A key channel throughwhich trade can lead to economic expansion is productivitygrowth. As a country opensup to trade and invests inresearch and development (R&amp;D), its comparative advantage can evolve overtime towards theproduction of products with largerprofit margins due to thehigher level ofdifferentiation generated.</w:t>
      </w:r>
      <w:r>
        <w:rPr>
          <w:spacing w:val="40"/>
        </w:rPr>
        <w:t> </w:t>
      </w:r>
      <w:r>
        <w:rPr/>
        <w:t>Using anendogenous growth model, Grossman andHelpman (1989) study the evolutionof comparative advantage through theallocation of resources toR&amp;D and find that thehuman- capital rich country is a netexporter of differentiated productsand a net importerof labor intensive traditional productsat every moment intime. In addition, they establish thatif product development is human-capital intensive relativeto the production ofcurrent differentiated products, thevolume of trade as a fractionof world GNP orworld expenditure grows over time. Building uponthis model, Romer (1990) finds that aneconomy with a larger total stock ofhuman capital, the main resourcefor R&amp;D, will experience fastergrowth. Thus trade liberalization can act tospeed up growth inunderdeveloped countries withlow levels of human capital throughaccess to a larger poolof</w:t>
      </w:r>
      <w:r>
        <w:rPr>
          <w:spacing w:val="-3"/>
        </w:rPr>
        <w:t> </w:t>
      </w:r>
      <w:r>
        <w:rPr/>
        <w:t>global human capital. Grossmanand Helpman (1991) advance this notionby showing that the lowering oftrade barriers would generate spillovers to thelocal economy through contacts withforeign businessmen and marketswhile also raising incentives forlocal R&amp;D. Coe and Helpman (1995) andKeller (1998) further develop</w:t>
      </w:r>
      <w:r>
        <w:rPr>
          <w:spacing w:val="55"/>
        </w:rPr>
        <w:t> </w:t>
      </w:r>
      <w:r>
        <w:rPr/>
        <w:t>the</w:t>
      </w:r>
      <w:r>
        <w:rPr>
          <w:spacing w:val="55"/>
        </w:rPr>
        <w:t> </w:t>
      </w:r>
      <w:r>
        <w:rPr/>
        <w:t>productivitygrowth</w:t>
      </w:r>
      <w:r>
        <w:rPr>
          <w:spacing w:val="56"/>
        </w:rPr>
        <w:t> </w:t>
      </w:r>
      <w:r>
        <w:rPr/>
        <w:t>effect</w:t>
      </w:r>
      <w:r>
        <w:rPr>
          <w:spacing w:val="56"/>
        </w:rPr>
        <w:t> </w:t>
      </w:r>
      <w:r>
        <w:rPr/>
        <w:t>oftrade</w:t>
      </w:r>
      <w:r>
        <w:rPr>
          <w:spacing w:val="55"/>
        </w:rPr>
        <w:t> </w:t>
      </w:r>
      <w:r>
        <w:rPr/>
        <w:t>openness</w:t>
      </w:r>
      <w:r>
        <w:rPr>
          <w:spacing w:val="56"/>
        </w:rPr>
        <w:t> </w:t>
      </w:r>
      <w:r>
        <w:rPr/>
        <w:t>through</w:t>
      </w:r>
      <w:r>
        <w:rPr>
          <w:spacing w:val="56"/>
        </w:rPr>
        <w:t> </w:t>
      </w:r>
      <w:r>
        <w:rPr/>
        <w:t>the</w:t>
      </w:r>
      <w:r>
        <w:rPr>
          <w:spacing w:val="55"/>
        </w:rPr>
        <w:t> </w:t>
      </w:r>
      <w:r>
        <w:rPr/>
        <w:t>“international</w:t>
      </w:r>
      <w:r>
        <w:rPr>
          <w:spacing w:val="56"/>
        </w:rPr>
        <w:t> </w:t>
      </w:r>
      <w:r>
        <w:rPr>
          <w:spacing w:val="-5"/>
        </w:rPr>
        <w:t>R&amp;D</w:t>
      </w:r>
    </w:p>
    <w:p>
      <w:pPr>
        <w:spacing w:after="0" w:line="480" w:lineRule="auto"/>
        <w:jc w:val="both"/>
        <w:sectPr>
          <w:pgSz w:w="12240" w:h="15840"/>
          <w:pgMar w:header="0" w:footer="1012" w:top="1380" w:bottom="1200" w:left="1220" w:right="700"/>
        </w:sectPr>
      </w:pPr>
    </w:p>
    <w:p>
      <w:pPr>
        <w:pStyle w:val="BodyText"/>
        <w:spacing w:line="480" w:lineRule="auto" w:before="60"/>
        <w:ind w:right="743"/>
        <w:jc w:val="both"/>
      </w:pPr>
      <w:r>
        <w:rPr/>
        <w:t>spillovers” phenomenon, which states that acountry benefits from R&amp;D doneelsewhere through the importingof intermediate and capitalgoods from other parts of theworld.</w:t>
      </w:r>
    </w:p>
    <w:p>
      <w:pPr>
        <w:pStyle w:val="BodyText"/>
        <w:spacing w:line="480" w:lineRule="auto" w:before="160"/>
        <w:ind w:right="734"/>
        <w:jc w:val="both"/>
      </w:pPr>
      <w:r>
        <w:rPr/>
        <mc:AlternateContent>
          <mc:Choice Requires="wps">
            <w:drawing>
              <wp:anchor distT="0" distB="0" distL="0" distR="0" allowOverlap="1" layoutInCell="1" locked="0" behindDoc="1" simplePos="0" relativeHeight="478063104">
                <wp:simplePos x="0" y="0"/>
                <wp:positionH relativeFrom="page">
                  <wp:posOffset>950112</wp:posOffset>
                </wp:positionH>
                <wp:positionV relativeFrom="paragraph">
                  <wp:posOffset>552765</wp:posOffset>
                </wp:positionV>
                <wp:extent cx="5505450" cy="566102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53376" id="docshape122"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In addition toproductivity growth, other sourcesof gains from internationaltrade that have been examined includegains from an increasedvariety inconsumption (Romer (1994) and Feenstra (1994)). Merlitz (2003) posits that byopening up to trade, market shareswould be reallocated to the mostproductive firms, as lessproductive ones are forcedto exit. Similarly, Tybout (2001) looks atplant efficiencyand shows that increased competitionfrom international trade causes themarket for efficientplants to expandand intra-plant efficiency to improve. Acemoglu et al. (2002) find that opennessto trade leads to the adoptionof institutions that protectproperty rights, which is crucialto the creation of asustainable economy with fastergrowth. Krugman andVenables (1995), through economicgeography, suggest that marketaccess could raise agglomeration benefitsand thus induce higherincome </w:t>
      </w:r>
      <w:r>
        <w:rPr>
          <w:spacing w:val="-2"/>
        </w:rPr>
        <w:t>levels.</w:t>
      </w:r>
    </w:p>
    <w:p>
      <w:pPr>
        <w:pStyle w:val="BodyText"/>
        <w:spacing w:line="480" w:lineRule="auto" w:before="161"/>
        <w:ind w:right="734"/>
        <w:jc w:val="both"/>
      </w:pPr>
      <w:r>
        <w:rPr/>
        <w:t>Despite the extensive literature on themechanisms through which countries wouldgain from international trade, whether acountry should adopt a freetrade regime is still ahotly debated topic. The most notablecounter argument is that ofinfant industry protection. For anewly created industry tosurvive, the government needs toprotect it from foreign competitionuntil its productionprocess becomes more efficientand cost-effective. In other words, through strategicindustrial policy, one could turn alatent comparative advantageinto an effective one (Harrison andRodriguez-Claire, 2009). However, to judge the meritsof such apolicy, one has to consider both thecosts incurred andpotential benefits reaped from thatprotected industry. For</w:t>
      </w:r>
      <w:r>
        <w:rPr>
          <w:spacing w:val="65"/>
        </w:rPr>
        <w:t> </w:t>
      </w:r>
      <w:r>
        <w:rPr/>
        <w:t>example,</w:t>
      </w:r>
      <w:r>
        <w:rPr>
          <w:spacing w:val="64"/>
        </w:rPr>
        <w:t> </w:t>
      </w:r>
      <w:r>
        <w:rPr/>
        <w:t>the</w:t>
      </w:r>
      <w:r>
        <w:rPr>
          <w:spacing w:val="66"/>
        </w:rPr>
        <w:t> </w:t>
      </w:r>
      <w:r>
        <w:rPr/>
        <w:t>Mill</w:t>
      </w:r>
      <w:r>
        <w:rPr>
          <w:spacing w:val="62"/>
        </w:rPr>
        <w:t> </w:t>
      </w:r>
      <w:r>
        <w:rPr/>
        <w:t>test</w:t>
      </w:r>
      <w:r>
        <w:rPr>
          <w:spacing w:val="63"/>
        </w:rPr>
        <w:t> </w:t>
      </w:r>
      <w:r>
        <w:rPr/>
        <w:t>requires</w:t>
      </w:r>
      <w:r>
        <w:rPr>
          <w:spacing w:val="66"/>
        </w:rPr>
        <w:t> </w:t>
      </w:r>
      <w:r>
        <w:rPr/>
        <w:t>that</w:t>
      </w:r>
      <w:r>
        <w:rPr>
          <w:spacing w:val="64"/>
        </w:rPr>
        <w:t> </w:t>
      </w:r>
      <w:r>
        <w:rPr/>
        <w:t>theprotected</w:t>
      </w:r>
      <w:r>
        <w:rPr>
          <w:spacing w:val="65"/>
        </w:rPr>
        <w:t> </w:t>
      </w:r>
      <w:r>
        <w:rPr/>
        <w:t>sector</w:t>
      </w:r>
      <w:r>
        <w:rPr>
          <w:spacing w:val="64"/>
        </w:rPr>
        <w:t> </w:t>
      </w:r>
      <w:r>
        <w:rPr/>
        <w:t>needs</w:t>
      </w:r>
      <w:r>
        <w:rPr>
          <w:spacing w:val="65"/>
        </w:rPr>
        <w:t> </w:t>
      </w:r>
      <w:r>
        <w:rPr/>
        <w:t>toeventually</w:t>
      </w:r>
      <w:r>
        <w:rPr>
          <w:spacing w:val="65"/>
        </w:rPr>
        <w:t> </w:t>
      </w:r>
      <w:r>
        <w:rPr>
          <w:spacing w:val="-2"/>
        </w:rPr>
        <w:t>survive</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63616">
                <wp:simplePos x="0" y="0"/>
                <wp:positionH relativeFrom="page">
                  <wp:posOffset>950112</wp:posOffset>
                </wp:positionH>
                <wp:positionV relativeFrom="paragraph">
                  <wp:posOffset>1321053</wp:posOffset>
                </wp:positionV>
                <wp:extent cx="5505450" cy="566102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52864" id="docshape123"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international competitionwhile the Bastable testtakes this notionfurther in demandingthat discounted future benefitsfrom the protected industry have toexceed the present costsof protection. Bardhan (1971), Redding (1999) and Merlitz (2005) outlineother conditions</w:t>
      </w:r>
      <w:r>
        <w:rPr>
          <w:spacing w:val="40"/>
        </w:rPr>
        <w:t> </w:t>
      </w:r>
      <w:r>
        <w:rPr/>
        <w:t>under whichbenefits from protection justifylosses in consumerwelfare.</w:t>
      </w:r>
    </w:p>
    <w:p>
      <w:pPr>
        <w:pStyle w:val="BodyText"/>
        <w:spacing w:line="480" w:lineRule="auto" w:before="160"/>
        <w:ind w:right="733"/>
        <w:jc w:val="both"/>
      </w:pPr>
      <w:r>
        <w:rPr/>
        <w:t>The relationship betweentrade openness and economicgrowth is also a widelyinvestigated in appliedeconomics. The theoretical frameworkthat formally relates opennessto trade to economic growth is providedby Grossman and Helpman (1991). In this framework, trade openness is seen ashaving apositive effect oneconomic growth byfacilitating technology spillovers, which, in turn, would increase internationalcompetitiveness, productivity, and export revenues. Othertheoretical explanations suggest thattrade openness might have anegative effect on economic growth, especially in the caseof low income countries. Furthermore,</w:t>
      </w:r>
      <w:r>
        <w:rPr>
          <w:spacing w:val="-2"/>
        </w:rPr>
        <w:t> </w:t>
      </w:r>
      <w:r>
        <w:rPr/>
        <w:t>this alternativeview</w:t>
      </w:r>
      <w:r>
        <w:rPr>
          <w:spacing w:val="-2"/>
        </w:rPr>
        <w:t> </w:t>
      </w:r>
      <w:r>
        <w:rPr/>
        <w:t>is based</w:t>
      </w:r>
      <w:r>
        <w:rPr>
          <w:spacing w:val="-2"/>
        </w:rPr>
        <w:t> </w:t>
      </w:r>
      <w:r>
        <w:rPr/>
        <w:t>on the</w:t>
      </w:r>
      <w:r>
        <w:rPr>
          <w:spacing w:val="-2"/>
        </w:rPr>
        <w:t> </w:t>
      </w:r>
      <w:r>
        <w:rPr/>
        <w:t>ideathat</w:t>
      </w:r>
      <w:r>
        <w:rPr>
          <w:spacing w:val="-1"/>
        </w:rPr>
        <w:t> </w:t>
      </w:r>
      <w:r>
        <w:rPr/>
        <w:t>the</w:t>
      </w:r>
      <w:r>
        <w:rPr>
          <w:spacing w:val="-2"/>
        </w:rPr>
        <w:t> </w:t>
      </w:r>
      <w:r>
        <w:rPr/>
        <w:t>structural</w:t>
      </w:r>
      <w:r>
        <w:rPr>
          <w:spacing w:val="-1"/>
        </w:rPr>
        <w:t> </w:t>
      </w:r>
      <w:r>
        <w:rPr/>
        <w:t>characteristicsof</w:t>
      </w:r>
      <w:r>
        <w:rPr>
          <w:spacing w:val="-1"/>
        </w:rPr>
        <w:t> </w:t>
      </w:r>
      <w:r>
        <w:rPr/>
        <w:t>low- income developing countries tend toreverse the terms of trade attheir disadvantage. Theoretically, therefore, causality betweenopenness to trade and economicgrowth can run on bothdirections (Vlastou 2010). Empirical evidence shows that therelationship betweentrade openness economic growthremains to be inconclusiveresult; the literature is fullof mixed findings. Studies such asBahmani-Oskooee and Niroomand (1999) or Edwards (1992) found a positive impact of tradeopenness oneconomic growth, while others foundinsignificant impact of trade opennesson economic growth (Harrison &amp; Hanson, 1999). In addition, Vlastou (2010) in a recentstudy concentrating on therelationship between tradeopenness and economic</w:t>
      </w:r>
      <w:r>
        <w:rPr>
          <w:spacing w:val="71"/>
        </w:rPr>
        <w:t> </w:t>
      </w:r>
      <w:r>
        <w:rPr/>
        <w:t>growth</w:t>
      </w:r>
      <w:r>
        <w:rPr>
          <w:spacing w:val="72"/>
        </w:rPr>
        <w:t> </w:t>
      </w:r>
      <w:r>
        <w:rPr/>
        <w:t>in</w:t>
      </w:r>
      <w:r>
        <w:rPr>
          <w:spacing w:val="71"/>
        </w:rPr>
        <w:t> </w:t>
      </w:r>
      <w:r>
        <w:rPr/>
        <w:t>34African</w:t>
      </w:r>
      <w:r>
        <w:rPr>
          <w:spacing w:val="71"/>
        </w:rPr>
        <w:t> </w:t>
      </w:r>
      <w:r>
        <w:rPr/>
        <w:t>countries</w:t>
      </w:r>
      <w:r>
        <w:rPr>
          <w:spacing w:val="73"/>
        </w:rPr>
        <w:t> </w:t>
      </w:r>
      <w:r>
        <w:rPr/>
        <w:t>over</w:t>
      </w:r>
      <w:r>
        <w:rPr>
          <w:spacing w:val="71"/>
        </w:rPr>
        <w:t> </w:t>
      </w:r>
      <w:r>
        <w:rPr/>
        <w:t>theperiod</w:t>
      </w:r>
      <w:r>
        <w:rPr>
          <w:spacing w:val="73"/>
        </w:rPr>
        <w:t> </w:t>
      </w:r>
      <w:r>
        <w:rPr/>
        <w:t>1960</w:t>
      </w:r>
      <w:r>
        <w:rPr>
          <w:spacing w:val="71"/>
        </w:rPr>
        <w:t> </w:t>
      </w:r>
      <w:r>
        <w:rPr/>
        <w:t>and</w:t>
      </w:r>
      <w:r>
        <w:rPr>
          <w:spacing w:val="72"/>
        </w:rPr>
        <w:t> </w:t>
      </w:r>
      <w:r>
        <w:rPr/>
        <w:t>2003,</w:t>
      </w:r>
      <w:r>
        <w:rPr>
          <w:spacing w:val="72"/>
        </w:rPr>
        <w:t> </w:t>
      </w:r>
      <w:r>
        <w:rPr/>
        <w:t>hefound</w:t>
      </w:r>
      <w:r>
        <w:rPr>
          <w:spacing w:val="71"/>
        </w:rPr>
        <w:t> </w:t>
      </w:r>
      <w:r>
        <w:rPr>
          <w:spacing w:val="-4"/>
        </w:rPr>
        <w:t>that</w:t>
      </w:r>
    </w:p>
    <w:p>
      <w:pPr>
        <w:spacing w:after="0" w:line="480" w:lineRule="auto"/>
        <w:jc w:val="both"/>
        <w:sectPr>
          <w:pgSz w:w="12240" w:h="15840"/>
          <w:pgMar w:header="0" w:footer="1012" w:top="1380" w:bottom="1200" w:left="1220" w:right="700"/>
        </w:sectPr>
      </w:pPr>
    </w:p>
    <w:p>
      <w:pPr>
        <w:pStyle w:val="BodyText"/>
        <w:spacing w:line="480" w:lineRule="auto" w:before="60"/>
        <w:ind w:right="804"/>
      </w:pPr>
      <w:r>
        <w:rPr/>
        <w:t>openness to trade has anegative impact oneconomic growth. He also found that thecausality runs from opennessto economic growth, and not in theopposite direction.</w:t>
      </w:r>
    </w:p>
    <w:p>
      <w:pPr>
        <w:pStyle w:val="BodyText"/>
        <w:spacing w:before="160"/>
        <w:ind w:left="0"/>
      </w:pPr>
    </w:p>
    <w:p>
      <w:pPr>
        <w:pStyle w:val="Heading2"/>
        <w:numPr>
          <w:ilvl w:val="2"/>
          <w:numId w:val="21"/>
        </w:numPr>
        <w:tabs>
          <w:tab w:pos="780" w:val="left" w:leader="none"/>
        </w:tabs>
        <w:spacing w:line="240" w:lineRule="auto" w:before="1" w:after="0"/>
        <w:ind w:left="780" w:right="0" w:hanging="560"/>
        <w:jc w:val="left"/>
      </w:pPr>
      <w:r>
        <w:rPr/>
        <mc:AlternateContent>
          <mc:Choice Requires="wps">
            <w:drawing>
              <wp:anchor distT="0" distB="0" distL="0" distR="0" allowOverlap="1" layoutInCell="1" locked="0" behindDoc="1" simplePos="0" relativeHeight="478064128">
                <wp:simplePos x="0" y="0"/>
                <wp:positionH relativeFrom="page">
                  <wp:posOffset>950112</wp:posOffset>
                </wp:positionH>
                <wp:positionV relativeFrom="paragraph">
                  <wp:posOffset>268618</wp:posOffset>
                </wp:positionV>
                <wp:extent cx="5505450" cy="5661025"/>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21.151073pt;width:433.5pt;height:445.75pt;mso-position-horizontal-relative:page;mso-position-vertical-relative:paragraph;z-index:-25252352" id="docshape124" coordorigin="1496,423" coordsize="8670,8915" path="m2562,9143l1691,8272,1496,8467,2367,9338,2562,9143xm3154,8467l3153,8427,3148,8384,3139,8341,3125,8297,3106,8253,3083,8210,3055,8168,3025,8126,2991,8086,2954,8047,2435,7528,2241,7722,2772,8254,2805,8290,2829,8325,2846,8360,2856,8394,2858,8427,2851,8457,2837,8486,2816,8512,2790,8534,2761,8548,2730,8554,2697,8551,2663,8542,2628,8525,2593,8501,2557,8469,2026,7937,1831,8131,2351,8651,2385,8683,2424,8715,2468,8748,2516,8780,2548,8799,2583,8815,2620,8828,2658,8839,2697,8847,2733,8850,2767,8851,2800,8847,2831,8840,2863,8829,2895,8812,2926,8792,2957,8769,2985,8746,3011,8723,3035,8700,3071,8660,3102,8619,3125,8577,3142,8535,3150,8503,3154,8467xm3882,7683l3876,7619,3860,7554,3834,7487,3806,7433,3771,7377,3728,7319,3678,7260,3661,7241,3621,7200,3597,7177,3597,7671,3592,7712,3577,7748,3551,7781,3518,7807,3481,7822,3441,7826,3396,7820,3347,7802,3294,7770,3235,7725,3171,7666,3112,7602,3066,7543,3035,7489,3016,7440,3010,7395,3014,7355,3029,7319,3053,7287,3086,7262,3122,7246,3163,7241,3207,7246,3255,7264,3307,7294,3363,7336,3423,7391,3488,7461,3538,7523,3572,7579,3591,7628,3597,7671,3597,7177,3551,7135,3482,7080,3413,7034,3344,6999,3276,6973,3209,6957,3130,6952,3055,6962,2983,6987,2914,7028,2850,7083,2796,7147,2756,7214,2732,7286,2723,7362,2729,7441,2746,7510,2772,7579,2808,7648,2854,7718,2910,7789,2976,7860,3036,7917,3096,7966,3156,8008,3215,8043,3273,8070,3344,8095,3411,8108,3475,8112,3535,8106,3593,8089,3649,8062,3705,8024,3758,7976,3805,7923,3841,7866,3858,7826,3866,7808,3879,7746,3882,7683xm4153,7104l3966,6917,3712,7171,3899,7358,4153,7104xm4664,7041l3793,6170,3598,6365,4469,7236,4664,7041xm4998,6707l4675,6384,4781,6277,4832,6217,4837,6207,4866,6156,4883,6092,4882,6028,4866,5962,4843,5911,4836,5896,4792,5830,4733,5764,4670,5707,4607,5664,4598,5660,4598,6053,4597,6079,4587,6105,4570,6132,4546,6160,4498,6207,4304,6013,4359,5957,4386,5934,4412,5919,4438,5911,4462,5912,4486,5918,4509,5929,4531,5943,4552,5961,4570,5983,4584,6005,4593,6029,4598,6053,4598,5660,4544,5635,4483,5619,4423,5618,4365,5632,4309,5663,4255,5708,3931,6031,4803,6902,4998,6707xm5788,5917l5132,5261,5330,5063,5115,4848,4524,5439,4739,5654,4937,5456,5593,6112,5788,5917xm6423,5282l5767,4626,5966,4427,5751,4212,5159,4804,5374,5019,5573,4820,6229,5476,6423,5282xm7157,4409l7151,4344,7135,4279,7109,4212,7081,4158,7046,4102,7003,4044,6953,3985,6935,3966,6896,3925,6872,3903,6872,4396,6867,4437,6851,4473,6825,4507,6793,4532,6756,4547,6716,4551,6671,4545,6622,4527,6569,4495,6510,4450,6446,4391,6387,4327,6341,4268,6309,4214,6291,4165,6285,4120,6289,4080,6304,4044,6328,4013,6361,3987,6397,3972,6438,3966,6482,3972,6530,3989,6582,4019,6638,4061,6698,4116,6763,4186,6813,4248,6847,4304,6866,4353,6872,4396,6872,3903,6826,3860,6756,3805,6687,3760,6619,3724,6551,3699,6483,3683,6405,3677,6329,3687,6258,3712,6189,3753,6125,3808,6071,3872,6031,3940,6007,4011,5998,4087,6004,4167,6021,4235,6047,4304,6083,4373,6129,4443,6184,4514,6250,4585,6311,4642,6371,4691,6431,4734,6490,4768,6548,4796,6619,4820,6686,4834,6750,4837,6810,4831,6868,4815,6924,4787,6979,4750,7033,4702,7080,4648,7116,4592,7133,4551,7141,4533,7154,4472,7157,4409xm8170,3413l8165,3364,8153,3314,8134,3261,8109,3207,8079,3151,8041,3094,7980,3118,7799,3193,7831,3239,7855,3282,7873,3323,7884,3360,7887,3395,7881,3428,7866,3459,7843,3488,7812,3512,7778,3526,7740,3530,7700,3524,7653,3505,7600,3471,7538,3422,7469,3357,7417,3301,7375,3249,7344,3202,7324,3159,7311,3107,7312,3061,7325,3020,7352,2984,7367,2971,7384,2960,7402,2952,7422,2948,7442,2946,7464,2946,7486,2949,7509,2955,7524,2961,7542,2969,7563,2980,7586,2995,7705,2770,7622,2724,7543,2692,7469,2673,7400,2666,7333,2674,7269,2697,7206,2735,7146,2787,7092,2850,7054,2916,7030,2986,7021,3060,7027,3138,7044,3205,7070,3273,7106,3342,7153,3412,7209,3482,7276,3554,7341,3615,7404,3667,7467,3710,7529,3746,7590,3773,7662,3797,7730,3810,7791,3813,7847,3806,7900,3789,7952,3762,8004,3725,8056,3679,8094,3636,8125,3593,8147,3550,8161,3505,8169,3460,8170,3413xm8868,2698l8861,2634,8846,2568,8820,2501,8792,2447,8757,2391,8714,2333,8664,2274,8646,2256,8607,2214,8583,2192,8583,2686,8578,2726,8562,2763,8536,2796,8504,2821,8467,2836,8427,2841,8382,2834,8333,2816,8279,2785,8221,2739,8157,2680,8098,2616,8052,2557,8020,2503,8002,2454,7996,2410,8000,2369,8014,2333,8039,2302,8071,2276,8108,2261,8149,2256,8193,2261,8241,2278,8293,2308,8349,2350,8409,2405,8474,2475,8524,2538,8558,2593,8577,2642,8583,2686,8583,2192,8537,2149,8467,2094,8398,2049,8330,2013,8262,1988,8194,1972,8116,1966,8040,1976,7968,2002,7900,2042,7835,2098,7781,2161,7742,2229,7718,2300,7709,2376,7715,2456,7731,2524,7758,2593,7794,2663,7839,2733,7895,2803,7961,2874,8022,2931,8082,2981,8142,3023,8201,3057,8259,3085,8329,3109,8397,3123,8461,3126,8521,3120,8579,3104,8635,3077,8690,3039,8744,2991,8791,2937,8827,2881,8844,2841,8852,2822,8865,2761,8868,2698xm9348,2357l9025,2033,9132,1927,9182,1867,9188,1857,9216,1805,9233,1742,9233,1677,9217,1612,9194,1561,9187,1546,9142,1480,9084,1414,9020,1357,8957,1314,8948,1310,8948,1703,8947,1728,8938,1755,8921,1782,8896,1809,8849,1857,8654,1663,8710,1607,8737,1584,8763,1568,8788,1561,8812,1561,8836,1568,8859,1578,8881,1593,8902,1611,8920,1633,8934,1655,8943,1679,8948,1703,8948,1310,8895,1284,8833,1268,8773,1267,8715,1282,8659,1312,8605,1357,8282,1681,9153,2552,9348,2357xm10166,1539l9801,1174,9748,1024,9593,573,9540,423,9325,638,9353,708,9436,919,9492,1060,9422,1031,9211,948,9071,892,8854,1108,9005,1161,9456,1317,9606,1369,9971,1734,10166,1539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064640">
                <wp:simplePos x="0" y="0"/>
                <wp:positionH relativeFrom="page">
                  <wp:posOffset>896416</wp:posOffset>
                </wp:positionH>
                <wp:positionV relativeFrom="paragraph">
                  <wp:posOffset>903</wp:posOffset>
                </wp:positionV>
                <wp:extent cx="5981065" cy="36449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5981065" cy="364490"/>
                        </a:xfrm>
                        <a:custGeom>
                          <a:avLst/>
                          <a:gdLst/>
                          <a:ahLst/>
                          <a:cxnLst/>
                          <a:rect l="l" t="t" r="r" b="b"/>
                          <a:pathLst>
                            <a:path w="5981065" h="364490">
                              <a:moveTo>
                                <a:pt x="5981065" y="0"/>
                              </a:moveTo>
                              <a:lnTo>
                                <a:pt x="0" y="0"/>
                              </a:lnTo>
                              <a:lnTo>
                                <a:pt x="0" y="364235"/>
                              </a:lnTo>
                              <a:lnTo>
                                <a:pt x="5981065" y="364235"/>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071104pt;width:470.95pt;height:28.68pt;mso-position-horizontal-relative:page;mso-position-vertical-relative:paragraph;z-index:-25251840" id="docshape125" filled="true" fillcolor="#ffffff" stroked="false">
                <v:fill type="solid"/>
                <w10:wrap type="none"/>
              </v:rect>
            </w:pict>
          </mc:Fallback>
        </mc:AlternateContent>
      </w:r>
      <w:bookmarkStart w:name="_TOC_250041" w:id="34"/>
      <w:r>
        <w:rPr/>
        <w:t>Foreign</w:t>
      </w:r>
      <w:r>
        <w:rPr>
          <w:spacing w:val="-10"/>
        </w:rPr>
        <w:t> </w:t>
      </w:r>
      <w:r>
        <w:rPr/>
        <w:t>Remittances</w:t>
      </w:r>
      <w:r>
        <w:rPr>
          <w:spacing w:val="-9"/>
        </w:rPr>
        <w:t> </w:t>
      </w:r>
      <w:r>
        <w:rPr/>
        <w:t>and</w:t>
      </w:r>
      <w:r>
        <w:rPr>
          <w:spacing w:val="-9"/>
        </w:rPr>
        <w:t> </w:t>
      </w:r>
      <w:r>
        <w:rPr/>
        <w:t>Economic</w:t>
      </w:r>
      <w:r>
        <w:rPr>
          <w:spacing w:val="-11"/>
        </w:rPr>
        <w:t> </w:t>
      </w:r>
      <w:bookmarkEnd w:id="34"/>
      <w:r>
        <w:rPr>
          <w:spacing w:val="-2"/>
        </w:rPr>
        <w:t>Growth</w:t>
      </w:r>
    </w:p>
    <w:p>
      <w:pPr>
        <w:pStyle w:val="BodyText"/>
        <w:spacing w:before="118"/>
        <w:ind w:left="0"/>
        <w:rPr>
          <w:b/>
        </w:rPr>
      </w:pPr>
    </w:p>
    <w:p>
      <w:pPr>
        <w:pStyle w:val="BodyText"/>
        <w:spacing w:line="480" w:lineRule="auto"/>
        <w:ind w:right="735"/>
        <w:jc w:val="both"/>
      </w:pPr>
      <w:r>
        <w:rPr/>
        <w:t>Foreign remittances constituteone of the largest sourcesof foreign capital inflowsto the developing economiesas they account forabout 27 percent of thegross domestic product (GDP) (Meyer &amp; Shera, 2017; Sibindi, 2014). The dramatic increase in thevolume of remittances to thedeveloping nations can beattributed to theimproved immigration between the developed countriesand the developing countriesand the technological advancement that has enhanced theinternational transfer of payment between individuals ata low cost (Meyer</w:t>
      </w:r>
      <w:r>
        <w:rPr>
          <w:spacing w:val="40"/>
        </w:rPr>
        <w:t> </w:t>
      </w:r>
      <w:r>
        <w:rPr/>
        <w:t>&amp; Shera, 2017). According to theWorld Bank, remittances are personal transfersor compensation ofworkers. Anton (2010) and Yang (2008) noted thatremittances constitute an important sourceof savings and capital forinvestment inhealth, education, and entrepreneurship therebyenhancing productivity andemployment, which culminate into economic growth. Remittances can also help inenhancing the growthof the financial sector</w:t>
      </w:r>
      <w:r>
        <w:rPr>
          <w:spacing w:val="40"/>
        </w:rPr>
        <w:t> </w:t>
      </w:r>
      <w:r>
        <w:rPr/>
        <w:t>on the notion thatsome of the</w:t>
      </w:r>
      <w:r>
        <w:rPr>
          <w:spacing w:val="-1"/>
        </w:rPr>
        <w:t> </w:t>
      </w:r>
      <w:r>
        <w:rPr/>
        <w:t>remittances are convertedand</w:t>
      </w:r>
      <w:r>
        <w:rPr>
          <w:spacing w:val="-1"/>
        </w:rPr>
        <w:t> </w:t>
      </w:r>
      <w:r>
        <w:rPr/>
        <w:t>deposited with banksthus making the</w:t>
      </w:r>
      <w:r>
        <w:rPr>
          <w:spacing w:val="-3"/>
        </w:rPr>
        <w:t> </w:t>
      </w:r>
      <w:r>
        <w:rPr/>
        <w:t>funds</w:t>
      </w:r>
      <w:r>
        <w:rPr>
          <w:spacing w:val="-1"/>
        </w:rPr>
        <w:t> </w:t>
      </w:r>
      <w:r>
        <w:rPr/>
        <w:t>available</w:t>
      </w:r>
      <w:r>
        <w:rPr>
          <w:spacing w:val="-3"/>
        </w:rPr>
        <w:t> </w:t>
      </w:r>
      <w:r>
        <w:rPr/>
        <w:t>forlending</w:t>
      </w:r>
      <w:r>
        <w:rPr>
          <w:spacing w:val="-2"/>
        </w:rPr>
        <w:t> </w:t>
      </w:r>
      <w:r>
        <w:rPr/>
        <w:t>to</w:t>
      </w:r>
      <w:r>
        <w:rPr>
          <w:spacing w:val="-2"/>
        </w:rPr>
        <w:t> </w:t>
      </w:r>
      <w:r>
        <w:rPr/>
        <w:t>theprivate</w:t>
      </w:r>
      <w:r>
        <w:rPr>
          <w:spacing w:val="-3"/>
        </w:rPr>
        <w:t> </w:t>
      </w:r>
      <w:r>
        <w:rPr/>
        <w:t>sector</w:t>
      </w:r>
      <w:r>
        <w:rPr>
          <w:spacing w:val="-2"/>
        </w:rPr>
        <w:t> </w:t>
      </w:r>
      <w:r>
        <w:rPr/>
        <w:t>andthis,</w:t>
      </w:r>
      <w:r>
        <w:rPr>
          <w:spacing w:val="-2"/>
        </w:rPr>
        <w:t> </w:t>
      </w:r>
      <w:r>
        <w:rPr/>
        <w:t>in</w:t>
      </w:r>
      <w:r>
        <w:rPr>
          <w:spacing w:val="-4"/>
        </w:rPr>
        <w:t> </w:t>
      </w:r>
      <w:r>
        <w:rPr/>
        <w:t>turn,</w:t>
      </w:r>
      <w:r>
        <w:rPr>
          <w:spacing w:val="-2"/>
        </w:rPr>
        <w:t> </w:t>
      </w:r>
      <w:r>
        <w:rPr/>
        <w:t>facilitate</w:t>
      </w:r>
      <w:r>
        <w:rPr>
          <w:spacing w:val="-3"/>
        </w:rPr>
        <w:t> </w:t>
      </w:r>
      <w:r>
        <w:rPr/>
        <w:t>economic</w:t>
      </w:r>
      <w:r>
        <w:rPr>
          <w:spacing w:val="-2"/>
        </w:rPr>
        <w:t> </w:t>
      </w:r>
      <w:r>
        <w:rPr/>
        <w:t>growth (Misati &amp; Nyamon- go, 2011). Remittances provide support for thewelfare of the relatives left behind thuscontributing to theeradication of poverty in therecipient country (Gupta, Pattillo &amp; Wagh, 2009).</w:t>
      </w:r>
    </w:p>
    <w:p>
      <w:pPr>
        <w:pStyle w:val="BodyText"/>
        <w:spacing w:line="480" w:lineRule="auto" w:before="122"/>
        <w:ind w:right="738"/>
        <w:jc w:val="both"/>
      </w:pPr>
      <w:r>
        <w:rPr/>
        <w:t>Despite the enormous benefitsof remittances on theperformance of developingcountries, the impact</w:t>
      </w:r>
      <w:r>
        <w:rPr>
          <w:spacing w:val="44"/>
        </w:rPr>
        <w:t> </w:t>
      </w:r>
      <w:r>
        <w:rPr/>
        <w:t>of</w:t>
      </w:r>
      <w:r>
        <w:rPr>
          <w:spacing w:val="46"/>
        </w:rPr>
        <w:t> </w:t>
      </w:r>
      <w:r>
        <w:rPr/>
        <w:t>remittanceson</w:t>
      </w:r>
      <w:r>
        <w:rPr>
          <w:spacing w:val="46"/>
        </w:rPr>
        <w:t> </w:t>
      </w:r>
      <w:r>
        <w:rPr/>
        <w:t>economic</w:t>
      </w:r>
      <w:r>
        <w:rPr>
          <w:spacing w:val="46"/>
        </w:rPr>
        <w:t> </w:t>
      </w:r>
      <w:r>
        <w:rPr/>
        <w:t>growth</w:t>
      </w:r>
      <w:r>
        <w:rPr>
          <w:spacing w:val="46"/>
        </w:rPr>
        <w:t> </w:t>
      </w:r>
      <w:r>
        <w:rPr/>
        <w:t>is</w:t>
      </w:r>
      <w:r>
        <w:rPr>
          <w:spacing w:val="47"/>
        </w:rPr>
        <w:t> </w:t>
      </w:r>
      <w:r>
        <w:rPr/>
        <w:t>stillambiguous</w:t>
      </w:r>
      <w:r>
        <w:rPr>
          <w:spacing w:val="47"/>
        </w:rPr>
        <w:t> </w:t>
      </w:r>
      <w:r>
        <w:rPr/>
        <w:t>(Kumar</w:t>
      </w:r>
      <w:r>
        <w:rPr>
          <w:spacing w:val="46"/>
        </w:rPr>
        <w:t> </w:t>
      </w:r>
      <w:r>
        <w:rPr/>
        <w:t>et</w:t>
      </w:r>
      <w:r>
        <w:rPr>
          <w:spacing w:val="44"/>
        </w:rPr>
        <w:t> </w:t>
      </w:r>
      <w:r>
        <w:rPr/>
        <w:t>al.,</w:t>
      </w:r>
      <w:r>
        <w:rPr>
          <w:spacing w:val="45"/>
        </w:rPr>
        <w:t> </w:t>
      </w:r>
      <w:r>
        <w:rPr/>
        <w:t>2018).</w:t>
      </w:r>
      <w:r>
        <w:rPr>
          <w:spacing w:val="46"/>
        </w:rPr>
        <w:t> </w:t>
      </w:r>
      <w:r>
        <w:rPr>
          <w:spacing w:val="-4"/>
        </w:rPr>
        <w:t>Some</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65152">
                <wp:simplePos x="0" y="0"/>
                <wp:positionH relativeFrom="page">
                  <wp:posOffset>950112</wp:posOffset>
                </wp:positionH>
                <wp:positionV relativeFrom="paragraph">
                  <wp:posOffset>1321053</wp:posOffset>
                </wp:positionV>
                <wp:extent cx="5505450" cy="5661025"/>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51328" id="docshape126"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literature noted thatremittances exert apositive influence oneconomic growth (Kumar et al., 2018; Meyer &amp; Shera, 2017; Pradhan, Upadhyay and Upadhyaya, 2008), other strands of literature emphasizedon a negative or zerorelationship between remittancesand growth (Feeny, Iamsiraroj &amp; McGillivray, 2014;Lim &amp; Simmons, 2015). The inconclusivedebate on the relationship betweenremittances and economic growthnotwithstanding, the literature is more concernedwhether the financial developmentplays a critical role in theremittances led growthrelationship (Abida &amp; Sghaier, 2014; Chowdhury, 2016; Raheem, 2015; Sibindi, 2014). It is argued that awell-developed andfunctioning financial sector is fundamentalfor economic growth because it helps toproduce essential informationfor investments, enhance efficient allocationand utilization ofsavings, monitor investments, improve tradingand diversification, andmanage risk (Levine, 2005). Adenutsi (2011), DurusuCiftci, Ispirand Yetkiner (2017), Valickova, Havranekand Horvath (2015), therefore, stressed thatthe financial sector provides anavenue whereby funds, such asremittances, can bemobilized into productive investmentthat will culminate into economic growth.</w:t>
      </w:r>
    </w:p>
    <w:p>
      <w:pPr>
        <w:pStyle w:val="BodyText"/>
        <w:spacing w:before="162"/>
        <w:ind w:left="0"/>
      </w:pPr>
    </w:p>
    <w:p>
      <w:pPr>
        <w:pStyle w:val="Heading2"/>
        <w:numPr>
          <w:ilvl w:val="2"/>
          <w:numId w:val="21"/>
        </w:numPr>
        <w:tabs>
          <w:tab w:pos="780" w:val="left" w:leader="none"/>
        </w:tabs>
        <w:spacing w:line="240" w:lineRule="auto" w:before="0" w:after="0"/>
        <w:ind w:left="780" w:right="0" w:hanging="560"/>
        <w:jc w:val="left"/>
      </w:pPr>
      <w:bookmarkStart w:name="_TOC_250040" w:id="35"/>
      <w:r>
        <w:rPr/>
        <w:t>Financial</w:t>
      </w:r>
      <w:r>
        <w:rPr>
          <w:spacing w:val="-10"/>
        </w:rPr>
        <w:t> </w:t>
      </w:r>
      <w:r>
        <w:rPr/>
        <w:t>Deepening</w:t>
      </w:r>
      <w:r>
        <w:rPr>
          <w:spacing w:val="-10"/>
        </w:rPr>
        <w:t> </w:t>
      </w:r>
      <w:r>
        <w:rPr/>
        <w:t>and</w:t>
      </w:r>
      <w:r>
        <w:rPr>
          <w:spacing w:val="-10"/>
        </w:rPr>
        <w:t> </w:t>
      </w:r>
      <w:r>
        <w:rPr/>
        <w:t>Economic</w:t>
      </w:r>
      <w:r>
        <w:rPr>
          <w:spacing w:val="-9"/>
        </w:rPr>
        <w:t> </w:t>
      </w:r>
      <w:bookmarkEnd w:id="35"/>
      <w:r>
        <w:rPr>
          <w:spacing w:val="-2"/>
        </w:rPr>
        <w:t>Growth</w:t>
      </w:r>
    </w:p>
    <w:p>
      <w:pPr>
        <w:pStyle w:val="BodyText"/>
        <w:spacing w:before="159"/>
        <w:ind w:left="0"/>
        <w:rPr>
          <w:b/>
        </w:rPr>
      </w:pPr>
    </w:p>
    <w:p>
      <w:pPr>
        <w:pStyle w:val="BodyText"/>
        <w:spacing w:line="480" w:lineRule="auto" w:before="1"/>
        <w:ind w:left="239" w:right="755"/>
        <w:jc w:val="both"/>
      </w:pPr>
      <w:r>
        <w:rPr/>
        <w:t>Finance and development theory positsthat there is a symbiotic relationshipbetween the evolution of thefinancial system and the developmentof the real economy. This theory predicts that financialdeepening depends on realincome and real interestrate. In fact the relationship between financialdeepening and economic development is basedon the complementarily betweenmoney and capital. Here, it is assumed thatinvestment cannot be realized</w:t>
      </w:r>
      <w:r>
        <w:rPr>
          <w:spacing w:val="52"/>
        </w:rPr>
        <w:t> </w:t>
      </w:r>
      <w:r>
        <w:rPr/>
        <w:t>without</w:t>
      </w:r>
      <w:r>
        <w:rPr>
          <w:spacing w:val="53"/>
        </w:rPr>
        <w:t> </w:t>
      </w:r>
      <w:r>
        <w:rPr/>
        <w:t>theaccumulation</w:t>
      </w:r>
      <w:r>
        <w:rPr>
          <w:spacing w:val="53"/>
        </w:rPr>
        <w:t> </w:t>
      </w:r>
      <w:r>
        <w:rPr/>
        <w:t>of</w:t>
      </w:r>
      <w:r>
        <w:rPr>
          <w:spacing w:val="53"/>
        </w:rPr>
        <w:t> </w:t>
      </w:r>
      <w:r>
        <w:rPr/>
        <w:t>a</w:t>
      </w:r>
      <w:r>
        <w:rPr>
          <w:spacing w:val="52"/>
        </w:rPr>
        <w:t> </w:t>
      </w:r>
      <w:r>
        <w:rPr/>
        <w:t>significantamount</w:t>
      </w:r>
      <w:r>
        <w:rPr>
          <w:spacing w:val="53"/>
        </w:rPr>
        <w:t> </w:t>
      </w:r>
      <w:r>
        <w:rPr/>
        <w:t>of</w:t>
      </w:r>
      <w:r>
        <w:rPr>
          <w:spacing w:val="53"/>
        </w:rPr>
        <w:t> </w:t>
      </w:r>
      <w:r>
        <w:rPr/>
        <w:t>savings</w:t>
      </w:r>
      <w:r>
        <w:rPr>
          <w:spacing w:val="53"/>
        </w:rPr>
        <w:t> </w:t>
      </w:r>
      <w:r>
        <w:rPr/>
        <w:t>in</w:t>
      </w:r>
      <w:r>
        <w:rPr>
          <w:spacing w:val="53"/>
        </w:rPr>
        <w:t> </w:t>
      </w:r>
      <w:r>
        <w:rPr/>
        <w:t>the</w:t>
      </w:r>
      <w:r>
        <w:rPr>
          <w:spacing w:val="54"/>
        </w:rPr>
        <w:t> </w:t>
      </w:r>
      <w:r>
        <w:rPr/>
        <w:t>formof</w:t>
      </w:r>
      <w:r>
        <w:rPr>
          <w:spacing w:val="53"/>
        </w:rPr>
        <w:t> </w:t>
      </w:r>
      <w:r>
        <w:rPr>
          <w:spacing w:val="-4"/>
        </w:rPr>
        <w:t>bank</w:t>
      </w:r>
    </w:p>
    <w:p>
      <w:pPr>
        <w:spacing w:after="0" w:line="480" w:lineRule="auto"/>
        <w:jc w:val="both"/>
        <w:sectPr>
          <w:pgSz w:w="12240" w:h="15840"/>
          <w:pgMar w:header="0" w:footer="1012" w:top="1380" w:bottom="1200" w:left="1220" w:right="700"/>
        </w:sectPr>
      </w:pPr>
    </w:p>
    <w:p>
      <w:pPr>
        <w:pStyle w:val="BodyText"/>
        <w:spacing w:line="480" w:lineRule="auto" w:before="60"/>
        <w:ind w:left="239" w:right="755"/>
        <w:jc w:val="both"/>
      </w:pPr>
      <w:r>
        <w:rPr/>
        <mc:AlternateContent>
          <mc:Choice Requires="wps">
            <w:drawing>
              <wp:anchor distT="0" distB="0" distL="0" distR="0" allowOverlap="1" layoutInCell="1" locked="0" behindDoc="1" simplePos="0" relativeHeight="478065664">
                <wp:simplePos x="0" y="0"/>
                <wp:positionH relativeFrom="page">
                  <wp:posOffset>950112</wp:posOffset>
                </wp:positionH>
                <wp:positionV relativeFrom="paragraph">
                  <wp:posOffset>1321053</wp:posOffset>
                </wp:positionV>
                <wp:extent cx="5505450" cy="5661025"/>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50816" id="docshape127"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deposits. Financial intermediaries witness anexpansion in their activities andpromote investment when savingsgrow more than the levelof real economic activity. In these models, a positive real interest rateincreases financial deepeningthrough the mobilizationof an increased volumeof savings and promotes growth througha higher productivity ofcapital (Pradhan 2010).</w:t>
      </w:r>
    </w:p>
    <w:p>
      <w:pPr>
        <w:pStyle w:val="BodyText"/>
        <w:spacing w:line="480" w:lineRule="auto" w:before="161"/>
        <w:ind w:left="239" w:right="756"/>
        <w:jc w:val="both"/>
      </w:pPr>
      <w:r>
        <w:rPr/>
        <w:t>There is reasonable evidence that anydistortion and limitation on thebanking sector, such as interest ratecontrols, reserve andliquidity requirements, and government rationingof</w:t>
      </w:r>
      <w:r>
        <w:rPr>
          <w:spacing w:val="40"/>
        </w:rPr>
        <w:t> </w:t>
      </w:r>
      <w:r>
        <w:rPr/>
        <w:t>available credit toso-called priority sectors, inhibitfinancial development mainlyby depressing the realinterest rate. That is, introductionof regulation is likely going toinhibit financial developmentin many respects. For instance, thedeficiency in the amountof savings that is occasioned byrepressive measures thwartseconomic development throughthe perverse effectson the volume and the qualityof investment. It then follows thatfinancial repression has a detrimentaleffect on financial developmentand economic growth (Pradhan 2010).</w:t>
      </w:r>
    </w:p>
    <w:p>
      <w:pPr>
        <w:pStyle w:val="BodyText"/>
        <w:spacing w:line="480" w:lineRule="auto" w:before="160"/>
        <w:ind w:right="734"/>
        <w:jc w:val="both"/>
      </w:pPr>
      <w:r>
        <w:rPr/>
        <w:t>But</w:t>
      </w:r>
      <w:r>
        <w:rPr>
          <w:spacing w:val="-4"/>
        </w:rPr>
        <w:t> </w:t>
      </w:r>
      <w:r>
        <w:rPr/>
        <w:t>financial</w:t>
      </w:r>
      <w:r>
        <w:rPr>
          <w:spacing w:val="-4"/>
        </w:rPr>
        <w:t> </w:t>
      </w:r>
      <w:r>
        <w:rPr/>
        <w:t>deepening</w:t>
      </w:r>
      <w:r>
        <w:rPr>
          <w:spacing w:val="-1"/>
        </w:rPr>
        <w:t> </w:t>
      </w:r>
      <w:r>
        <w:rPr/>
        <w:t>is</w:t>
      </w:r>
      <w:r>
        <w:rPr>
          <w:spacing w:val="-2"/>
        </w:rPr>
        <w:t> </w:t>
      </w:r>
      <w:r>
        <w:rPr/>
        <w:t>influenced</w:t>
      </w:r>
      <w:r>
        <w:rPr>
          <w:spacing w:val="-4"/>
        </w:rPr>
        <w:t> </w:t>
      </w:r>
      <w:r>
        <w:rPr/>
        <w:t>inmany</w:t>
      </w:r>
      <w:r>
        <w:rPr>
          <w:spacing w:val="-4"/>
        </w:rPr>
        <w:t> </w:t>
      </w:r>
      <w:r>
        <w:rPr/>
        <w:t>ways</w:t>
      </w:r>
      <w:r>
        <w:rPr>
          <w:spacing w:val="-3"/>
        </w:rPr>
        <w:t> </w:t>
      </w:r>
      <w:r>
        <w:rPr/>
        <w:t>by</w:t>
      </w:r>
      <w:r>
        <w:rPr>
          <w:spacing w:val="-4"/>
        </w:rPr>
        <w:t> </w:t>
      </w:r>
      <w:r>
        <w:rPr/>
        <w:t>theactivities</w:t>
      </w:r>
      <w:r>
        <w:rPr>
          <w:spacing w:val="-3"/>
        </w:rPr>
        <w:t> </w:t>
      </w:r>
      <w:r>
        <w:rPr/>
        <w:t>of</w:t>
      </w:r>
      <w:r>
        <w:rPr>
          <w:spacing w:val="-3"/>
        </w:rPr>
        <w:t> </w:t>
      </w:r>
      <w:r>
        <w:rPr/>
        <w:t>financialinstitutions.</w:t>
      </w:r>
      <w:r>
        <w:rPr>
          <w:spacing w:val="-4"/>
        </w:rPr>
        <w:t> </w:t>
      </w:r>
      <w:r>
        <w:rPr/>
        <w:t>In analyzing the effectsof financial institutionson financial deepening, oneof the basic assumptions is thatthese institutions operate underconditions of perfectcompetition allowing them toturn deposits intoloans at zerocost. If this is accepted, the bahaviourof banks is ignored and theemphasis is on the influencethat restrictions on interest ratehave onsavings and</w:t>
      </w:r>
      <w:r>
        <w:rPr>
          <w:spacing w:val="-3"/>
        </w:rPr>
        <w:t> </w:t>
      </w:r>
      <w:r>
        <w:rPr/>
        <w:t>investment.</w:t>
      </w:r>
      <w:r>
        <w:rPr>
          <w:spacing w:val="-2"/>
        </w:rPr>
        <w:t> </w:t>
      </w:r>
      <w:r>
        <w:rPr/>
        <w:t>Anothershade</w:t>
      </w:r>
      <w:r>
        <w:rPr>
          <w:spacing w:val="-3"/>
        </w:rPr>
        <w:t> </w:t>
      </w:r>
      <w:r>
        <w:rPr/>
        <w:t>of</w:t>
      </w:r>
      <w:r>
        <w:rPr>
          <w:spacing w:val="-2"/>
        </w:rPr>
        <w:t> </w:t>
      </w:r>
      <w:r>
        <w:rPr/>
        <w:t>argument</w:t>
      </w:r>
      <w:r>
        <w:rPr>
          <w:spacing w:val="-2"/>
        </w:rPr>
        <w:t> </w:t>
      </w:r>
      <w:r>
        <w:rPr/>
        <w:t>is</w:t>
      </w:r>
      <w:r>
        <w:rPr>
          <w:spacing w:val="-1"/>
        </w:rPr>
        <w:t> </w:t>
      </w:r>
      <w:r>
        <w:rPr/>
        <w:t>thatmodels</w:t>
      </w:r>
      <w:r>
        <w:rPr>
          <w:spacing w:val="-1"/>
        </w:rPr>
        <w:t> </w:t>
      </w:r>
      <w:r>
        <w:rPr/>
        <w:t>of</w:t>
      </w:r>
      <w:r>
        <w:rPr>
          <w:spacing w:val="-1"/>
        </w:rPr>
        <w:t> </w:t>
      </w:r>
      <w:r>
        <w:rPr/>
        <w:t>perfectly</w:t>
      </w:r>
      <w:r>
        <w:rPr>
          <w:spacing w:val="-2"/>
        </w:rPr>
        <w:t> </w:t>
      </w:r>
      <w:r>
        <w:rPr/>
        <w:t>competitivebanking</w:t>
      </w:r>
      <w:r>
        <w:rPr>
          <w:spacing w:val="-3"/>
        </w:rPr>
        <w:t> </w:t>
      </w:r>
      <w:r>
        <w:rPr/>
        <w:t>are implausible and theoretically inadequatefor assessing the effectsof financial policies inless- developed counties likeNigeria. This is due to tworeasons, firstly, the bankingindustry in many</w:t>
      </w:r>
      <w:r>
        <w:rPr>
          <w:spacing w:val="66"/>
        </w:rPr>
        <w:t> </w:t>
      </w:r>
      <w:r>
        <w:rPr/>
        <w:t>developingcountries</w:t>
      </w:r>
      <w:r>
        <w:rPr>
          <w:spacing w:val="67"/>
        </w:rPr>
        <w:t> </w:t>
      </w:r>
      <w:r>
        <w:rPr/>
        <w:t>is</w:t>
      </w:r>
      <w:r>
        <w:rPr>
          <w:spacing w:val="69"/>
        </w:rPr>
        <w:t> </w:t>
      </w:r>
      <w:r>
        <w:rPr/>
        <w:t>dominated</w:t>
      </w:r>
      <w:r>
        <w:rPr>
          <w:spacing w:val="67"/>
        </w:rPr>
        <w:t> </w:t>
      </w:r>
      <w:r>
        <w:rPr/>
        <w:t>by</w:t>
      </w:r>
      <w:r>
        <w:rPr>
          <w:spacing w:val="66"/>
        </w:rPr>
        <w:t> </w:t>
      </w:r>
      <w:r>
        <w:rPr/>
        <w:t>asmall</w:t>
      </w:r>
      <w:r>
        <w:rPr>
          <w:spacing w:val="66"/>
        </w:rPr>
        <w:t> </w:t>
      </w:r>
      <w:r>
        <w:rPr/>
        <w:t>number</w:t>
      </w:r>
      <w:r>
        <w:rPr>
          <w:spacing w:val="68"/>
        </w:rPr>
        <w:t> </w:t>
      </w:r>
      <w:r>
        <w:rPr/>
        <w:t>of</w:t>
      </w:r>
      <w:r>
        <w:rPr>
          <w:spacing w:val="67"/>
        </w:rPr>
        <w:t> </w:t>
      </w:r>
      <w:r>
        <w:rPr/>
        <w:t>banks,</w:t>
      </w:r>
      <w:r>
        <w:rPr>
          <w:spacing w:val="66"/>
        </w:rPr>
        <w:t> </w:t>
      </w:r>
      <w:r>
        <w:rPr>
          <w:spacing w:val="-2"/>
        </w:rPr>
        <w:t>thereforecollusive</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66176">
                <wp:simplePos x="0" y="0"/>
                <wp:positionH relativeFrom="page">
                  <wp:posOffset>950112</wp:posOffset>
                </wp:positionH>
                <wp:positionV relativeFrom="paragraph">
                  <wp:posOffset>1321053</wp:posOffset>
                </wp:positionV>
                <wp:extent cx="5505450" cy="5661025"/>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50304" id="docshape128"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behavior is notuncommon; secondly, asymmetric informationin the loan market is an importantsource of imperfectly competitive behaviorin the banking system. This will certainly</w:t>
      </w:r>
      <w:r>
        <w:rPr>
          <w:spacing w:val="-1"/>
        </w:rPr>
        <w:t> </w:t>
      </w:r>
      <w:r>
        <w:rPr/>
        <w:t>givelenders a degree</w:t>
      </w:r>
      <w:r>
        <w:rPr>
          <w:spacing w:val="-2"/>
        </w:rPr>
        <w:t> </w:t>
      </w:r>
      <w:r>
        <w:rPr/>
        <w:t>ofmarket power over</w:t>
      </w:r>
      <w:r>
        <w:rPr>
          <w:spacing w:val="-1"/>
        </w:rPr>
        <w:t> </w:t>
      </w:r>
      <w:r>
        <w:rPr/>
        <w:t>borrowerswhich</w:t>
      </w:r>
      <w:r>
        <w:rPr>
          <w:spacing w:val="-2"/>
        </w:rPr>
        <w:t> </w:t>
      </w:r>
      <w:r>
        <w:rPr/>
        <w:t>make</w:t>
      </w:r>
      <w:r>
        <w:rPr>
          <w:spacing w:val="-2"/>
        </w:rPr>
        <w:t> </w:t>
      </w:r>
      <w:r>
        <w:rPr/>
        <w:t>the former</w:t>
      </w:r>
      <w:r>
        <w:rPr>
          <w:spacing w:val="-1"/>
        </w:rPr>
        <w:t> </w:t>
      </w:r>
      <w:r>
        <w:rPr/>
        <w:t>behave asmonopolists (Adeusi, 2013).</w:t>
      </w:r>
    </w:p>
    <w:p>
      <w:pPr>
        <w:pStyle w:val="BodyText"/>
        <w:spacing w:line="480" w:lineRule="auto" w:before="160"/>
        <w:ind w:left="239" w:right="774"/>
        <w:jc w:val="both"/>
      </w:pPr>
      <w:r>
        <w:rPr/>
        <w:t>It is obvious that adeposit rate ceiling does not prevent thesupply of deposit. Such asituation can be achieved essentiallythrough a representative bankor a bank cartel. This may be realized whenactivities allow variations of themarketing efforts or anincrease in thenumber of bank branches. In fact, resorting tothese activities requires substantialfinancial resources, which is a seriousimpediment to small commercialbanks since they are notable to use the non-interest rate policiesas effectively as the major banks. Thus, themonopolistic structure</w:t>
      </w:r>
      <w:r>
        <w:rPr>
          <w:spacing w:val="40"/>
        </w:rPr>
        <w:t> </w:t>
      </w:r>
      <w:r>
        <w:rPr/>
        <w:t>of the banking industry inless-developed countries favoursthe big banks over thesmall ones in mobilizing funds insavings deposits in this kind ofenvironment (Adeusi,2013).</w:t>
      </w:r>
    </w:p>
    <w:p>
      <w:pPr>
        <w:pStyle w:val="BodyText"/>
        <w:spacing w:line="480" w:lineRule="auto" w:before="160"/>
        <w:ind w:left="239" w:right="775"/>
        <w:jc w:val="both"/>
      </w:pPr>
      <w:r>
        <w:rPr/>
        <w:t>The concept of financial liberalizationstates that banks and corporations are allowedto borrow abroadfreely. They may needto inform the regulatory authoritieslike the central banks and ministryof finance but permission is grantedalmost automatically. Reserve requirements mightbe in place but are lower than10 percent. In addition, there are nospecial exchange rates foreither the current accountor the capital accounttransactions; or are there any restrictions tocapital outflows. Similarly, afully liberalized domestic financialsystem is characterized by lackof controls on lendingand borrowing interest ratesand certainly, by the lack ofcredit controls, that is nosubsidies to certain sectorsor certain creditallocations. Also, deposits inforeign currencies are permitted. In afully liberalized stockmarket, foreign investors</w:t>
      </w:r>
      <w:r>
        <w:rPr>
          <w:spacing w:val="78"/>
        </w:rPr>
        <w:t> </w:t>
      </w:r>
      <w:r>
        <w:rPr/>
        <w:t>are</w:t>
      </w:r>
      <w:r>
        <w:rPr>
          <w:spacing w:val="78"/>
        </w:rPr>
        <w:t> </w:t>
      </w:r>
      <w:r>
        <w:rPr/>
        <w:t>allowedto</w:t>
      </w:r>
      <w:r>
        <w:rPr>
          <w:spacing w:val="78"/>
        </w:rPr>
        <w:t> </w:t>
      </w:r>
      <w:r>
        <w:rPr/>
        <w:t>hold</w:t>
      </w:r>
      <w:r>
        <w:rPr>
          <w:spacing w:val="77"/>
        </w:rPr>
        <w:t> </w:t>
      </w:r>
      <w:r>
        <w:rPr/>
        <w:t>domestic</w:t>
      </w:r>
      <w:r>
        <w:rPr>
          <w:spacing w:val="78"/>
        </w:rPr>
        <w:t> </w:t>
      </w:r>
      <w:r>
        <w:rPr/>
        <w:t>equitywithout</w:t>
      </w:r>
      <w:r>
        <w:rPr>
          <w:spacing w:val="79"/>
        </w:rPr>
        <w:t> </w:t>
      </w:r>
      <w:r>
        <w:rPr/>
        <w:t>restrictions</w:t>
      </w:r>
      <w:r>
        <w:rPr>
          <w:spacing w:val="78"/>
        </w:rPr>
        <w:t> </w:t>
      </w:r>
      <w:r>
        <w:rPr/>
        <w:t>capital,</w:t>
      </w:r>
      <w:r>
        <w:rPr>
          <w:spacing w:val="78"/>
        </w:rPr>
        <w:t> </w:t>
      </w:r>
      <w:r>
        <w:rPr>
          <w:spacing w:val="-2"/>
        </w:rPr>
        <w:t>dividendsand</w:t>
      </w:r>
    </w:p>
    <w:p>
      <w:pPr>
        <w:spacing w:after="0" w:line="480" w:lineRule="auto"/>
        <w:jc w:val="both"/>
        <w:sectPr>
          <w:pgSz w:w="12240" w:h="15840"/>
          <w:pgMar w:header="0" w:footer="1012" w:top="1380" w:bottom="1200" w:left="1220" w:right="700"/>
        </w:sectPr>
      </w:pPr>
    </w:p>
    <w:p>
      <w:pPr>
        <w:pStyle w:val="BodyText"/>
        <w:spacing w:line="480" w:lineRule="auto" w:before="60"/>
        <w:ind w:left="239" w:right="776"/>
        <w:jc w:val="both"/>
      </w:pPr>
      <w:r>
        <w:rPr/>
        <mc:AlternateContent>
          <mc:Choice Requires="wps">
            <w:drawing>
              <wp:anchor distT="0" distB="0" distL="0" distR="0" allowOverlap="1" layoutInCell="1" locked="0" behindDoc="1" simplePos="0" relativeHeight="478066688">
                <wp:simplePos x="0" y="0"/>
                <wp:positionH relativeFrom="page">
                  <wp:posOffset>950112</wp:posOffset>
                </wp:positionH>
                <wp:positionV relativeFrom="paragraph">
                  <wp:posOffset>1321053</wp:posOffset>
                </wp:positionV>
                <wp:extent cx="5505450" cy="5661025"/>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49792" id="docshape129"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interest</w:t>
      </w:r>
      <w:r>
        <w:rPr>
          <w:spacing w:val="-3"/>
        </w:rPr>
        <w:t> </w:t>
      </w:r>
      <w:r>
        <w:rPr/>
        <w:t>canbe</w:t>
      </w:r>
      <w:r>
        <w:rPr>
          <w:spacing w:val="-3"/>
        </w:rPr>
        <w:t> </w:t>
      </w:r>
      <w:r>
        <w:rPr/>
        <w:t>repatriated</w:t>
      </w:r>
      <w:r>
        <w:rPr>
          <w:spacing w:val="-3"/>
        </w:rPr>
        <w:t> </w:t>
      </w:r>
      <w:r>
        <w:rPr/>
        <w:t>freelywithin</w:t>
      </w:r>
      <w:r>
        <w:rPr>
          <w:spacing w:val="-3"/>
        </w:rPr>
        <w:t> </w:t>
      </w:r>
      <w:r>
        <w:rPr/>
        <w:t>two</w:t>
      </w:r>
      <w:r>
        <w:rPr>
          <w:spacing w:val="-1"/>
        </w:rPr>
        <w:t> </w:t>
      </w:r>
      <w:r>
        <w:rPr/>
        <w:t>yearsof</w:t>
      </w:r>
      <w:r>
        <w:rPr>
          <w:spacing w:val="-2"/>
        </w:rPr>
        <w:t> </w:t>
      </w:r>
      <w:r>
        <w:rPr/>
        <w:t>the</w:t>
      </w:r>
      <w:r>
        <w:rPr>
          <w:spacing w:val="-3"/>
        </w:rPr>
        <w:t> </w:t>
      </w:r>
      <w:r>
        <w:rPr/>
        <w:t>initial</w:t>
      </w:r>
      <w:r>
        <w:rPr>
          <w:spacing w:val="-3"/>
        </w:rPr>
        <w:t> </w:t>
      </w:r>
      <w:r>
        <w:rPr/>
        <w:t>investment. In</w:t>
      </w:r>
      <w:r>
        <w:rPr>
          <w:spacing w:val="-3"/>
        </w:rPr>
        <w:t> </w:t>
      </w:r>
      <w:r>
        <w:rPr/>
        <w:t>thisscenario,</w:t>
      </w:r>
      <w:r>
        <w:rPr>
          <w:spacing w:val="-3"/>
        </w:rPr>
        <w:t> </w:t>
      </w:r>
      <w:r>
        <w:rPr/>
        <w:t>it</w:t>
      </w:r>
      <w:r>
        <w:rPr>
          <w:spacing w:val="-3"/>
        </w:rPr>
        <w:t> </w:t>
      </w:r>
      <w:r>
        <w:rPr/>
        <w:t>is expected that thereshould be various formsof financial instruments inresponse to the needof the operators in thesystem. On the otherhand, financial repression means thatgovernments hold financial marketsby interfering inthem. It achieves this bydistribution of credits, with holding</w:t>
      </w:r>
      <w:r>
        <w:rPr>
          <w:spacing w:val="-1"/>
        </w:rPr>
        <w:t> </w:t>
      </w:r>
      <w:r>
        <w:rPr/>
        <w:t>interestrates</w:t>
      </w:r>
      <w:r>
        <w:rPr>
          <w:spacing w:val="-1"/>
        </w:rPr>
        <w:t> </w:t>
      </w:r>
      <w:r>
        <w:rPr/>
        <w:t>at</w:t>
      </w:r>
      <w:r>
        <w:rPr>
          <w:spacing w:val="-2"/>
        </w:rPr>
        <w:t> </w:t>
      </w:r>
      <w:r>
        <w:rPr/>
        <w:t>low</w:t>
      </w:r>
      <w:r>
        <w:rPr>
          <w:spacing w:val="-2"/>
        </w:rPr>
        <w:t> </w:t>
      </w:r>
      <w:r>
        <w:rPr/>
        <w:t>levelssynthetically. However,</w:t>
      </w:r>
      <w:r>
        <w:rPr>
          <w:spacing w:val="-1"/>
        </w:rPr>
        <w:t> </w:t>
      </w:r>
      <w:r>
        <w:rPr/>
        <w:t>financialrepression</w:t>
      </w:r>
      <w:r>
        <w:rPr>
          <w:spacing w:val="-1"/>
        </w:rPr>
        <w:t> </w:t>
      </w:r>
      <w:r>
        <w:rPr/>
        <w:t>depends on</w:t>
      </w:r>
      <w:r>
        <w:rPr>
          <w:spacing w:val="-1"/>
        </w:rPr>
        <w:t> </w:t>
      </w:r>
      <w:r>
        <w:rPr/>
        <w:t>the criticisms ofneoclassical and neo-keynesianviews about interest ratepolicies (Vuranok, </w:t>
      </w:r>
      <w:r>
        <w:rPr>
          <w:spacing w:val="-2"/>
        </w:rPr>
        <w:t>2009).</w:t>
      </w:r>
    </w:p>
    <w:p>
      <w:pPr>
        <w:pStyle w:val="BodyText"/>
        <w:spacing w:before="161"/>
        <w:ind w:left="0"/>
      </w:pPr>
    </w:p>
    <w:p>
      <w:pPr>
        <w:pStyle w:val="Heading2"/>
        <w:numPr>
          <w:ilvl w:val="1"/>
          <w:numId w:val="21"/>
        </w:numPr>
        <w:tabs>
          <w:tab w:pos="593" w:val="left" w:leader="none"/>
        </w:tabs>
        <w:spacing w:line="240" w:lineRule="auto" w:before="1" w:after="0"/>
        <w:ind w:left="593" w:right="0" w:hanging="373"/>
        <w:jc w:val="left"/>
      </w:pPr>
      <w:r>
        <w:rPr/>
        <mc:AlternateContent>
          <mc:Choice Requires="wps">
            <w:drawing>
              <wp:anchor distT="0" distB="0" distL="0" distR="0" allowOverlap="1" layoutInCell="1" locked="0" behindDoc="1" simplePos="0" relativeHeight="478067200">
                <wp:simplePos x="0" y="0"/>
                <wp:positionH relativeFrom="page">
                  <wp:posOffset>896416</wp:posOffset>
                </wp:positionH>
                <wp:positionV relativeFrom="paragraph">
                  <wp:posOffset>931</wp:posOffset>
                </wp:positionV>
                <wp:extent cx="5981065" cy="36449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5981065" cy="364490"/>
                        </a:xfrm>
                        <a:custGeom>
                          <a:avLst/>
                          <a:gdLst/>
                          <a:ahLst/>
                          <a:cxnLst/>
                          <a:rect l="l" t="t" r="r" b="b"/>
                          <a:pathLst>
                            <a:path w="5981065" h="364490">
                              <a:moveTo>
                                <a:pt x="5981065" y="0"/>
                              </a:moveTo>
                              <a:lnTo>
                                <a:pt x="0" y="0"/>
                              </a:lnTo>
                              <a:lnTo>
                                <a:pt x="0" y="364236"/>
                              </a:lnTo>
                              <a:lnTo>
                                <a:pt x="5981065" y="364236"/>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073311pt;width:470.95pt;height:28.68pt;mso-position-horizontal-relative:page;mso-position-vertical-relative:paragraph;z-index:-25249280" id="docshape130" filled="true" fillcolor="#ffffff" stroked="false">
                <v:fill type="solid"/>
                <w10:wrap type="none"/>
              </v:rect>
            </w:pict>
          </mc:Fallback>
        </mc:AlternateContent>
      </w:r>
      <w:bookmarkStart w:name="_TOC_250039" w:id="36"/>
      <w:r>
        <w:rPr/>
        <w:t>Empirical</w:t>
      </w:r>
      <w:r>
        <w:rPr>
          <w:spacing w:val="-13"/>
        </w:rPr>
        <w:t> </w:t>
      </w:r>
      <w:bookmarkEnd w:id="36"/>
      <w:r>
        <w:rPr>
          <w:spacing w:val="-2"/>
        </w:rPr>
        <w:t>Literature</w:t>
      </w:r>
    </w:p>
    <w:p>
      <w:pPr>
        <w:pStyle w:val="BodyText"/>
        <w:spacing w:before="159"/>
        <w:ind w:left="0"/>
        <w:rPr>
          <w:b/>
        </w:rPr>
      </w:pPr>
    </w:p>
    <w:p>
      <w:pPr>
        <w:pStyle w:val="BodyText"/>
        <w:spacing w:line="480" w:lineRule="auto"/>
        <w:ind w:right="747"/>
        <w:jc w:val="both"/>
      </w:pPr>
      <w:r>
        <w:rPr/>
        <w:t>The relationship between financial integration and economic growth has attracted lots of empirical investigation both within and outside Nigeria.</w:t>
      </w:r>
    </w:p>
    <w:p>
      <w:pPr>
        <w:pStyle w:val="Heading2"/>
        <w:numPr>
          <w:ilvl w:val="2"/>
          <w:numId w:val="21"/>
        </w:numPr>
        <w:tabs>
          <w:tab w:pos="780" w:val="left" w:leader="none"/>
        </w:tabs>
        <w:spacing w:line="240" w:lineRule="auto" w:before="161" w:after="0"/>
        <w:ind w:left="780" w:right="0" w:hanging="560"/>
        <w:jc w:val="left"/>
      </w:pPr>
      <w:bookmarkStart w:name="_TOC_250038" w:id="37"/>
      <w:r>
        <w:rPr/>
        <w:t>Studies</w:t>
      </w:r>
      <w:r>
        <w:rPr>
          <w:spacing w:val="-7"/>
        </w:rPr>
        <w:t> </w:t>
      </w:r>
      <w:r>
        <w:rPr/>
        <w:t>Outside</w:t>
      </w:r>
      <w:r>
        <w:rPr>
          <w:spacing w:val="-10"/>
        </w:rPr>
        <w:t> </w:t>
      </w:r>
      <w:bookmarkEnd w:id="37"/>
      <w:r>
        <w:rPr>
          <w:spacing w:val="-2"/>
        </w:rPr>
        <w:t>Africa</w:t>
      </w:r>
    </w:p>
    <w:p>
      <w:pPr>
        <w:pStyle w:val="BodyText"/>
        <w:spacing w:before="159"/>
        <w:ind w:left="0"/>
        <w:rPr>
          <w:b/>
        </w:rPr>
      </w:pPr>
    </w:p>
    <w:p>
      <w:pPr>
        <w:pStyle w:val="BodyText"/>
        <w:spacing w:line="480" w:lineRule="auto"/>
        <w:ind w:right="735"/>
        <w:jc w:val="both"/>
      </w:pPr>
      <w:r>
        <w:rPr/>
        <w:t>Biplab and Inder (2021) examined the effectof financial integration on growth, total factor productivity, andcapital accumulation using adynamic panel system-GMM for adataset consisting of 43 Asian economies from 1995 to 2015. The impact of de jurefinancial openness onoutput,</w:t>
      </w:r>
      <w:r>
        <w:rPr>
          <w:spacing w:val="-1"/>
        </w:rPr>
        <w:t> </w:t>
      </w:r>
      <w:r>
        <w:rPr/>
        <w:t>productivity,</w:t>
      </w:r>
      <w:r>
        <w:rPr>
          <w:spacing w:val="-1"/>
        </w:rPr>
        <w:t> </w:t>
      </w:r>
      <w:r>
        <w:rPr/>
        <w:t>and capital stockgrowth</w:t>
      </w:r>
      <w:r>
        <w:rPr>
          <w:spacing w:val="-1"/>
        </w:rPr>
        <w:t> </w:t>
      </w:r>
      <w:r>
        <w:rPr/>
        <w:t>is significant,</w:t>
      </w:r>
      <w:r>
        <w:rPr>
          <w:spacing w:val="-1"/>
        </w:rPr>
        <w:t> </w:t>
      </w:r>
      <w:r>
        <w:rPr/>
        <w:t>while</w:t>
      </w:r>
      <w:r>
        <w:rPr>
          <w:spacing w:val="-2"/>
        </w:rPr>
        <w:t> </w:t>
      </w:r>
      <w:r>
        <w:rPr/>
        <w:t>the effect</w:t>
      </w:r>
      <w:r>
        <w:rPr>
          <w:spacing w:val="-1"/>
        </w:rPr>
        <w:t> </w:t>
      </w:r>
      <w:r>
        <w:rPr/>
        <w:t>of</w:t>
      </w:r>
      <w:r>
        <w:rPr>
          <w:spacing w:val="-1"/>
        </w:rPr>
        <w:t> </w:t>
      </w:r>
      <w:r>
        <w:rPr/>
        <w:t>de factofinancial integration is fuzzy. The disaggregate assetclasses (namely, inflows offoreign direct investment anddebt) are found to facilitate higheroutput while derivative inflowsyield anundesirable effect. For developing countries, financial opennesssignificantly boosts productivity andcapital accumulation while for lessdeveloped countries it only enhances productivity. The negativeimpact of the currency crisison growth and capital accumulation is found</w:t>
      </w:r>
      <w:r>
        <w:rPr>
          <w:spacing w:val="27"/>
        </w:rPr>
        <w:t> </w:t>
      </w:r>
      <w:r>
        <w:rPr/>
        <w:t>to</w:t>
      </w:r>
      <w:r>
        <w:rPr>
          <w:spacing w:val="28"/>
        </w:rPr>
        <w:t> </w:t>
      </w:r>
      <w:r>
        <w:rPr/>
        <w:t>besignificant</w:t>
      </w:r>
      <w:r>
        <w:rPr>
          <w:spacing w:val="27"/>
        </w:rPr>
        <w:t> </w:t>
      </w:r>
      <w:r>
        <w:rPr/>
        <w:t>for</w:t>
      </w:r>
      <w:r>
        <w:rPr>
          <w:spacing w:val="28"/>
        </w:rPr>
        <w:t> </w:t>
      </w:r>
      <w:r>
        <w:rPr/>
        <w:t>more</w:t>
      </w:r>
      <w:r>
        <w:rPr>
          <w:spacing w:val="27"/>
        </w:rPr>
        <w:t> </w:t>
      </w:r>
      <w:r>
        <w:rPr/>
        <w:t>openeconomies.</w:t>
      </w:r>
      <w:r>
        <w:rPr>
          <w:spacing w:val="28"/>
        </w:rPr>
        <w:t> </w:t>
      </w:r>
      <w:r>
        <w:rPr/>
        <w:t>The</w:t>
      </w:r>
      <w:r>
        <w:rPr>
          <w:spacing w:val="26"/>
        </w:rPr>
        <w:t> </w:t>
      </w:r>
      <w:r>
        <w:rPr/>
        <w:t>currency</w:t>
      </w:r>
      <w:r>
        <w:rPr>
          <w:spacing w:val="28"/>
        </w:rPr>
        <w:t> </w:t>
      </w:r>
      <w:r>
        <w:rPr/>
        <w:t>crisis</w:t>
      </w:r>
      <w:r>
        <w:rPr>
          <w:spacing w:val="29"/>
        </w:rPr>
        <w:t> </w:t>
      </w:r>
      <w:r>
        <w:rPr/>
        <w:t>is</w:t>
      </w:r>
      <w:r>
        <w:rPr>
          <w:spacing w:val="29"/>
        </w:rPr>
        <w:t> </w:t>
      </w:r>
      <w:r>
        <w:rPr/>
        <w:t>moreprominent</w:t>
      </w:r>
      <w:r>
        <w:rPr>
          <w:spacing w:val="28"/>
        </w:rPr>
        <w:t> </w:t>
      </w:r>
      <w:r>
        <w:rPr>
          <w:spacing w:val="-5"/>
        </w:rPr>
        <w:t>for</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w:t>developed economiespartially effective for less developed countriesand partially ineffective for developing economiesin Asia.</w:t>
      </w:r>
    </w:p>
    <w:p>
      <w:pPr>
        <w:pStyle w:val="BodyText"/>
        <w:spacing w:line="480" w:lineRule="auto" w:before="160"/>
        <w:ind w:right="734"/>
        <w:jc w:val="both"/>
      </w:pPr>
      <w:r>
        <w:rPr/>
        <mc:AlternateContent>
          <mc:Choice Requires="wps">
            <w:drawing>
              <wp:anchor distT="0" distB="0" distL="0" distR="0" allowOverlap="1" layoutInCell="1" locked="0" behindDoc="1" simplePos="0" relativeHeight="478067712">
                <wp:simplePos x="0" y="0"/>
                <wp:positionH relativeFrom="page">
                  <wp:posOffset>950112</wp:posOffset>
                </wp:positionH>
                <wp:positionV relativeFrom="paragraph">
                  <wp:posOffset>552765</wp:posOffset>
                </wp:positionV>
                <wp:extent cx="5505450" cy="5661025"/>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48768" id="docshape131"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Duc, Anh and Chi (2020) investigated therelationship between financial integrationand economic growth inChina. Two distinct aspects offinancial integration, the defacto (proxied for economicactivities) and the dejure (proxied for theGovernment policies leading tointegration) were employed as theindependent variable. Auto-RegressiveDistributed Lags (ARDL) and Granger Causalitytest was employed in analyzingthe data. The studyfound a long-term co-integration betweenfinancial integration de facto andeconomic growth in</w:t>
      </w:r>
      <w:r>
        <w:rPr>
          <w:spacing w:val="40"/>
        </w:rPr>
        <w:t> </w:t>
      </w:r>
      <w:r>
        <w:rPr/>
        <w:t>China. The bidirectionalcausality between financial integration andeconomic growth in</w:t>
      </w:r>
      <w:r>
        <w:rPr>
          <w:spacing w:val="40"/>
        </w:rPr>
        <w:t> </w:t>
      </w:r>
      <w:r>
        <w:rPr/>
        <w:t>China is alsoconfirmed using theGranger causality test.</w:t>
      </w:r>
    </w:p>
    <w:p>
      <w:pPr>
        <w:pStyle w:val="BodyText"/>
        <w:spacing w:line="480" w:lineRule="auto" w:before="160"/>
        <w:ind w:right="737"/>
        <w:jc w:val="both"/>
      </w:pPr>
      <w:r>
        <w:rPr/>
        <w:t>Ehigiamusoe and Hooi (2018) carried out astudy on how economicand financial integration stimulate economicgrowth. It also investigates theliterature on the impactof financial integration</w:t>
      </w:r>
      <w:r>
        <w:rPr>
          <w:spacing w:val="-4"/>
        </w:rPr>
        <w:t> </w:t>
      </w:r>
      <w:r>
        <w:rPr/>
        <w:t>oneconomic growth.</w:t>
      </w:r>
      <w:r>
        <w:rPr>
          <w:spacing w:val="-4"/>
        </w:rPr>
        <w:t> </w:t>
      </w:r>
      <w:r>
        <w:rPr/>
        <w:t>Evidence</w:t>
      </w:r>
      <w:r>
        <w:rPr>
          <w:spacing w:val="-5"/>
        </w:rPr>
        <w:t> </w:t>
      </w:r>
      <w:r>
        <w:rPr/>
        <w:t>from</w:t>
      </w:r>
      <w:r>
        <w:rPr>
          <w:spacing w:val="-4"/>
        </w:rPr>
        <w:t> </w:t>
      </w:r>
      <w:r>
        <w:rPr/>
        <w:t>the</w:t>
      </w:r>
      <w:r>
        <w:rPr>
          <w:spacing w:val="-4"/>
        </w:rPr>
        <w:t> </w:t>
      </w:r>
      <w:r>
        <w:rPr/>
        <w:t>studyshows</w:t>
      </w:r>
      <w:r>
        <w:rPr>
          <w:spacing w:val="-3"/>
        </w:rPr>
        <w:t> </w:t>
      </w:r>
      <w:r>
        <w:rPr/>
        <w:t>that</w:t>
      </w:r>
      <w:r>
        <w:rPr>
          <w:spacing w:val="-4"/>
        </w:rPr>
        <w:t> </w:t>
      </w:r>
      <w:r>
        <w:rPr/>
        <w:t>though</w:t>
      </w:r>
      <w:r>
        <w:rPr>
          <w:spacing w:val="-4"/>
        </w:rPr>
        <w:t> </w:t>
      </w:r>
      <w:r>
        <w:rPr/>
        <w:t>other</w:t>
      </w:r>
      <w:r>
        <w:rPr>
          <w:spacing w:val="-4"/>
        </w:rPr>
        <w:t> </w:t>
      </w:r>
      <w:r>
        <w:rPr/>
        <w:t>views</w:t>
      </w:r>
      <w:r>
        <w:rPr>
          <w:spacing w:val="-1"/>
        </w:rPr>
        <w:t> </w:t>
      </w:r>
      <w:r>
        <w:rPr/>
        <w:t>exist, but there are overwhelmingsupports for growth-enhancing effects ofeconomic integration, albeit common currency adoption has insignificanteffect on growth. Thechannels through which economic integrationexerts its influence ongrowth include, capitalaccumulation, productivity growth, tradeand financial integration. However, the studyshows that the impact offinancial integration oneconomic growth is inconclusive. Based on the findings, thestudy draws some implicationsand policy options.</w:t>
      </w:r>
    </w:p>
    <w:p>
      <w:pPr>
        <w:pStyle w:val="BodyText"/>
        <w:spacing w:line="480" w:lineRule="auto" w:before="162"/>
        <w:ind w:right="734"/>
        <w:jc w:val="both"/>
      </w:pPr>
      <w:r>
        <w:rPr/>
        <w:t>Jim (2017) carried out an empiricalanalysis on financial integrationin the European Union. Three</w:t>
      </w:r>
      <w:r>
        <w:rPr>
          <w:spacing w:val="-1"/>
        </w:rPr>
        <w:t> </w:t>
      </w:r>
      <w:r>
        <w:rPr/>
        <w:t>pillars</w:t>
      </w:r>
      <w:r>
        <w:rPr>
          <w:spacing w:val="-1"/>
        </w:rPr>
        <w:t> </w:t>
      </w:r>
      <w:r>
        <w:rPr/>
        <w:t>are used tomeasure capital market integrationin the EU: the integrationof equity capital</w:t>
      </w:r>
      <w:r>
        <w:rPr>
          <w:spacing w:val="4"/>
        </w:rPr>
        <w:t> </w:t>
      </w:r>
      <w:r>
        <w:rPr/>
        <w:t>markets,</w:t>
      </w:r>
      <w:r>
        <w:rPr>
          <w:spacing w:val="5"/>
        </w:rPr>
        <w:t> </w:t>
      </w:r>
      <w:r>
        <w:rPr/>
        <w:t>debtcapital</w:t>
      </w:r>
      <w:r>
        <w:rPr>
          <w:spacing w:val="4"/>
        </w:rPr>
        <w:t> </w:t>
      </w:r>
      <w:r>
        <w:rPr/>
        <w:t>markets</w:t>
      </w:r>
      <w:r>
        <w:rPr>
          <w:spacing w:val="6"/>
        </w:rPr>
        <w:t> </w:t>
      </w:r>
      <w:r>
        <w:rPr/>
        <w:t>and</w:t>
      </w:r>
      <w:r>
        <w:rPr>
          <w:spacing w:val="4"/>
        </w:rPr>
        <w:t> </w:t>
      </w:r>
      <w:r>
        <w:rPr/>
        <w:t>corporateactivities,</w:t>
      </w:r>
      <w:r>
        <w:rPr>
          <w:spacing w:val="4"/>
        </w:rPr>
        <w:t> </w:t>
      </w:r>
      <w:r>
        <w:rPr/>
        <w:t>measured</w:t>
      </w:r>
      <w:r>
        <w:rPr>
          <w:spacing w:val="4"/>
        </w:rPr>
        <w:t> </w:t>
      </w:r>
      <w:r>
        <w:rPr/>
        <w:t>ascross-border</w:t>
      </w:r>
      <w:r>
        <w:rPr>
          <w:spacing w:val="5"/>
        </w:rPr>
        <w:t> </w:t>
      </w:r>
      <w:r>
        <w:rPr>
          <w:spacing w:val="-4"/>
        </w:rPr>
        <w:t>M&amp;A,</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68224">
                <wp:simplePos x="0" y="0"/>
                <wp:positionH relativeFrom="page">
                  <wp:posOffset>950112</wp:posOffset>
                </wp:positionH>
                <wp:positionV relativeFrom="paragraph">
                  <wp:posOffset>1321053</wp:posOffset>
                </wp:positionV>
                <wp:extent cx="5505450" cy="5661025"/>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48256" id="docshape132"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all relying on the Lawof One Price. Ordinary Least Squares regressions was employedin analysingthe data. Although no strong evidence is found forconvergence of capital markets integration, the studydemonstrated that the economic benefitsof financial integration differ amongstdifferent capital markets integrationand that countries experiencea different level of benefits based on itsfinancial development, EMUmembership, size orgeography.</w:t>
      </w:r>
    </w:p>
    <w:p>
      <w:pPr>
        <w:pStyle w:val="BodyText"/>
        <w:spacing w:line="480" w:lineRule="auto" w:before="161"/>
        <w:ind w:right="736"/>
        <w:jc w:val="both"/>
      </w:pPr>
      <w:r>
        <w:rPr/>
        <w:t>Arash and Aidin (2016) investigated financial development, financial integrationand economic growthusing panel data for the period2005 to 2013. Twenty fourcountries namely Iran, Malaysia, Turkey, BahrainKuwait, Oman, Saudi Arabia, BangladeshPakistan, Algeria, Cameroon, Egypt, MoroccoTunisia, Benin, BurkinaFaso, Chad, MaliMauritania, Mozambique, NigerSenegal, Sierra Leone andTogo were studied. GDP per capita was employedas the independent variable whilefinancial development (the shareof domestic credit allocated to theprivate sector of GDP), financial integrationindex (ratio ofnet foreign assetsto GDP), public spending foreducation of GDP and size ofgovernment (share of government spendingof GDP) were employed as theindependent variables. </w:t>
      </w:r>
      <w:r>
        <w:rPr/>
        <w:t>Regression analysis was employed inanalyzing the data. The results of the studyshow that financial development, humaneducation and governmentspending have positive effectand financial integration has negativeeffect on growth in studiedcountries.</w:t>
      </w:r>
    </w:p>
    <w:p>
      <w:pPr>
        <w:pStyle w:val="BodyText"/>
        <w:spacing w:line="480" w:lineRule="auto" w:before="160"/>
        <w:ind w:right="736"/>
        <w:jc w:val="both"/>
      </w:pPr>
      <w:r>
        <w:rPr/>
        <w:t>Sami, Meriem and Makram (2016) investigated the causalnexus between financial</w:t>
      </w:r>
      <w:r>
        <w:rPr>
          <w:spacing w:val="40"/>
        </w:rPr>
        <w:t> </w:t>
      </w:r>
      <w:r>
        <w:rPr/>
        <w:t>integration and economicgrowth. The study covered theperiod between 1970 to 2011 for 19 emerging and developing countries namelyArgentina, Bolivia, Botswana, BrazilChile, Colombia, Cote d'Ivoire, CostaRica, Ecuador, EgyptMalaysia, Mexico, Morocco, Paraguay, Peru,</w:t>
      </w:r>
      <w:r>
        <w:rPr>
          <w:spacing w:val="56"/>
        </w:rPr>
        <w:t> </w:t>
      </w:r>
      <w:r>
        <w:rPr/>
        <w:t>South</w:t>
      </w:r>
      <w:r>
        <w:rPr>
          <w:spacing w:val="58"/>
        </w:rPr>
        <w:t> </w:t>
      </w:r>
      <w:r>
        <w:rPr/>
        <w:t>Korea,</w:t>
      </w:r>
      <w:r>
        <w:rPr>
          <w:spacing w:val="56"/>
        </w:rPr>
        <w:t> </w:t>
      </w:r>
      <w:r>
        <w:rPr/>
        <w:t>TunisiaUruguay,</w:t>
      </w:r>
      <w:r>
        <w:rPr>
          <w:spacing w:val="57"/>
        </w:rPr>
        <w:t> </w:t>
      </w:r>
      <w:r>
        <w:rPr/>
        <w:t>and</w:t>
      </w:r>
      <w:r>
        <w:rPr>
          <w:spacing w:val="57"/>
        </w:rPr>
        <w:t> </w:t>
      </w:r>
      <w:r>
        <w:rPr/>
        <w:t>Venezuela.</w:t>
      </w:r>
      <w:r>
        <w:rPr>
          <w:spacing w:val="58"/>
        </w:rPr>
        <w:t> </w:t>
      </w:r>
      <w:r>
        <w:rPr/>
        <w:t>Both</w:t>
      </w:r>
      <w:r>
        <w:rPr>
          <w:spacing w:val="59"/>
        </w:rPr>
        <w:t> </w:t>
      </w:r>
      <w:r>
        <w:rPr/>
        <w:t>linear</w:t>
      </w:r>
      <w:r>
        <w:rPr>
          <w:spacing w:val="57"/>
        </w:rPr>
        <w:t> </w:t>
      </w:r>
      <w:r>
        <w:rPr/>
        <w:t>andnonlinear</w:t>
      </w:r>
      <w:r>
        <w:rPr>
          <w:spacing w:val="56"/>
        </w:rPr>
        <w:t> </w:t>
      </w:r>
      <w:r>
        <w:rPr>
          <w:spacing w:val="-2"/>
        </w:rPr>
        <w:t>Granger-</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68736">
                <wp:simplePos x="0" y="0"/>
                <wp:positionH relativeFrom="page">
                  <wp:posOffset>950112</wp:posOffset>
                </wp:positionH>
                <wp:positionV relativeFrom="paragraph">
                  <wp:posOffset>1321053</wp:posOffset>
                </wp:positionV>
                <wp:extent cx="5505450" cy="5661025"/>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47744" id="docshape133"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causality tests were employed inanalyzing. The linear causality analysis reveals only weak causal linkages betweenfinancial integration and economicgrowth. In contrast, thenonlinear causality analysis provides evidenceof significant nonlinear causalityin 18 out of 19 countries. The growthhypothesis holds true forArgentina, Bolivia, ColombiaMorocco, Tunisia, and Venezuela whereas areverse relation was found inBrazil, Chile, Cote d’Ivoire, Costa Rica, Ecuador, EgyptSouth Korea, Malaysia, Mexicoand Paraguay. The feedback hypothesis also existsin Bolivia and Uruguay. Overall, thedivergent results in the 19</w:t>
      </w:r>
      <w:r>
        <w:rPr>
          <w:spacing w:val="40"/>
        </w:rPr>
        <w:t> </w:t>
      </w:r>
      <w:r>
        <w:rPr/>
        <w:t>countries imply thatpolicies cannot be uniformlyimplemented as there wouldhave been different effects ineach country.</w:t>
      </w:r>
    </w:p>
    <w:p>
      <w:pPr>
        <w:pStyle w:val="BodyText"/>
        <w:spacing w:line="480" w:lineRule="auto" w:before="161"/>
        <w:ind w:right="733"/>
        <w:jc w:val="both"/>
      </w:pPr>
      <w:r>
        <w:rPr/>
        <w:t>Mahajan and Verma (2015) carried out anempirical investigation oninternational financial integrationand economic growth in Indiausing time series data from1981 to 2011. Models of co-integration andVector Error Correction Model (VECM) was applied toexamine the relationship</w:t>
      </w:r>
      <w:r>
        <w:rPr>
          <w:spacing w:val="-1"/>
        </w:rPr>
        <w:t> </w:t>
      </w:r>
      <w:r>
        <w:rPr/>
        <w:t>between thevariables.</w:t>
      </w:r>
      <w:r>
        <w:rPr>
          <w:spacing w:val="-1"/>
        </w:rPr>
        <w:t> </w:t>
      </w:r>
      <w:r>
        <w:rPr/>
        <w:t>The</w:t>
      </w:r>
      <w:r>
        <w:rPr>
          <w:spacing w:val="-2"/>
        </w:rPr>
        <w:t> </w:t>
      </w:r>
      <w:r>
        <w:rPr/>
        <w:t>study</w:t>
      </w:r>
      <w:r>
        <w:rPr>
          <w:spacing w:val="-1"/>
        </w:rPr>
        <w:t> </w:t>
      </w:r>
      <w:r>
        <w:rPr/>
        <w:t>found</w:t>
      </w:r>
      <w:r>
        <w:rPr>
          <w:spacing w:val="-1"/>
        </w:rPr>
        <w:t> </w:t>
      </w:r>
      <w:r>
        <w:rPr/>
        <w:t>that</w:t>
      </w:r>
      <w:r>
        <w:rPr>
          <w:spacing w:val="-1"/>
        </w:rPr>
        <w:t> </w:t>
      </w:r>
      <w:r>
        <w:rPr/>
        <w:t>thatinternational financial</w:t>
      </w:r>
      <w:r>
        <w:rPr>
          <w:spacing w:val="-1"/>
        </w:rPr>
        <w:t> </w:t>
      </w:r>
      <w:r>
        <w:rPr/>
        <w:t>integration affects thegrowth</w:t>
      </w:r>
      <w:r>
        <w:rPr>
          <w:spacing w:val="-1"/>
        </w:rPr>
        <w:t> </w:t>
      </w:r>
      <w:r>
        <w:rPr/>
        <w:t>of</w:t>
      </w:r>
      <w:r>
        <w:rPr>
          <w:spacing w:val="-1"/>
        </w:rPr>
        <w:t> </w:t>
      </w:r>
      <w:r>
        <w:rPr/>
        <w:t>theeconomy</w:t>
      </w:r>
      <w:r>
        <w:rPr>
          <w:spacing w:val="-1"/>
        </w:rPr>
        <w:t> </w:t>
      </w:r>
      <w:r>
        <w:rPr/>
        <w:t>positively;</w:t>
      </w:r>
      <w:r>
        <w:rPr>
          <w:spacing w:val="-1"/>
        </w:rPr>
        <w:t> </w:t>
      </w:r>
      <w:r>
        <w:rPr/>
        <w:t>and</w:t>
      </w:r>
      <w:r>
        <w:rPr>
          <w:spacing w:val="-1"/>
        </w:rPr>
        <w:t> </w:t>
      </w:r>
      <w:r>
        <w:rPr/>
        <w:t>change</w:t>
      </w:r>
      <w:r>
        <w:rPr>
          <w:spacing w:val="-2"/>
        </w:rPr>
        <w:t> </w:t>
      </w:r>
      <w:r>
        <w:rPr/>
        <w:t>ineconomic</w:t>
      </w:r>
      <w:r>
        <w:rPr>
          <w:spacing w:val="-2"/>
        </w:rPr>
        <w:t> </w:t>
      </w:r>
      <w:r>
        <w:rPr/>
        <w:t>growth</w:t>
      </w:r>
      <w:r>
        <w:rPr>
          <w:spacing w:val="-1"/>
        </w:rPr>
        <w:t> </w:t>
      </w:r>
      <w:r>
        <w:rPr/>
        <w:t>due</w:t>
      </w:r>
      <w:r>
        <w:rPr>
          <w:spacing w:val="-2"/>
        </w:rPr>
        <w:t> </w:t>
      </w:r>
      <w:r>
        <w:rPr/>
        <w:t>to</w:t>
      </w:r>
      <w:r>
        <w:rPr>
          <w:spacing w:val="-1"/>
        </w:rPr>
        <w:t> </w:t>
      </w:r>
      <w:r>
        <w:rPr/>
        <w:t>it</w:t>
      </w:r>
      <w:r>
        <w:rPr>
          <w:spacing w:val="-1"/>
        </w:rPr>
        <w:t> </w:t>
      </w:r>
      <w:r>
        <w:rPr/>
        <w:t>through financial development is approximately8.63 percent. The study also suggeststhat the structural reforms thattook place in India inearly nineties did notaffect the existing relationship ofglobal financial integrationand economic growth significantly.</w:t>
      </w:r>
    </w:p>
    <w:p>
      <w:pPr>
        <w:pStyle w:val="BodyText"/>
        <w:spacing w:line="480" w:lineRule="auto" w:before="160"/>
        <w:ind w:right="737"/>
        <w:jc w:val="both"/>
      </w:pPr>
      <w:r>
        <w:rPr/>
        <w:t>Wafa and Saoussen (2015) investigated thedeterminants of international financial integration in theMiddle East and NorthAfrican countries (MENA). The study aimed tooffer some insight intounderstanding this phenomenonin the MENA area. Trade openness, thelevel of development, thefinancial market development, theinflation rate, fluctuations in theexchange rate, the</w:t>
      </w:r>
      <w:r>
        <w:rPr>
          <w:spacing w:val="1"/>
        </w:rPr>
        <w:t> </w:t>
      </w:r>
      <w:r>
        <w:rPr/>
        <w:t>financialcrisis</w:t>
      </w:r>
      <w:r>
        <w:rPr>
          <w:spacing w:val="2"/>
        </w:rPr>
        <w:t> </w:t>
      </w:r>
      <w:r>
        <w:rPr/>
        <w:t>of</w:t>
      </w:r>
      <w:r>
        <w:rPr>
          <w:spacing w:val="2"/>
        </w:rPr>
        <w:t> </w:t>
      </w:r>
      <w:r>
        <w:rPr/>
        <w:t>2008</w:t>
      </w:r>
      <w:r>
        <w:rPr>
          <w:spacing w:val="1"/>
        </w:rPr>
        <w:t> </w:t>
      </w:r>
      <w:r>
        <w:rPr/>
        <w:t>and the</w:t>
      </w:r>
      <w:r>
        <w:rPr>
          <w:spacing w:val="1"/>
        </w:rPr>
        <w:t> </w:t>
      </w:r>
      <w:r>
        <w:rPr/>
        <w:t>taxpolicy</w:t>
      </w:r>
      <w:r>
        <w:rPr>
          <w:spacing w:val="1"/>
        </w:rPr>
        <w:t> </w:t>
      </w:r>
      <w:r>
        <w:rPr/>
        <w:t>were</w:t>
      </w:r>
      <w:r>
        <w:rPr>
          <w:spacing w:val="1"/>
        </w:rPr>
        <w:t> </w:t>
      </w:r>
      <w:r>
        <w:rPr/>
        <w:t>employed</w:t>
      </w:r>
      <w:r>
        <w:rPr>
          <w:spacing w:val="3"/>
        </w:rPr>
        <w:t> </w:t>
      </w:r>
      <w:r>
        <w:rPr/>
        <w:t>as</w:t>
      </w:r>
      <w:r>
        <w:rPr>
          <w:spacing w:val="2"/>
        </w:rPr>
        <w:t> </w:t>
      </w:r>
      <w:r>
        <w:rPr/>
        <w:t>theexplanatory </w:t>
      </w:r>
      <w:r>
        <w:rPr>
          <w:spacing w:val="-2"/>
        </w:rPr>
        <w:t>variables</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69248">
                <wp:simplePos x="0" y="0"/>
                <wp:positionH relativeFrom="page">
                  <wp:posOffset>950112</wp:posOffset>
                </wp:positionH>
                <wp:positionV relativeFrom="paragraph">
                  <wp:posOffset>1321053</wp:posOffset>
                </wp:positionV>
                <wp:extent cx="5505450" cy="5661025"/>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47232" id="docshape134"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while international financialintegration was employed as thedependent variable. Regression analysis was employed inanalysing thedata. The study found thattrade openness, the exchange rate, the logGDP could explain the degree offinancial integration while the restof the variablesnamely financial instability (crisis), taxes,inflation and level ofuniversity education don’t affectinternational financial integrationin the MENA region.</w:t>
      </w:r>
    </w:p>
    <w:p>
      <w:pPr>
        <w:pStyle w:val="BodyText"/>
        <w:spacing w:line="480" w:lineRule="auto" w:before="161"/>
        <w:ind w:right="734"/>
        <w:jc w:val="both"/>
      </w:pPr>
      <w:r>
        <w:rPr/>
        <w:t>Osada and Saito (2007) studies the effectsof financial integrationon economic growth using an internationalpanel data of 83 countriesfrom 1974-2007. They show that theeffects of financial integration oneconomic growth differconsiderably, depending on thetype of</w:t>
      </w:r>
      <w:r>
        <w:rPr>
          <w:spacing w:val="40"/>
        </w:rPr>
        <w:t> </w:t>
      </w:r>
      <w:r>
        <w:rPr/>
        <w:t>external assets andliabilities as well as on thecharacteristics of countries. They breakdown external liabilities into FDIand equity liabilities and debtliabilities, the former has apositive impact on economicgrowth, while the latter, especiallypublic debt, has a negativeimpact. They also find ingeneral that countries withgood institutions and developed financialmarkets benefit more fromfinancial integration, and countries inWestern Europe and NorthAmerica</w:t>
      </w:r>
      <w:r>
        <w:rPr>
          <w:spacing w:val="40"/>
        </w:rPr>
        <w:t> </w:t>
      </w:r>
      <w:r>
        <w:rPr/>
        <w:t>as well as those inEast Asia are more likelyto meet theseconditions. Moreso, they provide some evidence thatfinancial integration has anadditional, indirect effect oneconomic growth through its impact onother determinants of growthsuch as the volume of internationaltrade and the developmentof domestic financial markets.</w:t>
      </w:r>
    </w:p>
    <w:p>
      <w:pPr>
        <w:pStyle w:val="BodyText"/>
        <w:spacing w:line="480" w:lineRule="auto" w:before="160"/>
        <w:ind w:right="736"/>
        <w:jc w:val="both"/>
      </w:pPr>
      <w:r>
        <w:rPr/>
        <w:t>Schularick and Steger (2006), using ageneralized methods of moment (GMM) dynamicpanel estimation, investigated empirically thenexus between international financial integrationand economic growth bylooking at the evidencefrom the first era of financialglobalization from 1880-1913. Their resultssuggest that international capitalmarket integration fostered economic</w:t>
      </w:r>
      <w:r>
        <w:rPr>
          <w:spacing w:val="68"/>
        </w:rPr>
        <w:t> </w:t>
      </w:r>
      <w:r>
        <w:rPr/>
        <w:t>growthsignificantly</w:t>
      </w:r>
      <w:r>
        <w:rPr>
          <w:spacing w:val="67"/>
        </w:rPr>
        <w:t> </w:t>
      </w:r>
      <w:r>
        <w:rPr/>
        <w:t>in</w:t>
      </w:r>
      <w:r>
        <w:rPr>
          <w:spacing w:val="69"/>
        </w:rPr>
        <w:t> </w:t>
      </w:r>
      <w:r>
        <w:rPr/>
        <w:t>thehistorical</w:t>
      </w:r>
      <w:r>
        <w:rPr>
          <w:spacing w:val="67"/>
        </w:rPr>
        <w:t> </w:t>
      </w:r>
      <w:r>
        <w:rPr/>
        <w:t>period,</w:t>
      </w:r>
      <w:r>
        <w:rPr>
          <w:spacing w:val="68"/>
        </w:rPr>
        <w:t> </w:t>
      </w:r>
      <w:r>
        <w:rPr/>
        <w:t>but</w:t>
      </w:r>
      <w:r>
        <w:rPr>
          <w:spacing w:val="69"/>
        </w:rPr>
        <w:t> </w:t>
      </w:r>
      <w:r>
        <w:rPr/>
        <w:t>nolonger</w:t>
      </w:r>
      <w:r>
        <w:rPr>
          <w:spacing w:val="68"/>
        </w:rPr>
        <w:t> </w:t>
      </w:r>
      <w:r>
        <w:rPr/>
        <w:t>does</w:t>
      </w:r>
      <w:r>
        <w:rPr>
          <w:spacing w:val="68"/>
        </w:rPr>
        <w:t> </w:t>
      </w:r>
      <w:r>
        <w:rPr/>
        <w:t>sotoday.</w:t>
      </w:r>
      <w:r>
        <w:rPr>
          <w:spacing w:val="68"/>
        </w:rPr>
        <w:t> </w:t>
      </w:r>
      <w:r>
        <w:rPr>
          <w:spacing w:val="-2"/>
        </w:rPr>
        <w:t>Their</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69760">
                <wp:simplePos x="0" y="0"/>
                <wp:positionH relativeFrom="page">
                  <wp:posOffset>950112</wp:posOffset>
                </wp:positionH>
                <wp:positionV relativeFrom="paragraph">
                  <wp:posOffset>1321053</wp:posOffset>
                </wp:positionV>
                <wp:extent cx="5505450" cy="5661025"/>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46720" id="docshape135"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explanation of thesediverse experiences is verysimple. They think that theneoclassical model provides a valid descriptionof the historical period, but appears unsuitableto explain the contemporaryworld economy. Their results reinforcethe conclusion that thoseeconomies which open themselves to theworld economy needat first abolish domestic distortionsto reap the benefitsof globalization. More specifically, it seemsespecially important toestablish good property rights in alleconomies participating in theworld economy.</w:t>
      </w:r>
    </w:p>
    <w:p>
      <w:pPr>
        <w:pStyle w:val="BodyText"/>
        <w:spacing w:line="480" w:lineRule="auto" w:before="160"/>
        <w:ind w:right="733"/>
        <w:jc w:val="both"/>
      </w:pPr>
      <w:r>
        <w:rPr/>
        <w:t>The study of Banam (2010) analyzed the impactof financial liberalization oneconomic</w:t>
      </w:r>
      <w:r>
        <w:rPr>
          <w:spacing w:val="40"/>
        </w:rPr>
        <w:t> </w:t>
      </w:r>
      <w:r>
        <w:rPr/>
        <w:t>growth in Iran throughJohansen Co-integration test usingtime series data from1965 to 2005 while also investigatingthe determinants ofeconomic growth. The financial liberalization index was representedby the financial restraintsindex which includes interestrate controls, reserve requirementsand directed credit multipliedby -1. The results suggest thatfinancial liberalization has positiveand statistically significant impacton economic growth measured</w:t>
      </w:r>
      <w:r>
        <w:rPr>
          <w:spacing w:val="40"/>
        </w:rPr>
        <w:t> </w:t>
      </w:r>
      <w:r>
        <w:rPr/>
        <w:t>by the grossdomestic product in Iran. The findings providesupport to Mckinnon (1973) and Shaw (1973), who argued thatfinancial liberalization can promote economicgrowth by increasing investmentand productivity.</w:t>
      </w:r>
    </w:p>
    <w:p>
      <w:pPr>
        <w:pStyle w:val="BodyText"/>
        <w:spacing w:line="480" w:lineRule="auto" w:before="161"/>
        <w:ind w:right="734"/>
        <w:jc w:val="both"/>
      </w:pPr>
      <w:r>
        <w:rPr/>
        <w:t>Ozdemir and Erbril (2008) empirically investigated the impactof financial liberalization on economicgrowth in 10 new EuropeanUnion countries and Turkeybetween 1995 and 2007. They constructed differentfinancial openness indicatorsusing panel data for differenttypes of financial flows such asforeign direct investment, otherinvestments, portfolio investments, trade opennessindex as well as othercontrol variables. Employing theOrdinary Least Square (OLS) method, their staticrobust and dynamic panel dataestimates indicates clearevidence between</w:t>
      </w:r>
      <w:r>
        <w:rPr>
          <w:spacing w:val="75"/>
          <w:w w:val="150"/>
        </w:rPr>
        <w:t> </w:t>
      </w:r>
      <w:r>
        <w:rPr/>
        <w:t>the</w:t>
      </w:r>
      <w:r>
        <w:rPr>
          <w:spacing w:val="76"/>
          <w:w w:val="150"/>
        </w:rPr>
        <w:t> </w:t>
      </w:r>
      <w:r>
        <w:rPr/>
        <w:t>long-rungrowth</w:t>
      </w:r>
      <w:r>
        <w:rPr>
          <w:spacing w:val="75"/>
          <w:w w:val="150"/>
        </w:rPr>
        <w:t> </w:t>
      </w:r>
      <w:r>
        <w:rPr/>
        <w:t>and</w:t>
      </w:r>
      <w:r>
        <w:rPr>
          <w:spacing w:val="76"/>
          <w:w w:val="150"/>
        </w:rPr>
        <w:t> </w:t>
      </w:r>
      <w:r>
        <w:rPr/>
        <w:t>a</w:t>
      </w:r>
      <w:r>
        <w:rPr>
          <w:spacing w:val="75"/>
          <w:w w:val="150"/>
        </w:rPr>
        <w:t> </w:t>
      </w:r>
      <w:r>
        <w:rPr/>
        <w:t>numberof</w:t>
      </w:r>
      <w:r>
        <w:rPr>
          <w:spacing w:val="76"/>
          <w:w w:val="150"/>
        </w:rPr>
        <w:t> </w:t>
      </w:r>
      <w:r>
        <w:rPr/>
        <w:t>financial</w:t>
      </w:r>
      <w:r>
        <w:rPr>
          <w:spacing w:val="76"/>
          <w:w w:val="150"/>
        </w:rPr>
        <w:t> </w:t>
      </w:r>
      <w:r>
        <w:rPr/>
        <w:t>liberalization</w:t>
      </w:r>
      <w:r>
        <w:rPr>
          <w:spacing w:val="76"/>
          <w:w w:val="150"/>
        </w:rPr>
        <w:t> </w:t>
      </w:r>
      <w:r>
        <w:rPr>
          <w:spacing w:val="-2"/>
        </w:rPr>
        <w:t>indicatorswhich</w:t>
      </w:r>
    </w:p>
    <w:p>
      <w:pPr>
        <w:spacing w:after="0" w:line="480" w:lineRule="auto"/>
        <w:jc w:val="both"/>
        <w:sectPr>
          <w:pgSz w:w="12240" w:h="15840"/>
          <w:pgMar w:header="0" w:footer="1012" w:top="1380" w:bottom="1200" w:left="1220" w:right="700"/>
        </w:sectPr>
      </w:pPr>
    </w:p>
    <w:p>
      <w:pPr>
        <w:pStyle w:val="BodyText"/>
        <w:spacing w:line="480" w:lineRule="auto" w:before="60"/>
        <w:ind w:right="737"/>
        <w:jc w:val="both"/>
      </w:pPr>
      <w:r>
        <w:rPr/>
        <w:t>confirms the anticipations ofthe ‘new growth theory’. Their findingstake cognizanceof financial liberalizationas a policy tool becauseof its possibility to promoteeconomic growth.</w:t>
      </w:r>
    </w:p>
    <w:p>
      <w:pPr>
        <w:pStyle w:val="BodyText"/>
        <w:spacing w:line="480" w:lineRule="auto" w:before="160"/>
        <w:ind w:right="734"/>
        <w:jc w:val="both"/>
      </w:pPr>
      <w:r>
        <w:rPr/>
        <mc:AlternateContent>
          <mc:Choice Requires="wps">
            <w:drawing>
              <wp:anchor distT="0" distB="0" distL="0" distR="0" allowOverlap="1" layoutInCell="1" locked="0" behindDoc="1" simplePos="0" relativeHeight="478070272">
                <wp:simplePos x="0" y="0"/>
                <wp:positionH relativeFrom="page">
                  <wp:posOffset>950112</wp:posOffset>
                </wp:positionH>
                <wp:positionV relativeFrom="paragraph">
                  <wp:posOffset>552765</wp:posOffset>
                </wp:positionV>
                <wp:extent cx="5505450" cy="5661025"/>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46208" id="docshape136"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Mitsuhiro and Masashi (2010) carried out anempirical analysis on therelationship between financial integrationand economic growth usingpanel data from 83 countriesfrom 1974 to 2007. Regression analysis was employedin analyzing thedata. The study found thatforeign direct investmentequity liabilities and debtliabilities have significantpositive impact on economic growthwhile public debt has anegative impact oneconomic growth. The study also found thatcountries with good institutionsand developed financial marketsbenefit more from financial integrationand countries in Western Europeand North America aswell as those in East Asia are morelikely to meet theseconditions. The study also foundthat indirect effect on economic growththrough its impact onother determinants of growthsuch as the volumeof international tradeand the development ofdomestic financial markets.</w:t>
      </w:r>
    </w:p>
    <w:p>
      <w:pPr>
        <w:pStyle w:val="BodyText"/>
        <w:spacing w:line="480" w:lineRule="auto" w:before="160"/>
        <w:ind w:right="733"/>
        <w:jc w:val="both"/>
      </w:pPr>
      <w:r>
        <w:rPr/>
        <w:t>Epaulard and Pommeret (2005) investigatedthe relationship betweenfinancial integration and growth from 32emerging market anddeveloping countries usingGMM method of estimation. They</w:t>
      </w:r>
      <w:r>
        <w:rPr>
          <w:spacing w:val="-3"/>
        </w:rPr>
        <w:t> </w:t>
      </w:r>
      <w:r>
        <w:rPr/>
        <w:t>considered</w:t>
      </w:r>
      <w:r>
        <w:rPr>
          <w:spacing w:val="-2"/>
        </w:rPr>
        <w:t> </w:t>
      </w:r>
      <w:r>
        <w:rPr/>
        <w:t>the</w:t>
      </w:r>
      <w:r>
        <w:rPr>
          <w:spacing w:val="-3"/>
        </w:rPr>
        <w:t> </w:t>
      </w:r>
      <w:r>
        <w:rPr/>
        <w:t>period1990</w:t>
      </w:r>
      <w:r>
        <w:rPr>
          <w:spacing w:val="-2"/>
        </w:rPr>
        <w:t> </w:t>
      </w:r>
      <w:r>
        <w:rPr/>
        <w:t>to</w:t>
      </w:r>
      <w:r>
        <w:rPr>
          <w:spacing w:val="-2"/>
        </w:rPr>
        <w:t> </w:t>
      </w:r>
      <w:r>
        <w:rPr/>
        <w:t>1998,</w:t>
      </w:r>
      <w:r>
        <w:rPr>
          <w:spacing w:val="-2"/>
        </w:rPr>
        <w:t> </w:t>
      </w:r>
      <w:r>
        <w:rPr/>
        <w:t>whereFDI</w:t>
      </w:r>
      <w:r>
        <w:rPr>
          <w:spacing w:val="-2"/>
        </w:rPr>
        <w:t> </w:t>
      </w:r>
      <w:r>
        <w:rPr/>
        <w:t>was</w:t>
      </w:r>
      <w:r>
        <w:rPr>
          <w:spacing w:val="-2"/>
        </w:rPr>
        <w:t> </w:t>
      </w:r>
      <w:r>
        <w:rPr/>
        <w:t>used</w:t>
      </w:r>
      <w:r>
        <w:rPr>
          <w:spacing w:val="-3"/>
        </w:rPr>
        <w:t> </w:t>
      </w:r>
      <w:r>
        <w:rPr/>
        <w:t>asproxy</w:t>
      </w:r>
      <w:r>
        <w:rPr>
          <w:spacing w:val="-2"/>
        </w:rPr>
        <w:t> </w:t>
      </w:r>
      <w:r>
        <w:rPr/>
        <w:t>for</w:t>
      </w:r>
      <w:r>
        <w:rPr>
          <w:spacing w:val="-2"/>
        </w:rPr>
        <w:t> </w:t>
      </w:r>
      <w:r>
        <w:rPr/>
        <w:t>financial</w:t>
      </w:r>
      <w:r>
        <w:rPr>
          <w:spacing w:val="-2"/>
        </w:rPr>
        <w:t> </w:t>
      </w:r>
      <w:r>
        <w:rPr/>
        <w:t>openness. A stochastic endogenousgrowth model was used forsmall economies where capitalwould flow from capital-richeconomies for investmentto the small economies. The modelassumes that financially integratedeconomies receives FDI which is converted intoproductive capital and used for investment. Under autarky capital move from capital-rich economies to capital- scarce economies. They grouped thecountries into two subsets: Less Integrated Economies (LIEs) and MoreIntegrated Economies (MIEs).The empirical evidence revealed thatfinancial integration</w:t>
      </w:r>
      <w:r>
        <w:rPr>
          <w:spacing w:val="52"/>
        </w:rPr>
        <w:t> </w:t>
      </w:r>
      <w:r>
        <w:rPr/>
        <w:t>resulted</w:t>
      </w:r>
      <w:r>
        <w:rPr>
          <w:spacing w:val="53"/>
        </w:rPr>
        <w:t> </w:t>
      </w:r>
      <w:r>
        <w:rPr/>
        <w:t>to</w:t>
      </w:r>
      <w:r>
        <w:rPr>
          <w:spacing w:val="52"/>
        </w:rPr>
        <w:t> </w:t>
      </w:r>
      <w:r>
        <w:rPr/>
        <w:t>apositive</w:t>
      </w:r>
      <w:r>
        <w:rPr>
          <w:spacing w:val="53"/>
        </w:rPr>
        <w:t> </w:t>
      </w:r>
      <w:r>
        <w:rPr/>
        <w:t>growth.</w:t>
      </w:r>
      <w:r>
        <w:rPr>
          <w:spacing w:val="52"/>
        </w:rPr>
        <w:t> </w:t>
      </w:r>
      <w:r>
        <w:rPr/>
        <w:t>However</w:t>
      </w:r>
      <w:r>
        <w:rPr>
          <w:spacing w:val="53"/>
        </w:rPr>
        <w:t> </w:t>
      </w:r>
      <w:r>
        <w:rPr/>
        <w:t>thegains</w:t>
      </w:r>
      <w:r>
        <w:rPr>
          <w:spacing w:val="52"/>
        </w:rPr>
        <w:t> </w:t>
      </w:r>
      <w:r>
        <w:rPr/>
        <w:t>were</w:t>
      </w:r>
      <w:r>
        <w:rPr>
          <w:spacing w:val="53"/>
        </w:rPr>
        <w:t> </w:t>
      </w:r>
      <w:r>
        <w:rPr/>
        <w:t>not</w:t>
      </w:r>
      <w:r>
        <w:rPr>
          <w:spacing w:val="52"/>
        </w:rPr>
        <w:t> </w:t>
      </w:r>
      <w:r>
        <w:rPr/>
        <w:t>hugebut</w:t>
      </w:r>
      <w:r>
        <w:rPr>
          <w:spacing w:val="53"/>
        </w:rPr>
        <w:t> </w:t>
      </w:r>
      <w:r>
        <w:rPr/>
        <w:t>they</w:t>
      </w:r>
      <w:r>
        <w:rPr>
          <w:spacing w:val="52"/>
        </w:rPr>
        <w:t> </w:t>
      </w:r>
      <w:r>
        <w:rPr>
          <w:spacing w:val="-4"/>
        </w:rPr>
        <w:t>were</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70784">
                <wp:simplePos x="0" y="0"/>
                <wp:positionH relativeFrom="page">
                  <wp:posOffset>950112</wp:posOffset>
                </wp:positionH>
                <wp:positionV relativeFrom="paragraph">
                  <wp:posOffset>1321053</wp:posOffset>
                </wp:positionV>
                <wp:extent cx="5505450" cy="566102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45696" id="docshape137"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significant in termsof growth under autarkywhich raised thewelfare gain of acountry. They concluded that more financialintegrated economiesexperienced higher growthrates compared to less integratedeconomies. The study used FDI as ameasure of financial integrationsimilar to this study.</w:t>
      </w:r>
    </w:p>
    <w:p>
      <w:pPr>
        <w:pStyle w:val="BodyText"/>
        <w:spacing w:line="480" w:lineRule="auto" w:before="160"/>
        <w:ind w:right="735"/>
        <w:jc w:val="both"/>
      </w:pPr>
      <w:r>
        <w:rPr/>
        <w:t>Evans and Hnatkovska (2007) studied the effectof financial integration onmacroeconomic volatility and welfare usingtwo-country general equilibrium model. They examineda two- sector (tradable and non-tradable), twoeconomies whereby there is internationaltrade in bonds,</w:t>
      </w:r>
      <w:r>
        <w:rPr>
          <w:spacing w:val="-2"/>
        </w:rPr>
        <w:t> </w:t>
      </w:r>
      <w:r>
        <w:rPr/>
        <w:t>stockand</w:t>
      </w:r>
      <w:r>
        <w:rPr>
          <w:spacing w:val="-3"/>
        </w:rPr>
        <w:t> </w:t>
      </w:r>
      <w:r>
        <w:rPr/>
        <w:t>markets are</w:t>
      </w:r>
      <w:r>
        <w:rPr>
          <w:spacing w:val="-2"/>
        </w:rPr>
        <w:t> </w:t>
      </w:r>
      <w:r>
        <w:rPr/>
        <w:t>incomplete.</w:t>
      </w:r>
      <w:r>
        <w:rPr>
          <w:spacing w:val="-3"/>
        </w:rPr>
        <w:t> </w:t>
      </w:r>
      <w:r>
        <w:rPr/>
        <w:t>They consideredequilibrium</w:t>
      </w:r>
      <w:r>
        <w:rPr>
          <w:spacing w:val="-2"/>
        </w:rPr>
        <w:t> </w:t>
      </w:r>
      <w:r>
        <w:rPr/>
        <w:t>under</w:t>
      </w:r>
      <w:r>
        <w:rPr>
          <w:spacing w:val="-2"/>
        </w:rPr>
        <w:t> </w:t>
      </w:r>
      <w:r>
        <w:rPr/>
        <w:t>financial</w:t>
      </w:r>
      <w:r>
        <w:rPr>
          <w:spacing w:val="-2"/>
        </w:rPr>
        <w:t> </w:t>
      </w:r>
      <w:r>
        <w:rPr/>
        <w:t>autarky (FA), lowfinancial integration (LI) andhigh financial integration (HI). They foundthat financial</w:t>
      </w:r>
      <w:r>
        <w:rPr>
          <w:spacing w:val="-4"/>
        </w:rPr>
        <w:t> </w:t>
      </w:r>
      <w:r>
        <w:rPr/>
        <w:t>integration</w:t>
      </w:r>
      <w:r>
        <w:rPr>
          <w:spacing w:val="-1"/>
        </w:rPr>
        <w:t> </w:t>
      </w:r>
      <w:r>
        <w:rPr/>
        <w:t>increases</w:t>
      </w:r>
      <w:r>
        <w:rPr>
          <w:spacing w:val="-3"/>
        </w:rPr>
        <w:t> </w:t>
      </w:r>
      <w:r>
        <w:rPr/>
        <w:t>thecorrelation</w:t>
      </w:r>
      <w:r>
        <w:rPr>
          <w:spacing w:val="-4"/>
        </w:rPr>
        <w:t> </w:t>
      </w:r>
      <w:r>
        <w:rPr/>
        <w:t>pattern</w:t>
      </w:r>
      <w:r>
        <w:rPr>
          <w:spacing w:val="-4"/>
        </w:rPr>
        <w:t> </w:t>
      </w:r>
      <w:r>
        <w:rPr/>
        <w:t>betweeninter-</w:t>
      </w:r>
      <w:r>
        <w:rPr>
          <w:spacing w:val="-3"/>
        </w:rPr>
        <w:t> </w:t>
      </w:r>
      <w:r>
        <w:rPr/>
        <w:t>temporal</w:t>
      </w:r>
      <w:r>
        <w:rPr>
          <w:spacing w:val="-3"/>
        </w:rPr>
        <w:t> </w:t>
      </w:r>
      <w:r>
        <w:rPr/>
        <w:t>marginal</w:t>
      </w:r>
      <w:r>
        <w:rPr>
          <w:spacing w:val="-4"/>
        </w:rPr>
        <w:t> </w:t>
      </w:r>
      <w:r>
        <w:rPr/>
        <w:t>rates</w:t>
      </w:r>
      <w:r>
        <w:rPr>
          <w:spacing w:val="-4"/>
        </w:rPr>
        <w:t> </w:t>
      </w:r>
      <w:r>
        <w:rPr/>
        <w:t>of substitution for thehome country andforeign country indicating increasedrisk sharing. However, high financialintegration reduces consumptionand output volatility andimproves welfare while lowfinancial integration increases consumptionand output volatility andlead to the welfareloss. The welfare loss affectspublic spending which influencesgrowth if it affects </w:t>
      </w:r>
      <w:r>
        <w:rPr>
          <w:spacing w:val="-2"/>
        </w:rPr>
        <w:t>capitalformation.</w:t>
      </w:r>
    </w:p>
    <w:p>
      <w:pPr>
        <w:pStyle w:val="BodyText"/>
        <w:spacing w:line="480" w:lineRule="auto" w:before="161"/>
        <w:ind w:right="735"/>
        <w:jc w:val="both"/>
      </w:pPr>
      <w:r>
        <w:rPr/>
        <w:t>Osada and Saito (2010), used apanel data set of 83countries to investigate theeffects of financial integrationon economic growthfrom 1974-2007. The studyproxied the external liabilities and assetsstock as a measureof openness using </w:t>
      </w:r>
      <w:r>
        <w:rPr>
          <w:i/>
        </w:rPr>
        <w:t>de facto</w:t>
      </w:r>
      <w:r>
        <w:rPr/>
        <w:t>based measure. Osada and Saito (2010), separatedliability and assetstocks to four differentgroups that are equityand</w:t>
      </w:r>
      <w:r>
        <w:rPr>
          <w:spacing w:val="40"/>
        </w:rPr>
        <w:t> </w:t>
      </w:r>
      <w:r>
        <w:rPr/>
        <w:t>debt assets, debtliability; equity and FDI liabilitiesand debt assets toobjectively identify the typesof either the liabilitiesor assets that had acomparatively greater effect oneconomic growth.</w:t>
      </w:r>
      <w:r>
        <w:rPr>
          <w:spacing w:val="8"/>
        </w:rPr>
        <w:t> </w:t>
      </w:r>
      <w:r>
        <w:rPr/>
        <w:t>The</w:t>
      </w:r>
      <w:r>
        <w:rPr>
          <w:spacing w:val="8"/>
        </w:rPr>
        <w:t> </w:t>
      </w:r>
      <w:r>
        <w:rPr/>
        <w:t>study</w:t>
      </w:r>
      <w:r>
        <w:rPr>
          <w:spacing w:val="9"/>
        </w:rPr>
        <w:t> </w:t>
      </w:r>
      <w:r>
        <w:rPr/>
        <w:t>employed</w:t>
      </w:r>
      <w:r>
        <w:rPr>
          <w:spacing w:val="8"/>
        </w:rPr>
        <w:t> </w:t>
      </w:r>
      <w:r>
        <w:rPr/>
        <w:t>the</w:t>
      </w:r>
      <w:r>
        <w:rPr>
          <w:spacing w:val="8"/>
        </w:rPr>
        <w:t> </w:t>
      </w:r>
      <w:r>
        <w:rPr/>
        <w:t>systemGMM</w:t>
      </w:r>
      <w:r>
        <w:rPr>
          <w:spacing w:val="8"/>
        </w:rPr>
        <w:t> </w:t>
      </w:r>
      <w:r>
        <w:rPr/>
        <w:t>methodology</w:t>
      </w:r>
      <w:r>
        <w:rPr>
          <w:spacing w:val="8"/>
        </w:rPr>
        <w:t> </w:t>
      </w:r>
      <w:r>
        <w:rPr/>
        <w:t>to</w:t>
      </w:r>
      <w:r>
        <w:rPr>
          <w:spacing w:val="8"/>
        </w:rPr>
        <w:t> </w:t>
      </w:r>
      <w:r>
        <w:rPr/>
        <w:t>examine</w:t>
      </w:r>
      <w:r>
        <w:rPr>
          <w:spacing w:val="9"/>
        </w:rPr>
        <w:t> </w:t>
      </w:r>
      <w:r>
        <w:rPr/>
        <w:t>theimpacts</w:t>
      </w:r>
      <w:r>
        <w:rPr>
          <w:spacing w:val="9"/>
        </w:rPr>
        <w:t> </w:t>
      </w:r>
      <w:r>
        <w:rPr>
          <w:spacing w:val="-2"/>
        </w:rPr>
        <w:t>basedon</w:t>
      </w:r>
    </w:p>
    <w:p>
      <w:pPr>
        <w:spacing w:after="0" w:line="480" w:lineRule="auto"/>
        <w:jc w:val="both"/>
        <w:sectPr>
          <w:pgSz w:w="12240" w:h="15840"/>
          <w:pgMar w:header="0" w:footer="1012" w:top="1380" w:bottom="1200" w:left="1220" w:right="700"/>
        </w:sectPr>
      </w:pPr>
    </w:p>
    <w:p>
      <w:pPr>
        <w:pStyle w:val="BodyText"/>
        <w:spacing w:line="480" w:lineRule="auto" w:before="60"/>
        <w:ind w:right="736"/>
        <w:jc w:val="both"/>
      </w:pPr>
      <w:r>
        <w:rPr/>
        <mc:AlternateContent>
          <mc:Choice Requires="wps">
            <w:drawing>
              <wp:anchor distT="0" distB="0" distL="0" distR="0" allowOverlap="1" layoutInCell="1" locked="0" behindDoc="1" simplePos="0" relativeHeight="478071296">
                <wp:simplePos x="0" y="0"/>
                <wp:positionH relativeFrom="page">
                  <wp:posOffset>950112</wp:posOffset>
                </wp:positionH>
                <wp:positionV relativeFrom="paragraph">
                  <wp:posOffset>1321053</wp:posOffset>
                </wp:positionV>
                <wp:extent cx="5505450" cy="5661025"/>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45184" id="docshape138"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different</w:t>
      </w:r>
      <w:r>
        <w:rPr>
          <w:spacing w:val="-4"/>
        </w:rPr>
        <w:t> </w:t>
      </w:r>
      <w:r>
        <w:rPr/>
        <w:t>measuresof</w:t>
      </w:r>
      <w:r>
        <w:rPr>
          <w:spacing w:val="-3"/>
        </w:rPr>
        <w:t> </w:t>
      </w:r>
      <w:r>
        <w:rPr/>
        <w:t>the</w:t>
      </w:r>
      <w:r>
        <w:rPr>
          <w:spacing w:val="-6"/>
        </w:rPr>
        <w:t> </w:t>
      </w:r>
      <w:r>
        <w:rPr/>
        <w:t>financial</w:t>
      </w:r>
      <w:r>
        <w:rPr>
          <w:spacing w:val="-4"/>
        </w:rPr>
        <w:t> </w:t>
      </w:r>
      <w:r>
        <w:rPr/>
        <w:t>opennesson</w:t>
      </w:r>
      <w:r>
        <w:rPr>
          <w:spacing w:val="-4"/>
        </w:rPr>
        <w:t> </w:t>
      </w:r>
      <w:r>
        <w:rPr/>
        <w:t>growth.</w:t>
      </w:r>
      <w:r>
        <w:rPr>
          <w:spacing w:val="-4"/>
        </w:rPr>
        <w:t> </w:t>
      </w:r>
      <w:r>
        <w:rPr/>
        <w:t>Control</w:t>
      </w:r>
      <w:r>
        <w:rPr>
          <w:spacing w:val="-4"/>
        </w:rPr>
        <w:t> </w:t>
      </w:r>
      <w:r>
        <w:rPr/>
        <w:t>variables</w:t>
      </w:r>
      <w:r>
        <w:rPr>
          <w:spacing w:val="-1"/>
        </w:rPr>
        <w:t> </w:t>
      </w:r>
      <w:r>
        <w:rPr/>
        <w:t>suchas</w:t>
      </w:r>
      <w:r>
        <w:rPr>
          <w:spacing w:val="-3"/>
        </w:rPr>
        <w:t> </w:t>
      </w:r>
      <w:r>
        <w:rPr/>
        <w:t>the</w:t>
      </w:r>
      <w:r>
        <w:rPr>
          <w:spacing w:val="-4"/>
        </w:rPr>
        <w:t> </w:t>
      </w:r>
      <w:r>
        <w:rPr/>
        <w:t>growth</w:t>
      </w:r>
      <w:r>
        <w:rPr>
          <w:spacing w:val="-4"/>
        </w:rPr>
        <w:t> </w:t>
      </w:r>
      <w:r>
        <w:rPr/>
        <w:t>of population, inflationrate, and the numberof years of schooling, institutionalquality and trade openness thatinfluence growth were includedin the model. The study concluded thatthe effects of integration oneconomic growth differsubstantially dependingon the type of the assetsand liabilities. Equity and FDI liabilities had apositive influence whiledebt liabilities had a negative impacton recipient countries ongrowth. The results confirmed theprior empiricalwork. However, assets associatedwith FDI, debt, and equity, would berealized to haveenhanced less meaningfully togrowth.</w:t>
      </w:r>
    </w:p>
    <w:p>
      <w:pPr>
        <w:pStyle w:val="BodyText"/>
        <w:spacing w:line="480" w:lineRule="auto" w:before="162"/>
        <w:ind w:right="734"/>
        <w:jc w:val="both"/>
      </w:pPr>
      <w:r>
        <w:rPr/>
        <w:t>Sedik and Sun (2012) analyzed the short-to-medium termeffects of liberalizing capitalflows on macroeconomicperformance and risks tofinancial stability for asample of 37 emerging market economies (EMEs)over the period1995-2010. They go further toanalyze the position of China in thesame context as theother 37 EMEs. They proxyfinancial openness withtwo new dejure measuresalthough therestrictiveness indices are basedon the IMF’s AREAER. The first restrictivenessindex is similar to theSchindler index (Schindler, 2009) and</w:t>
      </w:r>
      <w:r>
        <w:rPr>
          <w:spacing w:val="40"/>
        </w:rPr>
        <w:t> </w:t>
      </w:r>
      <w:r>
        <w:rPr/>
        <w:t>comprises 21categories of restrictions, includingrestrictions on equitybond, money market and collective investmentscheme instruments, financial creditand direct investment by direction. They use thesecond dejure index as arobustness check andthis is an average of binary indicatorsof 62 categories of capitaltransactions. It includes itemssuch as all capital transactions, foreignexchange and domestic currency accountsof residents and non-residents, regulatory measuresrelated to the financialsector and repatriation andsurrender requirements. The study employed thesystem GMM methodology inanalyzing the data. The study found that</w:t>
      </w:r>
      <w:r>
        <w:rPr>
          <w:spacing w:val="11"/>
        </w:rPr>
        <w:t> </w:t>
      </w:r>
      <w:r>
        <w:rPr/>
        <w:t>financialopenness</w:t>
      </w:r>
      <w:r>
        <w:rPr>
          <w:spacing w:val="13"/>
        </w:rPr>
        <w:t> </w:t>
      </w:r>
      <w:r>
        <w:rPr/>
        <w:t>can</w:t>
      </w:r>
      <w:r>
        <w:rPr>
          <w:spacing w:val="11"/>
        </w:rPr>
        <w:t> </w:t>
      </w:r>
      <w:r>
        <w:rPr/>
        <w:t>explain</w:t>
      </w:r>
      <w:r>
        <w:rPr>
          <w:spacing w:val="12"/>
        </w:rPr>
        <w:t> </w:t>
      </w:r>
      <w:r>
        <w:rPr/>
        <w:t>macroeconomic</w:t>
      </w:r>
      <w:r>
        <w:rPr>
          <w:spacing w:val="11"/>
        </w:rPr>
        <w:t> </w:t>
      </w:r>
      <w:r>
        <w:rPr/>
        <w:t>performanceand</w:t>
      </w:r>
      <w:r>
        <w:rPr>
          <w:spacing w:val="11"/>
        </w:rPr>
        <w:t> </w:t>
      </w:r>
      <w:r>
        <w:rPr/>
        <w:t>financial</w:t>
      </w:r>
      <w:r>
        <w:rPr>
          <w:spacing w:val="11"/>
        </w:rPr>
        <w:t> </w:t>
      </w:r>
      <w:r>
        <w:rPr/>
        <w:t>stability</w:t>
      </w:r>
      <w:r>
        <w:rPr>
          <w:spacing w:val="12"/>
        </w:rPr>
        <w:t> </w:t>
      </w:r>
      <w:r>
        <w:rPr>
          <w:spacing w:val="-2"/>
        </w:rPr>
        <w:t>risks,</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71808">
                <wp:simplePos x="0" y="0"/>
                <wp:positionH relativeFrom="page">
                  <wp:posOffset>950112</wp:posOffset>
                </wp:positionH>
                <wp:positionV relativeFrom="paragraph">
                  <wp:posOffset>1321053</wp:posOffset>
                </wp:positionV>
                <wp:extent cx="5505450" cy="5661025"/>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44672" id="docshape139"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at leastpartially. Specifically, the study found thatcapital account liberalization is associated withhigher GDP per capitagrowth and lowerinflation. Also, financial integration is foundto be associated with higherreturns on equityand lower bank capitaladequacy ratios thereby suggesting potentialrisks to financial stabilityin events of spontaneousreversals in capital flows. The outcomeof the analysis onChina is not very differentfrom that of the otherEMEs on qualitativeterms. However, they argue thatquantitatively, the effectsdepend on thepace</w:t>
      </w:r>
      <w:r>
        <w:rPr>
          <w:spacing w:val="40"/>
        </w:rPr>
        <w:t> </w:t>
      </w:r>
      <w:r>
        <w:rPr/>
        <w:t>and sequencingof financial openness. Furthermore, they suggest thatfuture research should</w:t>
      </w:r>
      <w:r>
        <w:rPr>
          <w:spacing w:val="40"/>
        </w:rPr>
        <w:t> </w:t>
      </w:r>
      <w:r>
        <w:rPr/>
        <w:t>be directed at employing adifferent econometricapproach to the Chinese situationdue to its size and ongoingstructural changes which is quiteunique from the otherEMEs.</w:t>
      </w:r>
    </w:p>
    <w:p>
      <w:pPr>
        <w:pStyle w:val="BodyText"/>
        <w:spacing w:line="480" w:lineRule="auto" w:before="161"/>
        <w:ind w:right="734"/>
        <w:jc w:val="both"/>
      </w:pPr>
      <w:r>
        <w:rPr/>
        <w:t>Sethi (2013) study examined thecasual relationship betweenforeign capital inflowsand economicgrowth in India. The monthly data wasused taken for theperiod from 1995:04 to 20117. The methodology used was thepair-wise Granger causalitytest (1969). The findings from the study showsthere is the long-runequilibrium relationship was restoredbetween the following pairs ofvariables viz., economicgrowth and Foreign DirectInvestment (FDI), economic growthand Foreign Portfolio Investment (FPI). The study also revealed thatprivate foreign capitalinflows have a positiveand direct impact on economicgrowth. In other words, for the sound economicprocess of a rustic attractsadditional private foreigncapital inflows.</w:t>
      </w:r>
    </w:p>
    <w:p>
      <w:pPr>
        <w:pStyle w:val="BodyText"/>
        <w:spacing w:line="480" w:lineRule="auto" w:before="160"/>
        <w:ind w:right="735"/>
        <w:jc w:val="both"/>
      </w:pPr>
      <w:r>
        <w:rPr/>
        <w:t>Derrick, Caroline, Rosleand Vivin (2011) examined the relationshipbetween economic growth and foreigndirect investment in Malaysiabasing his analysis onLocation Advantage Theory. This study aims toidentify which location advantage channelsand its threshold value that can influence theinflow of foreign directinvestment into Malaysia. Locationadvantage channels</w:t>
      </w:r>
      <w:r>
        <w:rPr>
          <w:spacing w:val="58"/>
        </w:rPr>
        <w:t>  </w:t>
      </w:r>
      <w:r>
        <w:rPr/>
        <w:t>were</w:t>
      </w:r>
      <w:r>
        <w:rPr>
          <w:spacing w:val="58"/>
        </w:rPr>
        <w:t>  </w:t>
      </w:r>
      <w:r>
        <w:rPr/>
        <w:t>formedusing</w:t>
      </w:r>
      <w:r>
        <w:rPr>
          <w:spacing w:val="58"/>
        </w:rPr>
        <w:t>  </w:t>
      </w:r>
      <w:r>
        <w:rPr/>
        <w:t>human</w:t>
      </w:r>
      <w:r>
        <w:rPr>
          <w:spacing w:val="57"/>
        </w:rPr>
        <w:t>  </w:t>
      </w:r>
      <w:r>
        <w:rPr/>
        <w:t>capitaldevelopment,</w:t>
      </w:r>
      <w:r>
        <w:rPr>
          <w:spacing w:val="58"/>
        </w:rPr>
        <w:t>  </w:t>
      </w:r>
      <w:r>
        <w:rPr/>
        <w:t>financial</w:t>
      </w:r>
      <w:r>
        <w:rPr>
          <w:spacing w:val="58"/>
        </w:rPr>
        <w:t>  </w:t>
      </w:r>
      <w:r>
        <w:rPr>
          <w:spacing w:val="-2"/>
        </w:rPr>
        <w:t>developmentand</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72320">
                <wp:simplePos x="0" y="0"/>
                <wp:positionH relativeFrom="page">
                  <wp:posOffset>950112</wp:posOffset>
                </wp:positionH>
                <wp:positionV relativeFrom="paragraph">
                  <wp:posOffset>1321053</wp:posOffset>
                </wp:positionV>
                <wp:extent cx="5505450" cy="5661025"/>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44160" id="docshape140"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environmental conditionwhilst foreign directinvestment was used as an interactiveterm as well as an independentvariable. The results revealed that, without incorporatinginteractive terms, all the locationadvantage channels wereable to stimulated economicgrowth. However, when location advantagechannels were used as aninteractive term withforeign direct investment, the resultrevealed that all the interactiveterm variables becomeinsignificant towards economicgrowth. Thus, the study supportthat a certain valueof location advantage channels are importantas a precondition forforeign direct investment to have apositive effect on economicgrowth in Malaysia.</w:t>
      </w:r>
    </w:p>
    <w:p>
      <w:pPr>
        <w:pStyle w:val="BodyText"/>
        <w:spacing w:line="480" w:lineRule="auto" w:before="162"/>
        <w:ind w:right="733"/>
        <w:jc w:val="both"/>
      </w:pPr>
      <w:r>
        <w:rPr/>
        <w:t>Najia, Maryam and Nabeel (2013) examined theimpact of foreign direct investmenton economic growthof Pakistan. The data usedfor this study has spannedover the period of1981 till 2010. Besides FDI, fourother variables includingDebt, Trade, Inflation andDomestic Investment have beenincluded in the study, toregress upon GDP of thiscountry. The methodologyto test the impactof these variables onPakistan’s economy has beenlimited to</w:t>
      </w:r>
      <w:r>
        <w:rPr>
          <w:spacing w:val="80"/>
        </w:rPr>
        <w:t> </w:t>
      </w:r>
      <w:r>
        <w:rPr/>
        <w:t>the least squaresmethod. The co-integrationof the variables has beenascertained through application ofAugmented Dickey Fuller Testand is found tohold in the longrun. The findings indicate thatPakistan’s economic performance is negativelyaffected by foreigninvestment while its domesticinvestment has benefitted itseconomy. Moreover, thenation’s debt, trade and inflationhave found to have negativeimpact on itsGDP. This study ignored theimportant aspect of FDI which is humancapital development and itscontribution tofinancial </w:t>
      </w:r>
      <w:r>
        <w:rPr>
          <w:spacing w:val="-2"/>
        </w:rPr>
        <w:t>development.</w:t>
      </w:r>
    </w:p>
    <w:p>
      <w:pPr>
        <w:pStyle w:val="BodyText"/>
        <w:spacing w:line="480" w:lineRule="auto" w:before="160"/>
        <w:ind w:right="736"/>
        <w:jc w:val="both"/>
      </w:pPr>
      <w:r>
        <w:rPr/>
        <w:t>Pourshahabi</w:t>
      </w:r>
      <w:r>
        <w:rPr>
          <w:spacing w:val="-2"/>
        </w:rPr>
        <w:t> </w:t>
      </w:r>
      <w:r>
        <w:rPr>
          <w:i/>
        </w:rPr>
        <w:t>et</w:t>
      </w:r>
      <w:r>
        <w:rPr>
          <w:i/>
          <w:spacing w:val="-3"/>
        </w:rPr>
        <w:t> </w:t>
      </w:r>
      <w:r>
        <w:rPr>
          <w:i/>
        </w:rPr>
        <w:t>al.</w:t>
      </w:r>
      <w:r>
        <w:rPr>
          <w:i/>
          <w:spacing w:val="-2"/>
        </w:rPr>
        <w:t> </w:t>
      </w:r>
      <w:r>
        <w:rPr/>
        <w:t>(2011)</w:t>
      </w:r>
      <w:r>
        <w:rPr>
          <w:spacing w:val="-2"/>
        </w:rPr>
        <w:t> </w:t>
      </w:r>
      <w:r>
        <w:rPr/>
        <w:t>alsoinvestigated</w:t>
      </w:r>
      <w:r>
        <w:rPr>
          <w:spacing w:val="-3"/>
        </w:rPr>
        <w:t> </w:t>
      </w:r>
      <w:r>
        <w:rPr/>
        <w:t>the</w:t>
      </w:r>
      <w:r>
        <w:rPr>
          <w:spacing w:val="-3"/>
        </w:rPr>
        <w:t> </w:t>
      </w:r>
      <w:r>
        <w:rPr/>
        <w:t>relationshipbetween</w:t>
      </w:r>
      <w:r>
        <w:rPr>
          <w:spacing w:val="-3"/>
        </w:rPr>
        <w:t> </w:t>
      </w:r>
      <w:r>
        <w:rPr/>
        <w:t>Foreign</w:t>
      </w:r>
      <w:r>
        <w:rPr>
          <w:spacing w:val="-2"/>
        </w:rPr>
        <w:t> </w:t>
      </w:r>
      <w:r>
        <w:rPr/>
        <w:t>Direct</w:t>
      </w:r>
      <w:r>
        <w:rPr>
          <w:spacing w:val="-2"/>
        </w:rPr>
        <w:t> </w:t>
      </w:r>
      <w:r>
        <w:rPr/>
        <w:t>Investment (FDI),</w:t>
      </w:r>
      <w:r>
        <w:rPr>
          <w:spacing w:val="58"/>
          <w:w w:val="150"/>
        </w:rPr>
        <w:t> </w:t>
      </w:r>
      <w:r>
        <w:rPr/>
        <w:t>economic</w:t>
      </w:r>
      <w:r>
        <w:rPr>
          <w:spacing w:val="58"/>
          <w:w w:val="150"/>
        </w:rPr>
        <w:t> </w:t>
      </w:r>
      <w:r>
        <w:rPr/>
        <w:t>freedomand</w:t>
      </w:r>
      <w:r>
        <w:rPr>
          <w:spacing w:val="58"/>
          <w:w w:val="150"/>
        </w:rPr>
        <w:t> </w:t>
      </w:r>
      <w:r>
        <w:rPr/>
        <w:t>growth</w:t>
      </w:r>
      <w:r>
        <w:rPr>
          <w:spacing w:val="58"/>
          <w:w w:val="150"/>
        </w:rPr>
        <w:t> </w:t>
      </w:r>
      <w:r>
        <w:rPr/>
        <w:t>in</w:t>
      </w:r>
      <w:r>
        <w:rPr>
          <w:spacing w:val="61"/>
          <w:w w:val="150"/>
        </w:rPr>
        <w:t> </w:t>
      </w:r>
      <w:r>
        <w:rPr/>
        <w:t>OECDcountries</w:t>
      </w:r>
      <w:r>
        <w:rPr>
          <w:spacing w:val="59"/>
          <w:w w:val="150"/>
        </w:rPr>
        <w:t> </w:t>
      </w:r>
      <w:r>
        <w:rPr/>
        <w:t>during1997-2007.</w:t>
      </w:r>
      <w:r>
        <w:rPr>
          <w:spacing w:val="59"/>
          <w:w w:val="150"/>
        </w:rPr>
        <w:t> </w:t>
      </w:r>
      <w:r>
        <w:rPr/>
        <w:t>Panel</w:t>
      </w:r>
      <w:r>
        <w:rPr>
          <w:spacing w:val="57"/>
          <w:w w:val="150"/>
        </w:rPr>
        <w:t> </w:t>
      </w:r>
      <w:r>
        <w:rPr>
          <w:spacing w:val="-4"/>
        </w:rPr>
        <w:t>data</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72832">
                <wp:simplePos x="0" y="0"/>
                <wp:positionH relativeFrom="page">
                  <wp:posOffset>950112</wp:posOffset>
                </wp:positionH>
                <wp:positionV relativeFrom="paragraph">
                  <wp:posOffset>1321053</wp:posOffset>
                </wp:positionV>
                <wp:extent cx="5505450" cy="5661025"/>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43648" id="docshape141"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Method is used toestimate two models. The firstmodel was applied to investigate thefactors that stimulateFDI and the secondone was applied tofind the growth factors inOECD members. The resultsof first model indicatedthat Human CapitalMarket Size,Political Stability and Inflation have positiveand significant impact onFDI in these setof countries. However, the effectof Economic Freedom onFDI in OECD countries is positive, butit is not significant. As to thesecond model they foundthat Foreign Direct Investmenteconomic freedom, GovernmentConsumption Expenditure, publicinvestment and HumanCapital lead</w:t>
      </w:r>
      <w:r>
        <w:rPr>
          <w:spacing w:val="80"/>
        </w:rPr>
        <w:t> </w:t>
      </w:r>
      <w:r>
        <w:rPr/>
        <w:t>to growth in thesecountries. However, inflationand external debt havenegative effect on growth but this negativeeffect is not significantfor inflation.</w:t>
      </w:r>
    </w:p>
    <w:p>
      <w:pPr>
        <w:pStyle w:val="BodyText"/>
        <w:spacing w:before="161"/>
        <w:ind w:left="0"/>
      </w:pPr>
    </w:p>
    <w:p>
      <w:pPr>
        <w:pStyle w:val="Heading2"/>
        <w:numPr>
          <w:ilvl w:val="2"/>
          <w:numId w:val="21"/>
        </w:numPr>
        <w:tabs>
          <w:tab w:pos="780" w:val="left" w:leader="none"/>
        </w:tabs>
        <w:spacing w:line="240" w:lineRule="auto" w:before="0" w:after="0"/>
        <w:ind w:left="780" w:right="0" w:hanging="560"/>
        <w:jc w:val="left"/>
      </w:pPr>
      <w:bookmarkStart w:name="_TOC_250037" w:id="38"/>
      <w:r>
        <w:rPr/>
        <w:t>Studies</w:t>
      </w:r>
      <w:r>
        <w:rPr>
          <w:spacing w:val="-8"/>
        </w:rPr>
        <w:t> </w:t>
      </w:r>
      <w:r>
        <w:rPr/>
        <w:t>Within</w:t>
      </w:r>
      <w:r>
        <w:rPr>
          <w:spacing w:val="-7"/>
        </w:rPr>
        <w:t> </w:t>
      </w:r>
      <w:bookmarkEnd w:id="38"/>
      <w:r>
        <w:rPr>
          <w:spacing w:val="-2"/>
        </w:rPr>
        <w:t>Africa</w:t>
      </w:r>
    </w:p>
    <w:p>
      <w:pPr>
        <w:pStyle w:val="BodyText"/>
        <w:spacing w:before="160"/>
        <w:ind w:left="0"/>
        <w:rPr>
          <w:b/>
        </w:rPr>
      </w:pPr>
    </w:p>
    <w:p>
      <w:pPr>
        <w:pStyle w:val="BodyText"/>
        <w:spacing w:line="480" w:lineRule="auto"/>
        <w:ind w:right="732"/>
        <w:jc w:val="both"/>
      </w:pPr>
      <w:r>
        <w:rPr/>
        <w:t>Abdulaziz (2020) investigated the impactof financial integration oneconomic growth in Ethiopia. This is atime series study from1980 to 2017. The GDP percapita is used as a dependent variablewhereas domestic credit toprivate sector as apercentage of GDPnet financial flow, secondaryschool enrolment ratepopulation growth ratetrade openness, inflation rate andterm of trade areused as an independentvariable. The model used is atime series multilinear regressionmodel. The Ordinary Leastsquare (OLS) regressiontechnique is applied formodelling and analyzingvariables using statisticaland econometric package (EViews). The result indicates thatpopulation growth rateinflation rate, and termsof trade have no significant impacton economic growthwhile domestic credit toprivate sector as a share</w:t>
      </w:r>
      <w:r>
        <w:rPr>
          <w:spacing w:val="45"/>
        </w:rPr>
        <w:t> </w:t>
      </w:r>
      <w:r>
        <w:rPr/>
        <w:t>of</w:t>
      </w:r>
      <w:r>
        <w:rPr>
          <w:spacing w:val="45"/>
        </w:rPr>
        <w:t> </w:t>
      </w:r>
      <w:r>
        <w:rPr/>
        <w:t>GDP,</w:t>
      </w:r>
      <w:r>
        <w:rPr>
          <w:spacing w:val="45"/>
        </w:rPr>
        <w:t> </w:t>
      </w:r>
      <w:r>
        <w:rPr/>
        <w:t>netfinancial</w:t>
      </w:r>
      <w:r>
        <w:rPr>
          <w:spacing w:val="45"/>
        </w:rPr>
        <w:t> </w:t>
      </w:r>
      <w:r>
        <w:rPr/>
        <w:t>flow,</w:t>
      </w:r>
      <w:r>
        <w:rPr>
          <w:spacing w:val="45"/>
        </w:rPr>
        <w:t> </w:t>
      </w:r>
      <w:r>
        <w:rPr/>
        <w:t>secondaryschool</w:t>
      </w:r>
      <w:r>
        <w:rPr>
          <w:spacing w:val="44"/>
        </w:rPr>
        <w:t> </w:t>
      </w:r>
      <w:r>
        <w:rPr/>
        <w:t>enrolment</w:t>
      </w:r>
      <w:r>
        <w:rPr>
          <w:spacing w:val="47"/>
        </w:rPr>
        <w:t> </w:t>
      </w:r>
      <w:r>
        <w:rPr/>
        <w:t>rate,</w:t>
      </w:r>
      <w:r>
        <w:rPr>
          <w:spacing w:val="46"/>
        </w:rPr>
        <w:t> </w:t>
      </w:r>
      <w:r>
        <w:rPr/>
        <w:t>andtrade</w:t>
      </w:r>
      <w:r>
        <w:rPr>
          <w:spacing w:val="45"/>
        </w:rPr>
        <w:t> </w:t>
      </w:r>
      <w:r>
        <w:rPr/>
        <w:t>openness</w:t>
      </w:r>
      <w:r>
        <w:rPr>
          <w:spacing w:val="46"/>
        </w:rPr>
        <w:t> </w:t>
      </w:r>
      <w:r>
        <w:rPr>
          <w:spacing w:val="-5"/>
        </w:rPr>
        <w:t>are</w:t>
      </w:r>
    </w:p>
    <w:p>
      <w:pPr>
        <w:spacing w:after="0" w:line="480" w:lineRule="auto"/>
        <w:jc w:val="both"/>
        <w:sectPr>
          <w:pgSz w:w="12240" w:h="15840"/>
          <w:pgMar w:header="0" w:footer="1012" w:top="1380" w:bottom="1200" w:left="1220" w:right="700"/>
        </w:sectPr>
      </w:pPr>
    </w:p>
    <w:p>
      <w:pPr>
        <w:pStyle w:val="BodyText"/>
        <w:spacing w:line="480" w:lineRule="auto" w:before="60"/>
        <w:ind w:right="739"/>
        <w:jc w:val="both"/>
      </w:pPr>
      <w:r>
        <w:rPr/>
        <w:t>statistically significant inexplaining economicgrowth in Ethiopia. The studyconcludes </w:t>
      </w:r>
      <w:r>
        <w:rPr/>
        <w:t>that financial integrationhas a positive impact oneconomic growth andstatistically significant.</w:t>
      </w:r>
    </w:p>
    <w:p>
      <w:pPr>
        <w:pStyle w:val="BodyText"/>
        <w:spacing w:line="480" w:lineRule="auto" w:before="160"/>
        <w:ind w:right="735"/>
        <w:jc w:val="both"/>
      </w:pPr>
      <w:r>
        <w:rPr/>
        <mc:AlternateContent>
          <mc:Choice Requires="wps">
            <w:drawing>
              <wp:anchor distT="0" distB="0" distL="0" distR="0" allowOverlap="1" layoutInCell="1" locked="0" behindDoc="1" simplePos="0" relativeHeight="478073344">
                <wp:simplePos x="0" y="0"/>
                <wp:positionH relativeFrom="page">
                  <wp:posOffset>950112</wp:posOffset>
                </wp:positionH>
                <wp:positionV relativeFrom="paragraph">
                  <wp:posOffset>552765</wp:posOffset>
                </wp:positionV>
                <wp:extent cx="5505450" cy="5661025"/>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43136" id="docshape142"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Wambugu (2018) investigatedthe effects of financial integrationon economic growth in Kenya. The studycovered the period 1970 to2015. Regression analysis was employedas the estimationtechnique. The study found thatforeign direct investment influencesgrowth.</w:t>
      </w:r>
      <w:r>
        <w:rPr>
          <w:spacing w:val="40"/>
        </w:rPr>
        <w:t> </w:t>
      </w:r>
      <w:r>
        <w:rPr/>
        <w:t>Results fromthe regression showed thatforeign direct investmentcoefficient as the ratio of gross domesticproduct per capita was positiveand statistically significantwhile portfolio investment coefficientas the ratio ofgross domestic product percapita was positiveand statistically</w:t>
      </w:r>
      <w:r>
        <w:rPr>
          <w:spacing w:val="-5"/>
        </w:rPr>
        <w:t> </w:t>
      </w:r>
      <w:r>
        <w:rPr/>
        <w:t>insignificant.</w:t>
      </w:r>
      <w:r>
        <w:rPr>
          <w:spacing w:val="-5"/>
        </w:rPr>
        <w:t> </w:t>
      </w:r>
      <w:r>
        <w:rPr/>
        <w:t>However,</w:t>
      </w:r>
      <w:r>
        <w:rPr>
          <w:spacing w:val="-5"/>
        </w:rPr>
        <w:t> </w:t>
      </w:r>
      <w:r>
        <w:rPr/>
        <w:t>portfolio</w:t>
      </w:r>
      <w:r>
        <w:rPr>
          <w:spacing w:val="-5"/>
        </w:rPr>
        <w:t> </w:t>
      </w:r>
      <w:r>
        <w:rPr/>
        <w:t>inflowscontribute</w:t>
      </w:r>
      <w:r>
        <w:rPr>
          <w:spacing w:val="-5"/>
        </w:rPr>
        <w:t> </w:t>
      </w:r>
      <w:r>
        <w:rPr/>
        <w:t>positively</w:t>
      </w:r>
      <w:r>
        <w:rPr>
          <w:spacing w:val="-5"/>
        </w:rPr>
        <w:t> </w:t>
      </w:r>
      <w:r>
        <w:rPr/>
        <w:t>and</w:t>
      </w:r>
      <w:r>
        <w:rPr>
          <w:spacing w:val="-5"/>
        </w:rPr>
        <w:t> </w:t>
      </w:r>
      <w:r>
        <w:rPr/>
        <w:t>significantly</w:t>
      </w:r>
      <w:r>
        <w:rPr>
          <w:spacing w:val="-5"/>
        </w:rPr>
        <w:t> </w:t>
      </w:r>
      <w:r>
        <w:rPr/>
        <w:t>to economic growthvolatility. The study recommends that thegovernment should provide an environmentthat can attract long termforeign direct investmentsand maintain stable macroeconomics policies inenhancing growth.</w:t>
      </w:r>
    </w:p>
    <w:p>
      <w:pPr>
        <w:pStyle w:val="BodyText"/>
        <w:spacing w:line="480" w:lineRule="auto" w:before="160"/>
        <w:ind w:right="736"/>
        <w:jc w:val="both"/>
      </w:pPr>
      <w:r>
        <w:rPr/>
        <w:t>Kouki and Rezgui (2017) investigated the impact offinancial integration oneconomic growth with particular referenceto three Maghreb countries (Algeria, Moroccoand Tunisia) using time series datafrom 1981 t0 2014. Financial integration proxiedby the stock ofaccumulated capital flows (the sumof assets and liabilities offoreign direct investment andportfolio flows) with regardto GDP, trade openness andinterest rate were employedas the independent variables whileGDP per capita was employedas the dependent variable. OrdinaryLeast Squares Method (OLSM) andARDL method was employed inanalyzing the data. The result indicates theexistence of a positiveand significant relationship betweenmacroeconomic</w:t>
      </w:r>
      <w:r>
        <w:rPr>
          <w:spacing w:val="40"/>
        </w:rPr>
        <w:t> </w:t>
      </w:r>
      <w:r>
        <w:rPr/>
        <w:t>policy (interest rateon deposits) and economicgrowth (GDP) for the threecountries, however, the</w:t>
      </w:r>
      <w:r>
        <w:rPr>
          <w:spacing w:val="34"/>
        </w:rPr>
        <w:t> </w:t>
      </w:r>
      <w:r>
        <w:rPr/>
        <w:t>relationship</w:t>
      </w:r>
      <w:r>
        <w:rPr>
          <w:spacing w:val="36"/>
        </w:rPr>
        <w:t> </w:t>
      </w:r>
      <w:r>
        <w:rPr/>
        <w:t>between</w:t>
      </w:r>
      <w:r>
        <w:rPr>
          <w:spacing w:val="34"/>
        </w:rPr>
        <w:t> </w:t>
      </w:r>
      <w:r>
        <w:rPr/>
        <w:t>thesecond</w:t>
      </w:r>
      <w:r>
        <w:rPr>
          <w:spacing w:val="35"/>
        </w:rPr>
        <w:t> </w:t>
      </w:r>
      <w:r>
        <w:rPr/>
        <w:t>variable</w:t>
      </w:r>
      <w:r>
        <w:rPr>
          <w:spacing w:val="35"/>
        </w:rPr>
        <w:t> </w:t>
      </w:r>
      <w:r>
        <w:rPr/>
        <w:t>ofmacroeconomic</w:t>
      </w:r>
      <w:r>
        <w:rPr>
          <w:spacing w:val="34"/>
        </w:rPr>
        <w:t> </w:t>
      </w:r>
      <w:r>
        <w:rPr/>
        <w:t>policy</w:t>
      </w:r>
      <w:r>
        <w:rPr>
          <w:spacing w:val="38"/>
        </w:rPr>
        <w:t> </w:t>
      </w:r>
      <w:r>
        <w:rPr/>
        <w:t>(tradeopenness)</w:t>
      </w:r>
      <w:r>
        <w:rPr>
          <w:spacing w:val="35"/>
        </w:rPr>
        <w:t> </w:t>
      </w:r>
      <w:r>
        <w:rPr>
          <w:spacing w:val="-5"/>
        </w:rPr>
        <w:t>and</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w:t>economic growth is positivebut not significant. Also, thestudy found that thelong-term relationship betweeneconomic growth andfinancial integration variable is positiveand </w:t>
      </w:r>
      <w:r>
        <w:rPr>
          <w:spacing w:val="-2"/>
        </w:rPr>
        <w:t>significant.</w:t>
      </w:r>
    </w:p>
    <w:p>
      <w:pPr>
        <w:pStyle w:val="BodyText"/>
        <w:spacing w:line="480" w:lineRule="auto" w:before="161"/>
        <w:ind w:right="733"/>
        <w:jc w:val="both"/>
      </w:pPr>
      <w:r>
        <w:rPr/>
        <mc:AlternateContent>
          <mc:Choice Requires="wps">
            <w:drawing>
              <wp:anchor distT="0" distB="0" distL="0" distR="0" allowOverlap="1" layoutInCell="1" locked="0" behindDoc="1" simplePos="0" relativeHeight="478073856">
                <wp:simplePos x="0" y="0"/>
                <wp:positionH relativeFrom="page">
                  <wp:posOffset>950112</wp:posOffset>
                </wp:positionH>
                <wp:positionV relativeFrom="paragraph">
                  <wp:posOffset>187671</wp:posOffset>
                </wp:positionV>
                <wp:extent cx="5505450" cy="5661025"/>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4.777295pt;width:433.5pt;height:445.75pt;mso-position-horizontal-relative:page;mso-position-vertical-relative:paragraph;z-index:-25242624" id="docshape143" coordorigin="1496,296" coordsize="8670,8915" path="m2562,9015l1691,8144,1496,8339,2367,9210,2562,9015xm3154,8339l3153,8300,3148,8257,3139,8213,3125,8169,3106,8126,3083,8082,3055,8040,3025,7999,2991,7959,2954,7920,2435,7400,2241,7595,2772,8126,2805,8162,2829,8198,2846,8232,2856,8267,2858,8299,2851,8330,2837,8358,2816,8385,2790,8406,2761,8420,2730,8426,2697,8424,2663,8414,2628,8398,2593,8373,2557,8342,2026,7810,1831,8004,2351,8523,2385,8556,2424,8588,2468,8620,2516,8653,2548,8672,2583,8687,2620,8701,2658,8711,2697,8719,2733,8723,2767,8723,2800,8720,2831,8713,2863,8701,2895,8685,2926,8664,2957,8641,2985,8618,3011,8595,3035,8573,3071,8532,3102,8492,3125,8450,3142,8408,3150,8375,3154,8339xm3882,7556l3876,7492,3860,7426,3834,7360,3806,7305,3771,7249,3728,7192,3678,7133,3661,7114,3621,7072,3597,7050,3597,7544,3592,7584,3577,7621,3551,7654,3518,7679,3481,7694,3441,7699,3396,7693,3347,7674,3294,7643,3235,7598,3171,7539,3112,7475,3066,7416,3035,7361,3016,7312,3010,7268,3014,7228,3029,7192,3053,7160,3086,7134,3122,7119,3163,7114,3207,7119,3255,7136,3307,7166,3363,7208,3423,7263,3488,7333,3538,7396,3572,7452,3591,7500,3597,7544,3597,7050,3551,7007,3482,6952,3413,6907,3344,6872,3276,6846,3209,6830,3130,6824,3055,6834,2983,6860,2914,6900,2850,6956,2796,7019,2756,7087,2732,7159,2723,7234,2729,7314,2746,7382,2772,7451,2808,7521,2854,7591,2910,7661,2976,7732,3036,7789,3096,7839,3156,7881,3215,7916,3273,7943,3344,7967,3411,7981,3475,7984,3535,7978,3593,7962,3649,7935,3705,7897,3758,7849,3805,7795,3841,7739,3858,7699,3866,7680,3879,7619,3882,7556xm4153,6976l3966,6789,3712,7044,3899,7231,4153,6976xm4664,6914l3793,6043,3598,6238,4469,7109,4664,6914xm4998,6580l4675,6256,4781,6150,4832,6090,4837,6080,4866,6028,4883,5965,4882,5900,4866,5835,4843,5784,4836,5769,4792,5703,4733,5637,4670,5580,4607,5537,4598,5532,4598,5926,4597,5951,4587,5977,4570,6004,4546,6032,4498,6080,4304,5885,4359,5830,4386,5807,4412,5791,4438,5784,4462,5784,4486,5791,4509,5801,4531,5815,4552,5834,4570,5855,4584,5878,4593,5901,4598,5926,4598,5532,4544,5507,4483,5491,4423,5490,4365,5505,4309,5535,4255,5580,3931,5904,4803,6775,4998,6580xm5788,5790l5132,5134,5330,4935,5115,4720,4524,5312,4739,5527,4937,5328,5593,5984,5788,5790xm6423,5154l5767,4498,5966,4300,5751,4085,5159,4676,5374,4891,5573,4693,6229,5349,6423,5154xm7157,4281l7151,4217,7135,4151,7109,4085,7081,4030,7046,3974,7003,3917,6953,3858,6935,3839,6896,3798,6872,3775,6872,4269,6867,4309,6851,4346,6825,4379,6793,4405,6756,4420,6716,4424,6671,4418,6622,4399,6569,4368,6510,4323,6446,4264,6387,4200,6341,4141,6309,4086,6291,4037,6285,3993,6289,3953,6304,3917,6328,3885,6361,3860,6397,3844,6438,3839,6482,3844,6530,3862,6582,3891,6638,3934,6698,3989,6763,4058,6813,4121,6847,4177,6866,4226,6872,4269,6872,3775,6826,3732,6756,3677,6687,3632,6619,3597,6551,3571,6483,3555,6405,3550,6329,3560,6258,3585,6189,3625,6125,3681,6071,3744,6031,3812,6007,3884,5998,3959,6004,4039,6021,4107,6047,4176,6083,4246,6129,4316,6184,4386,6250,4457,6311,4514,6371,4564,6431,4606,6490,4641,6548,4668,6619,4692,6686,4706,6750,4710,6810,4703,6868,4687,6924,4660,6979,4622,7033,4574,7080,4520,7116,4464,7133,4424,7141,4405,7154,4344,7157,4281xm8170,3286l8165,3237,8153,3186,8134,3134,8109,3079,8079,3023,8041,2966,7980,2991,7799,3065,7831,3112,7855,3155,7873,3195,7884,3233,7887,3268,7881,3301,7866,3332,7843,3361,7812,3385,7778,3399,7740,3403,7700,3397,7653,3378,7600,3344,7538,3295,7469,3230,7417,3174,7375,3122,7344,3074,7324,3031,7311,2980,7312,2933,7325,2892,7352,2856,7367,2843,7384,2833,7402,2825,7422,2820,7442,2818,7464,2819,7486,2822,7509,2828,7524,2834,7542,2842,7563,2853,7586,2867,7705,2642,7622,2596,7543,2564,7469,2545,7400,2539,7333,2547,7269,2569,7206,2607,7146,2660,7092,2722,7054,2789,7030,2859,7021,2933,7027,3011,7044,3078,7070,3145,7106,3214,7153,3284,7209,3355,7276,3427,7341,3487,7404,3539,7467,3583,7529,3618,7590,3646,7662,3669,7730,3682,7791,3685,7847,3678,7900,3661,7952,3635,8004,3598,8056,3552,8094,3509,8125,3466,8147,3422,8161,3378,8169,3333,8170,3286xm8868,2570l8861,2506,8846,2441,8820,2374,8792,2319,8757,2263,8714,2206,8664,2147,8646,2128,8607,2087,8583,2064,8583,2558,8578,2598,8562,2635,8536,2668,8504,2694,8467,2709,8427,2713,8382,2707,8333,2689,8279,2657,8221,2612,8157,2553,8098,2489,8052,2430,8020,2376,8002,2327,7996,2282,8000,2242,8014,2206,8039,2174,8071,2149,8108,2133,8149,2128,8193,2133,8241,2151,8293,2180,8349,2223,8409,2278,8474,2347,8524,2410,8558,2466,8577,2515,8583,2558,8583,2064,8537,2021,8467,1966,8398,1921,8330,1886,8262,1860,8194,1844,8116,1839,8040,1849,7968,1874,7900,1915,7835,1970,7781,2034,7742,2101,7718,2173,7709,2249,7715,2328,7731,2397,7758,2466,7794,2535,7839,2605,7895,2676,7961,2746,8022,2804,8082,2853,8142,2895,8201,2930,8259,2957,8329,2982,8397,2995,8461,2999,8521,2992,8579,2976,8635,2949,8690,2911,8744,2863,8791,2809,8827,2753,8844,2713,8852,2694,8865,2633,8868,2570xm9348,2229l9025,1906,9132,1799,9182,1739,9188,1730,9216,1678,9233,1615,9233,1550,9217,1484,9194,1433,9187,1418,9142,1353,9084,1287,9020,1229,8957,1186,8948,1182,8948,1575,8947,1601,8938,1627,8921,1654,8896,1682,8849,1730,8654,1535,8710,1480,8737,1456,8763,1441,8788,1433,8812,1434,8836,1440,8859,1451,8881,1465,8902,1484,8920,1505,8934,1528,8943,1551,8948,1575,8948,1182,8895,1157,8833,1141,8773,1140,8715,1155,8659,1185,8605,1230,8282,1554,9153,2425,9348,2229xm10166,1412l9801,1047,9748,897,9593,446,9540,296,9325,511,9353,581,9436,792,9492,932,9422,904,9211,821,9071,765,8854,981,9005,1034,9456,1189,9606,1242,9971,1607,10166,1412xe" filled="true" fillcolor="#c0c0c0" stroked="false">
                <v:path arrowok="t"/>
                <v:fill opacity="32896f" type="solid"/>
                <w10:wrap type="none"/>
              </v:shape>
            </w:pict>
          </mc:Fallback>
        </mc:AlternateContent>
      </w:r>
      <w:r>
        <w:rPr/>
        <w:t>DramaBédi (2016) investigated financial integration, foreigndirect investment and growth using paneldata analysis for WestAfrican economic monetaryunion countries using time series datafrom</w:t>
      </w:r>
      <w:r>
        <w:rPr>
          <w:spacing w:val="-1"/>
        </w:rPr>
        <w:t> </w:t>
      </w:r>
      <w:r>
        <w:rPr/>
        <w:t>1980</w:t>
      </w:r>
      <w:r>
        <w:rPr>
          <w:spacing w:val="-1"/>
        </w:rPr>
        <w:t> </w:t>
      </w:r>
      <w:r>
        <w:rPr/>
        <w:t>to</w:t>
      </w:r>
      <w:r>
        <w:rPr>
          <w:spacing w:val="-4"/>
        </w:rPr>
        <w:t> </w:t>
      </w:r>
      <w:r>
        <w:rPr/>
        <w:t>2014.</w:t>
      </w:r>
      <w:r>
        <w:rPr>
          <w:spacing w:val="-1"/>
        </w:rPr>
        <w:t> </w:t>
      </w:r>
      <w:r>
        <w:rPr/>
        <w:t>The</w:t>
      </w:r>
      <w:r>
        <w:rPr>
          <w:spacing w:val="-2"/>
        </w:rPr>
        <w:t> </w:t>
      </w:r>
      <w:r>
        <w:rPr/>
        <w:t>countriescovered</w:t>
      </w:r>
      <w:r>
        <w:rPr>
          <w:spacing w:val="-1"/>
        </w:rPr>
        <w:t> </w:t>
      </w:r>
      <w:r>
        <w:rPr/>
        <w:t>include</w:t>
      </w:r>
      <w:r>
        <w:rPr>
          <w:spacing w:val="-2"/>
        </w:rPr>
        <w:t> </w:t>
      </w:r>
      <w:r>
        <w:rPr/>
        <w:t>Cote</w:t>
      </w:r>
      <w:r>
        <w:rPr>
          <w:spacing w:val="-2"/>
        </w:rPr>
        <w:t> </w:t>
      </w:r>
      <w:r>
        <w:rPr/>
        <w:t>d’Ivoire,</w:t>
      </w:r>
      <w:r>
        <w:rPr>
          <w:spacing w:val="-2"/>
        </w:rPr>
        <w:t> </w:t>
      </w:r>
      <w:r>
        <w:rPr/>
        <w:t>BeninSenegal</w:t>
      </w:r>
      <w:r>
        <w:rPr>
          <w:spacing w:val="-2"/>
        </w:rPr>
        <w:t> </w:t>
      </w:r>
      <w:r>
        <w:rPr/>
        <w:t>and Togo. Ordinary Least Squaresmethod and Two StagesLeast Squares method wereemployed in analyzing the data. The studyfound that foreign directinvestment (FDI) is not animportant determinant of economicgrowth West Africa. However, its effect is relativelylow and statistically insignificantat the conventionallevel. In addition, it was found thatfinancial integration variable impactsnegatively growth in thefour countries above, whichsignifies that financial integrationpolicy doesn’t allows financialsystem to be moreefficient. Furthermore, the empirical results showthat the effect of domesticown investment is globallypositive and statistically significantfor all countries whenusing panel least squareframework.</w:t>
      </w:r>
    </w:p>
    <w:p>
      <w:pPr>
        <w:pStyle w:val="BodyText"/>
        <w:spacing w:line="480" w:lineRule="auto" w:before="161"/>
        <w:ind w:right="735"/>
        <w:jc w:val="both"/>
      </w:pPr>
      <w:r>
        <w:rPr/>
        <w:t>Egbetunde and Akinlo (2014) investigated financial integrationand economic growth in Sub- SaharanAfrica from 1980 to2010 for twenty-onecountries in SSA, namely: Botswana, Burundi, CameroonCentral African Republic, ChaCongo, Gabon, Gambia, Kenya, Lesotho, MadagascarMalawi, Mauritius, NigeriaSeychelles, Sierra Leone, SouthAfrica, Sudan, Swaziland, Togo andZambia. Using a dynamic panel Generalised Methodof Moment (GMM), the study finds thatfinancial integration had a negative andsignificant impact on economic growth inSSA. The results also reveal that institutional quality had anegative and significant</w:t>
      </w:r>
      <w:r>
        <w:rPr>
          <w:spacing w:val="47"/>
        </w:rPr>
        <w:t> </w:t>
      </w:r>
      <w:r>
        <w:rPr/>
        <w:t>impact</w:t>
      </w:r>
      <w:r>
        <w:rPr>
          <w:spacing w:val="48"/>
        </w:rPr>
        <w:t> </w:t>
      </w:r>
      <w:r>
        <w:rPr/>
        <w:t>oneconomic</w:t>
      </w:r>
      <w:r>
        <w:rPr>
          <w:spacing w:val="48"/>
        </w:rPr>
        <w:t> </w:t>
      </w:r>
      <w:r>
        <w:rPr/>
        <w:t>growth</w:t>
      </w:r>
      <w:r>
        <w:rPr>
          <w:spacing w:val="48"/>
        </w:rPr>
        <w:t> </w:t>
      </w:r>
      <w:r>
        <w:rPr/>
        <w:t>in</w:t>
      </w:r>
      <w:r>
        <w:rPr>
          <w:spacing w:val="49"/>
        </w:rPr>
        <w:t> </w:t>
      </w:r>
      <w:r>
        <w:rPr/>
        <w:t>SSA.</w:t>
      </w:r>
      <w:r>
        <w:rPr>
          <w:spacing w:val="48"/>
        </w:rPr>
        <w:t> </w:t>
      </w:r>
      <w:r>
        <w:rPr/>
        <w:t>Also,</w:t>
      </w:r>
      <w:r>
        <w:rPr>
          <w:spacing w:val="48"/>
        </w:rPr>
        <w:t> </w:t>
      </w:r>
      <w:r>
        <w:rPr/>
        <w:t>financial</w:t>
      </w:r>
      <w:r>
        <w:rPr>
          <w:spacing w:val="49"/>
        </w:rPr>
        <w:t> </w:t>
      </w:r>
      <w:r>
        <w:rPr/>
        <w:t>developmenthad</w:t>
      </w:r>
      <w:r>
        <w:rPr>
          <w:spacing w:val="48"/>
        </w:rPr>
        <w:t> </w:t>
      </w:r>
      <w:r>
        <w:rPr>
          <w:spacing w:val="-2"/>
        </w:rPr>
        <w:t>negative</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74368">
                <wp:simplePos x="0" y="0"/>
                <wp:positionH relativeFrom="page">
                  <wp:posOffset>950112</wp:posOffset>
                </wp:positionH>
                <wp:positionV relativeFrom="paragraph">
                  <wp:posOffset>1321053</wp:posOffset>
                </wp:positionV>
                <wp:extent cx="5505450" cy="5661025"/>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42112" id="docshape144"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impact on economicgrowth in the region. The study concludes that theeconomies did not</w:t>
      </w:r>
      <w:r>
        <w:rPr>
          <w:spacing w:val="40"/>
        </w:rPr>
        <w:t> </w:t>
      </w:r>
      <w:r>
        <w:rPr/>
        <w:t>reap</w:t>
      </w:r>
      <w:r>
        <w:rPr>
          <w:spacing w:val="-1"/>
        </w:rPr>
        <w:t> </w:t>
      </w:r>
      <w:r>
        <w:rPr/>
        <w:t>the</w:t>
      </w:r>
      <w:r>
        <w:rPr>
          <w:spacing w:val="-2"/>
        </w:rPr>
        <w:t> </w:t>
      </w:r>
      <w:r>
        <w:rPr/>
        <w:t>benefits offinancial</w:t>
      </w:r>
      <w:r>
        <w:rPr>
          <w:spacing w:val="-1"/>
        </w:rPr>
        <w:t> </w:t>
      </w:r>
      <w:r>
        <w:rPr/>
        <w:t>integration.</w:t>
      </w:r>
      <w:r>
        <w:rPr>
          <w:spacing w:val="-1"/>
        </w:rPr>
        <w:t> </w:t>
      </w:r>
      <w:r>
        <w:rPr/>
        <w:t>The</w:t>
      </w:r>
      <w:r>
        <w:rPr>
          <w:spacing w:val="-2"/>
        </w:rPr>
        <w:t> </w:t>
      </w:r>
      <w:r>
        <w:rPr/>
        <w:t>study</w:t>
      </w:r>
      <w:r>
        <w:rPr>
          <w:spacing w:val="-1"/>
        </w:rPr>
        <w:t> </w:t>
      </w:r>
      <w:r>
        <w:rPr/>
        <w:t>contends that</w:t>
      </w:r>
      <w:r>
        <w:rPr>
          <w:spacing w:val="-1"/>
        </w:rPr>
        <w:t> </w:t>
      </w:r>
      <w:r>
        <w:rPr/>
        <w:t>thegovernment</w:t>
      </w:r>
      <w:r>
        <w:rPr>
          <w:spacing w:val="-1"/>
        </w:rPr>
        <w:t> </w:t>
      </w:r>
      <w:r>
        <w:rPr/>
        <w:t>in</w:t>
      </w:r>
      <w:r>
        <w:rPr>
          <w:spacing w:val="-1"/>
        </w:rPr>
        <w:t> </w:t>
      </w:r>
      <w:r>
        <w:rPr/>
        <w:t>the</w:t>
      </w:r>
      <w:r>
        <w:rPr>
          <w:spacing w:val="-2"/>
        </w:rPr>
        <w:t> </w:t>
      </w:r>
      <w:r>
        <w:rPr/>
        <w:t>region needs to put in placeappropriate macroeconomic policies and institutionsthat will drive the benefits offinancial integration in order tosustain economic development.</w:t>
      </w:r>
    </w:p>
    <w:p>
      <w:pPr>
        <w:pStyle w:val="BodyText"/>
        <w:spacing w:line="480" w:lineRule="auto" w:before="160"/>
        <w:ind w:right="736"/>
        <w:jc w:val="both"/>
      </w:pPr>
      <w:r>
        <w:rPr/>
        <w:t>Zenasni and Benhabib (2013) examines empirically the links betweeninternational financial integration and economicgrowth for the case of threeNorth African countries usingthe dynamic panel system GMMestimator proposed byBlundell and Bond (1998) over theperiod 1980-2010. The estimationshows that the effectsof financial integration oneconomic growth is positive in the threestudied countries, which means thatfinancial integration can stimulate the evolution offinancial systems and improve theeconomic situation in NorthAfrica.</w:t>
      </w:r>
    </w:p>
    <w:p>
      <w:pPr>
        <w:pStyle w:val="BodyText"/>
        <w:spacing w:line="480" w:lineRule="auto" w:before="160"/>
        <w:ind w:right="735"/>
        <w:jc w:val="both"/>
      </w:pPr>
      <w:r>
        <w:rPr/>
        <w:t>Chipote, Mgxekwa and Godza (2014) examined theimpact of financial liberalizationon macroeconomic performance inSouth Africa by usingtime series econometric analysisover the timeperiod 1990-2011. The study usesGDP, the dependent variable as ameasure of economic growth and thefollowing macroeconomic variables: inflationlending rate,</w:t>
      </w:r>
      <w:r>
        <w:rPr>
          <w:spacing w:val="80"/>
        </w:rPr>
        <w:t> </w:t>
      </w:r>
      <w:r>
        <w:rPr/>
        <w:t>exchange rate and financialdeepening (M2/GDP) as financialliberalization indices. To confirm the order ofintegration, the Augmented Dickey-Fullerand Phillips Perron unit root tests are employed. The studyuses the Johansen co-integrationand the Error Correction Mechanism to obtainlong run and short runcoefficients. Findings of thestudy are that inflation, lending rateand financial deepening have positiveinfluence on economicgrowth whilst exchange rate has anegative impact oneconomic growth. This study recommendsthat the</w:t>
      </w:r>
      <w:r>
        <w:rPr>
          <w:spacing w:val="-2"/>
        </w:rPr>
        <w:t> </w:t>
      </w:r>
      <w:r>
        <w:rPr/>
        <w:t>government should put</w:t>
      </w:r>
      <w:r>
        <w:rPr>
          <w:spacing w:val="-1"/>
        </w:rPr>
        <w:t> </w:t>
      </w:r>
      <w:r>
        <w:rPr/>
        <w:t>inplace measures</w:t>
      </w:r>
      <w:r>
        <w:rPr>
          <w:spacing w:val="-1"/>
        </w:rPr>
        <w:t> </w:t>
      </w:r>
      <w:r>
        <w:rPr/>
        <w:t>that</w:t>
      </w:r>
      <w:r>
        <w:rPr>
          <w:spacing w:val="-2"/>
        </w:rPr>
        <w:t> </w:t>
      </w:r>
      <w:r>
        <w:rPr/>
        <w:t>stimulate</w:t>
      </w:r>
      <w:r>
        <w:rPr>
          <w:spacing w:val="-2"/>
        </w:rPr>
        <w:t> </w:t>
      </w:r>
      <w:r>
        <w:rPr/>
        <w:t>investmentswith</w:t>
      </w:r>
      <w:r>
        <w:rPr>
          <w:spacing w:val="-1"/>
        </w:rPr>
        <w:t> </w:t>
      </w:r>
      <w:r>
        <w:rPr/>
        <w:t>fair</w:t>
      </w:r>
      <w:r>
        <w:rPr>
          <w:spacing w:val="-1"/>
        </w:rPr>
        <w:t> </w:t>
      </w:r>
      <w:r>
        <w:rPr/>
        <w:t>lending</w:t>
      </w:r>
      <w:r>
        <w:rPr>
          <w:spacing w:val="-1"/>
        </w:rPr>
        <w:t> </w:t>
      </w:r>
      <w:r>
        <w:rPr/>
        <w:t>rates so as to deepen thefinancial system which in turnpromotes economic growth.</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74880">
                <wp:simplePos x="0" y="0"/>
                <wp:positionH relativeFrom="page">
                  <wp:posOffset>950112</wp:posOffset>
                </wp:positionH>
                <wp:positionV relativeFrom="paragraph">
                  <wp:posOffset>1321053</wp:posOffset>
                </wp:positionV>
                <wp:extent cx="5505450" cy="5661025"/>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41600" id="docshape145"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Kanu</w:t>
      </w:r>
      <w:r>
        <w:rPr>
          <w:spacing w:val="-2"/>
        </w:rPr>
        <w:t> </w:t>
      </w:r>
      <w:r>
        <w:rPr/>
        <w:t>(2015)</w:t>
      </w:r>
      <w:r>
        <w:rPr>
          <w:spacing w:val="-1"/>
        </w:rPr>
        <w:t> </w:t>
      </w:r>
      <w:r>
        <w:rPr/>
        <w:t>investigated</w:t>
      </w:r>
      <w:r>
        <w:rPr>
          <w:spacing w:val="-1"/>
        </w:rPr>
        <w:t> </w:t>
      </w:r>
      <w:r>
        <w:rPr/>
        <w:t>the</w:t>
      </w:r>
      <w:r>
        <w:rPr>
          <w:spacing w:val="-2"/>
        </w:rPr>
        <w:t> </w:t>
      </w:r>
      <w:r>
        <w:rPr/>
        <w:t>impact</w:t>
      </w:r>
      <w:r>
        <w:rPr>
          <w:spacing w:val="-2"/>
        </w:rPr>
        <w:t> </w:t>
      </w:r>
      <w:r>
        <w:rPr/>
        <w:t>offoreign</w:t>
      </w:r>
      <w:r>
        <w:rPr>
          <w:spacing w:val="-2"/>
        </w:rPr>
        <w:t> </w:t>
      </w:r>
      <w:r>
        <w:rPr/>
        <w:t>capital</w:t>
      </w:r>
      <w:r>
        <w:rPr>
          <w:spacing w:val="-2"/>
        </w:rPr>
        <w:t> </w:t>
      </w:r>
      <w:r>
        <w:rPr/>
        <w:t>inflows on</w:t>
      </w:r>
      <w:r>
        <w:rPr>
          <w:spacing w:val="-1"/>
        </w:rPr>
        <w:t> </w:t>
      </w:r>
      <w:r>
        <w:rPr/>
        <w:t>theeconomic</w:t>
      </w:r>
      <w:r>
        <w:rPr>
          <w:spacing w:val="-1"/>
        </w:rPr>
        <w:t> </w:t>
      </w:r>
      <w:r>
        <w:rPr/>
        <w:t>growth</w:t>
      </w:r>
      <w:r>
        <w:rPr>
          <w:spacing w:val="-1"/>
        </w:rPr>
        <w:t> </w:t>
      </w:r>
      <w:r>
        <w:rPr/>
        <w:t>of Sub Saharan Africa (SSA), withemphasis on Nigeria, Ghana andSouth Africa using multiple regression technique. Outcomeof the study revealed that there is nosignificant long run relationship betweenforeign capital inflows and the level ofeconomic growth in Nigeriaand South Africa. It was only the lagged valueof GDP (In the immediatepast year), taken as an independent variablethat was found to bepositively significant. Other Inflow indicatorsthat were hitherto significant in theshort run, turned out to beinsignificant in thelong. The</w:t>
      </w:r>
      <w:r>
        <w:rPr>
          <w:spacing w:val="40"/>
        </w:rPr>
        <w:t> </w:t>
      </w:r>
      <w:r>
        <w:rPr/>
        <w:t>scenario was almost thesame for Ghana exceptfor FDI and the lagged valueof GDP (in the immediatepast year), taken as independentvariable that were positively significantin the long run. It was alsorevealed that, there existcausality relationships betweencapital inflow indicators and economicgrowth in theaforementioned countries. Conclusively, it was ascertained thatmost of the investment inflowsinto SSA were based onspeculations, targeted at the non prioritysectors of the economies andchanneled into businesses with shortgestation periods. Their impacts are only felt in theimmediate periods and given that thefunds are quickly repatriatedafter profits are made, theydo not make the desired impact inthe long run.</w:t>
      </w:r>
    </w:p>
    <w:p>
      <w:pPr>
        <w:pStyle w:val="BodyText"/>
        <w:spacing w:line="480" w:lineRule="auto" w:before="160"/>
        <w:ind w:right="733"/>
        <w:jc w:val="both"/>
      </w:pPr>
      <w:r>
        <w:rPr/>
        <w:t>Adu (2013) carried out a study onfinancial integration and economic growthin sub-Saharan Africa using time series datafrom 1996 to 2010. Generalized Methodsof Moment (GMM) dynamic panelestimation was employed in analyzing thedata. The study finds asignificant positive relationship betweenfinancial development and portfolioequity flows. The results also suggests that tradeopenness and political stabilityhave a significant negative relationship with portfolio equityflows in SSA. As a robustcheck, the EGLS estimator confirmsthat there is</w:t>
      </w:r>
      <w:r>
        <w:rPr>
          <w:spacing w:val="27"/>
        </w:rPr>
        <w:t> </w:t>
      </w:r>
      <w:r>
        <w:rPr/>
        <w:t>a</w:t>
      </w:r>
      <w:r>
        <w:rPr>
          <w:spacing w:val="25"/>
        </w:rPr>
        <w:t> </w:t>
      </w:r>
      <w:r>
        <w:rPr/>
        <w:t>robust</w:t>
      </w:r>
      <w:r>
        <w:rPr>
          <w:spacing w:val="26"/>
        </w:rPr>
        <w:t> </w:t>
      </w:r>
      <w:r>
        <w:rPr/>
        <w:t>positive</w:t>
      </w:r>
      <w:r>
        <w:rPr>
          <w:spacing w:val="26"/>
        </w:rPr>
        <w:t> </w:t>
      </w:r>
      <w:r>
        <w:rPr/>
        <w:t>relationshipbetween</w:t>
      </w:r>
      <w:r>
        <w:rPr>
          <w:spacing w:val="25"/>
        </w:rPr>
        <w:t> </w:t>
      </w:r>
      <w:r>
        <w:rPr/>
        <w:t>financial</w:t>
      </w:r>
      <w:r>
        <w:rPr>
          <w:spacing w:val="25"/>
        </w:rPr>
        <w:t> </w:t>
      </w:r>
      <w:r>
        <w:rPr/>
        <w:t>developmentand</w:t>
      </w:r>
      <w:r>
        <w:rPr>
          <w:spacing w:val="25"/>
        </w:rPr>
        <w:t> </w:t>
      </w:r>
      <w:r>
        <w:rPr/>
        <w:t>portfolio</w:t>
      </w:r>
      <w:r>
        <w:rPr>
          <w:spacing w:val="26"/>
        </w:rPr>
        <w:t> </w:t>
      </w:r>
      <w:r>
        <w:rPr/>
        <w:t>equityflows</w:t>
      </w:r>
      <w:r>
        <w:rPr>
          <w:spacing w:val="26"/>
        </w:rPr>
        <w:t> </w:t>
      </w:r>
      <w:r>
        <w:rPr>
          <w:spacing w:val="-5"/>
        </w:rPr>
        <w:t>to</w:t>
      </w:r>
    </w:p>
    <w:p>
      <w:pPr>
        <w:spacing w:after="0" w:line="480" w:lineRule="auto"/>
        <w:jc w:val="both"/>
        <w:sectPr>
          <w:pgSz w:w="12240" w:h="15840"/>
          <w:pgMar w:header="0" w:footer="1012" w:top="1380" w:bottom="1200" w:left="1220" w:right="700"/>
        </w:sectPr>
      </w:pPr>
    </w:p>
    <w:p>
      <w:pPr>
        <w:pStyle w:val="BodyText"/>
        <w:spacing w:line="480" w:lineRule="auto" w:before="60"/>
        <w:ind w:right="736"/>
        <w:jc w:val="both"/>
      </w:pPr>
      <w:r>
        <w:rPr/>
        <w:t>SSA. However, neither tradeopenness nor political stability is arobust determinant of portfolio equityflows to thesub-region.</w:t>
      </w:r>
    </w:p>
    <w:p>
      <w:pPr>
        <w:pStyle w:val="BodyText"/>
        <w:spacing w:line="480" w:lineRule="auto" w:before="160"/>
        <w:ind w:right="735"/>
        <w:jc w:val="both"/>
      </w:pPr>
      <w:r>
        <w:rPr/>
        <mc:AlternateContent>
          <mc:Choice Requires="wps">
            <w:drawing>
              <wp:anchor distT="0" distB="0" distL="0" distR="0" allowOverlap="1" layoutInCell="1" locked="0" behindDoc="1" simplePos="0" relativeHeight="478075392">
                <wp:simplePos x="0" y="0"/>
                <wp:positionH relativeFrom="page">
                  <wp:posOffset>950112</wp:posOffset>
                </wp:positionH>
                <wp:positionV relativeFrom="paragraph">
                  <wp:posOffset>552765</wp:posOffset>
                </wp:positionV>
                <wp:extent cx="5505450" cy="5661025"/>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41088" id="docshape146"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Ahmed (2011) took a cursory look at the empirical relationshipbetween growth andfinancial openness proxied by portfolioequity flows across the 25 countriesin the Sub-Saharan region from 1976 to2008. The study employed GMM methodology using bothreports of IMF’s AREAER </w:t>
      </w:r>
      <w:r>
        <w:rPr>
          <w:i/>
        </w:rPr>
        <w:t>de jure </w:t>
      </w:r>
      <w:r>
        <w:rPr/>
        <w:t>measureand the stock of external liabilityand asset aggregationto GDP de facto measure as a proxyfor financial integrationfor panel dataanalysis. The financial openness’s coefficient indicatorwould turn to be positive inmany of the incidencesmaking</w:t>
      </w:r>
      <w:r>
        <w:rPr>
          <w:spacing w:val="40"/>
        </w:rPr>
        <w:t> </w:t>
      </w:r>
      <w:r>
        <w:rPr/>
        <w:t>the study to find itdifficult in establishing arobust link in relation to thefinancial openness</w:t>
      </w:r>
      <w:r>
        <w:rPr>
          <w:spacing w:val="40"/>
        </w:rPr>
        <w:t> </w:t>
      </w:r>
      <w:r>
        <w:rPr/>
        <w:t>and growth. The study providedviews that did not support thatfinancial integration promoted economic growthin Sub-Saharan Africa. However, the study observed thatfinancial openness had enhanced economicgrowth through indirectchannels such aspromoting domestic</w:t>
      </w:r>
      <w:r>
        <w:rPr>
          <w:spacing w:val="40"/>
        </w:rPr>
        <w:t> </w:t>
      </w:r>
      <w:r>
        <w:rPr/>
        <w:t>financial market developmentand products.</w:t>
      </w:r>
    </w:p>
    <w:p>
      <w:pPr>
        <w:pStyle w:val="BodyText"/>
        <w:spacing w:line="480" w:lineRule="auto" w:before="161"/>
        <w:ind w:right="735"/>
        <w:jc w:val="both"/>
      </w:pPr>
      <w:r>
        <w:rPr/>
        <w:t>Muthoga (2012) investigated the impact thatwould result from regionalfinancial integration on growthamong East Africacountries (EAC) for the period 2000 to2009. System GMM dynamic panelmethodology was applied to assess thecross-country growthand intra-regional trade effects ofregional financial integration. Bank interestrate spread, real exchangerates,</w:t>
      </w:r>
      <w:r>
        <w:rPr>
          <w:spacing w:val="40"/>
        </w:rPr>
        <w:t> </w:t>
      </w:r>
      <w:r>
        <w:rPr/>
        <w:t>and governmentsecurity rates were used as aproxy measure of regional financialintegration. The</w:t>
      </w:r>
      <w:r>
        <w:rPr>
          <w:spacing w:val="-3"/>
        </w:rPr>
        <w:t> </w:t>
      </w:r>
      <w:r>
        <w:rPr/>
        <w:t>study</w:t>
      </w:r>
      <w:r>
        <w:rPr>
          <w:spacing w:val="-2"/>
        </w:rPr>
        <w:t> </w:t>
      </w:r>
      <w:r>
        <w:rPr/>
        <w:t>includedcontrol</w:t>
      </w:r>
      <w:r>
        <w:rPr>
          <w:spacing w:val="-2"/>
        </w:rPr>
        <w:t> </w:t>
      </w:r>
      <w:r>
        <w:rPr/>
        <w:t>variables</w:t>
      </w:r>
      <w:r>
        <w:rPr>
          <w:spacing w:val="-1"/>
        </w:rPr>
        <w:t> </w:t>
      </w:r>
      <w:r>
        <w:rPr/>
        <w:t>such</w:t>
      </w:r>
      <w:r>
        <w:rPr>
          <w:spacing w:val="-3"/>
        </w:rPr>
        <w:t> </w:t>
      </w:r>
      <w:r>
        <w:rPr/>
        <w:t>asgovernmental</w:t>
      </w:r>
      <w:r>
        <w:rPr>
          <w:spacing w:val="-3"/>
        </w:rPr>
        <w:t> </w:t>
      </w:r>
      <w:r>
        <w:rPr/>
        <w:t>balance</w:t>
      </w:r>
      <w:r>
        <w:rPr>
          <w:spacing w:val="-3"/>
        </w:rPr>
        <w:t> </w:t>
      </w:r>
      <w:r>
        <w:rPr/>
        <w:t>toact</w:t>
      </w:r>
      <w:r>
        <w:rPr>
          <w:spacing w:val="-2"/>
        </w:rPr>
        <w:t> </w:t>
      </w:r>
      <w:r>
        <w:rPr/>
        <w:t>as</w:t>
      </w:r>
      <w:r>
        <w:rPr>
          <w:spacing w:val="-1"/>
        </w:rPr>
        <w:t> </w:t>
      </w:r>
      <w:r>
        <w:rPr/>
        <w:t>a</w:t>
      </w:r>
      <w:r>
        <w:rPr>
          <w:spacing w:val="-3"/>
        </w:rPr>
        <w:t> </w:t>
      </w:r>
      <w:r>
        <w:rPr/>
        <w:t>GDP percentage, the lagged economicrate of growth, the inflation rateand corruption perceptionindex, Rwandan dummy variableand FDI to act as apercentage of GDP. The study established that the</w:t>
      </w:r>
      <w:r>
        <w:rPr>
          <w:spacing w:val="-6"/>
        </w:rPr>
        <w:t> </w:t>
      </w:r>
      <w:r>
        <w:rPr/>
        <w:t>region’s</w:t>
      </w:r>
      <w:r>
        <w:rPr>
          <w:spacing w:val="-4"/>
        </w:rPr>
        <w:t> </w:t>
      </w:r>
      <w:r>
        <w:rPr/>
        <w:t>(EAC)financial</w:t>
      </w:r>
      <w:r>
        <w:rPr>
          <w:spacing w:val="-5"/>
        </w:rPr>
        <w:t> </w:t>
      </w:r>
      <w:r>
        <w:rPr/>
        <w:t>integration</w:t>
      </w:r>
      <w:r>
        <w:rPr>
          <w:spacing w:val="-6"/>
        </w:rPr>
        <w:t> </w:t>
      </w:r>
      <w:r>
        <w:rPr/>
        <w:t>significantly</w:t>
      </w:r>
      <w:r>
        <w:rPr>
          <w:spacing w:val="-5"/>
        </w:rPr>
        <w:t> </w:t>
      </w:r>
      <w:r>
        <w:rPr/>
        <w:t>accelerated</w:t>
      </w:r>
      <w:r>
        <w:rPr>
          <w:spacing w:val="-6"/>
        </w:rPr>
        <w:t> </w:t>
      </w:r>
      <w:r>
        <w:rPr/>
        <w:t>thegeneral</w:t>
      </w:r>
      <w:r>
        <w:rPr>
          <w:spacing w:val="-5"/>
        </w:rPr>
        <w:t> </w:t>
      </w:r>
      <w:r>
        <w:rPr/>
        <w:t>EAC’s</w:t>
      </w:r>
      <w:r>
        <w:rPr>
          <w:spacing w:val="-5"/>
        </w:rPr>
        <w:t> </w:t>
      </w:r>
      <w:r>
        <w:rPr>
          <w:spacing w:val="-2"/>
        </w:rPr>
        <w:t>economic</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75904">
                <wp:simplePos x="0" y="0"/>
                <wp:positionH relativeFrom="page">
                  <wp:posOffset>950112</wp:posOffset>
                </wp:positionH>
                <wp:positionV relativeFrom="paragraph">
                  <wp:posOffset>1321053</wp:posOffset>
                </wp:positionV>
                <wp:extent cx="5505450" cy="566102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40576" id="docshape147"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growth thus complementedintra-regional trade amongthe EAC member countries. However, the study establishedthat the effect ofregional financial integration oneconomic growth differed among membercountry since they havedifferent characteristics betweenthe</w:t>
      </w:r>
      <w:r>
        <w:rPr>
          <w:spacing w:val="40"/>
        </w:rPr>
        <w:t> </w:t>
      </w:r>
      <w:r>
        <w:rPr/>
        <w:t>countries. In addition, the effectof regional financial integrationon intra-regional tradedid not differ among membercountries.</w:t>
      </w:r>
    </w:p>
    <w:p>
      <w:pPr>
        <w:pStyle w:val="BodyText"/>
        <w:spacing w:line="480" w:lineRule="auto" w:before="161"/>
        <w:ind w:right="734"/>
        <w:jc w:val="both"/>
      </w:pPr>
      <w:r>
        <w:rPr/>
        <w:t>Antwi, Atta Mills, Atta Millsand Xicang (2013) studied the impactof foreign direct investment oneconomic growth: empiricalevidence from Ghana. The study aims tostudy the relationship betweenFDI and economic growthin Ghana for the period1980-2010 using time series data. The variables used in thestudy include The GDPGDP growth rate, GNI, Manufacturing ValueAdded, External DebtStock, Inflation, TradeIndustry Value added and Foreign DirectInvestment net inflows as percentof GDP (FDI ratio). The study used the simple ordinary leastsquare (OLS) regressions and theempirical analysis is conducted by using annualdata on FDI andother variables over the periods1980 to 2010. The study reveals that independentvariables GDP, GDPg, GNI, MVAGDPc and TRA are allsignificant to explain FDI sincetheir corresponding p-valuesof</w:t>
      </w:r>
      <w:r>
        <w:rPr>
          <w:spacing w:val="-1"/>
        </w:rPr>
        <w:t> </w:t>
      </w:r>
      <w:r>
        <w:rPr/>
        <w:t>the t-statistic are</w:t>
      </w:r>
      <w:r>
        <w:rPr>
          <w:spacing w:val="-1"/>
        </w:rPr>
        <w:t> </w:t>
      </w:r>
      <w:r>
        <w:rPr/>
        <w:t>less than 5 percentand thus have an influenceof FDI in Ghana. This study ignored theimportant aspect of FDIwhich is human capital development.</w:t>
      </w:r>
    </w:p>
    <w:p>
      <w:pPr>
        <w:pStyle w:val="BodyText"/>
        <w:spacing w:line="480" w:lineRule="auto" w:before="160"/>
        <w:ind w:right="735"/>
        <w:jc w:val="both"/>
      </w:pPr>
      <w:r>
        <w:rPr/>
        <w:t>Moyo (2013) carried out astudy on the impactof FDI on economic growth inZimbabwe. In that study, Moyo (2013) used amultiple regression model thatlinked FDI as well asother macroeconomic variablessuch as government expenditureand private saving togross</w:t>
      </w:r>
      <w:r>
        <w:rPr>
          <w:spacing w:val="40"/>
        </w:rPr>
        <w:t> </w:t>
      </w:r>
      <w:r>
        <w:rPr/>
        <w:t>domestic product, it was found thatforeign direct investmenthad a very significantpositive impact</w:t>
      </w:r>
      <w:r>
        <w:rPr>
          <w:spacing w:val="24"/>
        </w:rPr>
        <w:t> </w:t>
      </w:r>
      <w:r>
        <w:rPr/>
        <w:t>on</w:t>
      </w:r>
      <w:r>
        <w:rPr>
          <w:spacing w:val="27"/>
        </w:rPr>
        <w:t> </w:t>
      </w:r>
      <w:r>
        <w:rPr/>
        <w:t>economicgrowth</w:t>
      </w:r>
      <w:r>
        <w:rPr>
          <w:spacing w:val="25"/>
        </w:rPr>
        <w:t> </w:t>
      </w:r>
      <w:r>
        <w:rPr/>
        <w:t>in</w:t>
      </w:r>
      <w:r>
        <w:rPr>
          <w:spacing w:val="26"/>
        </w:rPr>
        <w:t> </w:t>
      </w:r>
      <w:r>
        <w:rPr/>
        <w:t>thecountry.</w:t>
      </w:r>
      <w:r>
        <w:rPr>
          <w:spacing w:val="26"/>
        </w:rPr>
        <w:t> </w:t>
      </w:r>
      <w:r>
        <w:rPr/>
        <w:t>A</w:t>
      </w:r>
      <w:r>
        <w:rPr>
          <w:spacing w:val="28"/>
        </w:rPr>
        <w:t> </w:t>
      </w:r>
      <w:r>
        <w:rPr/>
        <w:t>study</w:t>
      </w:r>
      <w:r>
        <w:rPr>
          <w:spacing w:val="26"/>
        </w:rPr>
        <w:t> </w:t>
      </w:r>
      <w:r>
        <w:rPr/>
        <w:t>was</w:t>
      </w:r>
      <w:r>
        <w:rPr>
          <w:spacing w:val="26"/>
        </w:rPr>
        <w:t> </w:t>
      </w:r>
      <w:r>
        <w:rPr/>
        <w:t>carriedout</w:t>
      </w:r>
      <w:r>
        <w:rPr>
          <w:spacing w:val="26"/>
        </w:rPr>
        <w:t> </w:t>
      </w:r>
      <w:r>
        <w:rPr/>
        <w:t>by</w:t>
      </w:r>
      <w:r>
        <w:rPr>
          <w:spacing w:val="26"/>
        </w:rPr>
        <w:t> </w:t>
      </w:r>
      <w:r>
        <w:rPr/>
        <w:t>Barua</w:t>
      </w:r>
      <w:r>
        <w:rPr>
          <w:spacing w:val="25"/>
        </w:rPr>
        <w:t> </w:t>
      </w:r>
      <w:r>
        <w:rPr/>
        <w:t>(2013)</w:t>
      </w:r>
      <w:r>
        <w:rPr>
          <w:spacing w:val="26"/>
        </w:rPr>
        <w:t> </w:t>
      </w:r>
      <w:r>
        <w:rPr/>
        <w:t>on</w:t>
      </w:r>
      <w:r>
        <w:rPr>
          <w:spacing w:val="25"/>
        </w:rPr>
        <w:t> </w:t>
      </w:r>
      <w:r>
        <w:rPr>
          <w:spacing w:val="-5"/>
        </w:rPr>
        <w:t>the</w:t>
      </w:r>
    </w:p>
    <w:p>
      <w:pPr>
        <w:spacing w:after="0" w:line="480" w:lineRule="auto"/>
        <w:jc w:val="both"/>
        <w:sectPr>
          <w:pgSz w:w="12240" w:h="15840"/>
          <w:pgMar w:header="0" w:footer="1012" w:top="1380" w:bottom="1200" w:left="1220" w:right="700"/>
        </w:sectPr>
      </w:pPr>
    </w:p>
    <w:p>
      <w:pPr>
        <w:pStyle w:val="BodyText"/>
        <w:spacing w:line="480" w:lineRule="auto" w:before="60"/>
        <w:ind w:right="736"/>
        <w:jc w:val="both"/>
      </w:pPr>
      <w:r>
        <w:rPr/>
        <w:t>dynamics ofco-integration between FDI, Growthand exports in the Indianeconomy for the period 2000 to2012. By framing simple and multipleregression models, the resultsof the study found thatFDI, GDP andexports were positively correlated.</w:t>
      </w:r>
    </w:p>
    <w:p>
      <w:pPr>
        <w:pStyle w:val="BodyText"/>
        <w:spacing w:line="480" w:lineRule="auto" w:before="161"/>
        <w:ind w:right="736"/>
        <w:jc w:val="both"/>
      </w:pPr>
      <w:r>
        <w:rPr/>
        <mc:AlternateContent>
          <mc:Choice Requires="wps">
            <w:drawing>
              <wp:anchor distT="0" distB="0" distL="0" distR="0" allowOverlap="1" layoutInCell="1" locked="0" behindDoc="1" simplePos="0" relativeHeight="478076416">
                <wp:simplePos x="0" y="0"/>
                <wp:positionH relativeFrom="page">
                  <wp:posOffset>950112</wp:posOffset>
                </wp:positionH>
                <wp:positionV relativeFrom="paragraph">
                  <wp:posOffset>187671</wp:posOffset>
                </wp:positionV>
                <wp:extent cx="5505450" cy="5661025"/>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4.777295pt;width:433.5pt;height:445.75pt;mso-position-horizontal-relative:page;mso-position-vertical-relative:paragraph;z-index:-25240064" id="docshape148" coordorigin="1496,296" coordsize="8670,8915" path="m2562,9015l1691,8144,1496,8339,2367,9210,2562,9015xm3154,8339l3153,8300,3148,8257,3139,8213,3125,8169,3106,8126,3083,8082,3055,8040,3025,7999,2991,7959,2954,7920,2435,7400,2241,7595,2772,8126,2805,8162,2829,8198,2846,8232,2856,8267,2858,8299,2851,8330,2837,8358,2816,8385,2790,8406,2761,8420,2730,8426,2697,8424,2663,8414,2628,8398,2593,8373,2557,8342,2026,7810,1831,8004,2351,8523,2385,8556,2424,8588,2468,8620,2516,8653,2548,8672,2583,8687,2620,8701,2658,8711,2697,8719,2733,8723,2767,8723,2800,8720,2831,8713,2863,8701,2895,8685,2926,8664,2957,8641,2985,8618,3011,8595,3035,8573,3071,8532,3102,8492,3125,8450,3142,8408,3150,8375,3154,8339xm3882,7556l3876,7492,3860,7426,3834,7360,3806,7305,3771,7249,3728,7192,3678,7133,3661,7114,3621,7072,3597,7050,3597,7544,3592,7584,3577,7621,3551,7654,3518,7679,3481,7694,3441,7699,3396,7693,3347,7674,3294,7643,3235,7598,3171,7539,3112,7475,3066,7416,3035,7361,3016,7312,3010,7268,3014,7228,3029,7192,3053,7160,3086,7134,3122,7119,3163,7114,3207,7119,3255,7136,3307,7166,3363,7208,3423,7263,3488,7333,3538,7396,3572,7452,3591,7500,3597,7544,3597,7050,3551,7007,3482,6952,3413,6907,3344,6872,3276,6846,3209,6830,3130,6824,3055,6834,2983,6860,2914,6900,2850,6956,2796,7019,2756,7087,2732,7159,2723,7234,2729,7314,2746,7382,2772,7451,2808,7521,2854,7591,2910,7661,2976,7732,3036,7789,3096,7839,3156,7881,3215,7916,3273,7943,3344,7967,3411,7981,3475,7984,3535,7978,3593,7962,3649,7935,3705,7897,3758,7849,3805,7795,3841,7739,3858,7699,3866,7680,3879,7619,3882,7556xm4153,6976l3966,6789,3712,7044,3899,7231,4153,6976xm4664,6914l3793,6043,3598,6238,4469,7109,4664,6914xm4998,6580l4675,6256,4781,6150,4832,6090,4837,6080,4866,6028,4883,5965,4882,5900,4866,5835,4843,5784,4836,5769,4792,5703,4733,5637,4670,5580,4607,5537,4598,5532,4598,5926,4597,5951,4587,5977,4570,6004,4546,6032,4498,6080,4304,5885,4359,5830,4386,5807,4412,5791,4438,5784,4462,5784,4486,5791,4509,5801,4531,5815,4552,5834,4570,5855,4584,5878,4593,5901,4598,5926,4598,5532,4544,5507,4483,5491,4423,5490,4365,5505,4309,5535,4255,5580,3931,5904,4803,6775,4998,6580xm5788,5790l5132,5134,5330,4935,5115,4720,4524,5312,4739,5527,4937,5328,5593,5984,5788,5790xm6423,5154l5767,4498,5966,4300,5751,4085,5159,4676,5374,4891,5573,4693,6229,5349,6423,5154xm7157,4281l7151,4217,7135,4151,7109,4085,7081,4030,7046,3974,7003,3917,6953,3858,6935,3839,6896,3798,6872,3775,6872,4269,6867,4309,6851,4346,6825,4379,6793,4405,6756,4420,6716,4424,6671,4418,6622,4399,6569,4368,6510,4323,6446,4264,6387,4200,6341,4141,6309,4086,6291,4037,6285,3993,6289,3953,6304,3917,6328,3885,6361,3860,6397,3844,6438,3839,6482,3844,6530,3862,6582,3891,6638,3934,6698,3989,6763,4058,6813,4121,6847,4177,6866,4226,6872,4269,6872,3775,6826,3732,6756,3677,6687,3632,6619,3597,6551,3571,6483,3555,6405,3550,6329,3560,6258,3585,6189,3625,6125,3681,6071,3744,6031,3812,6007,3884,5998,3959,6004,4039,6021,4107,6047,4176,6083,4246,6129,4316,6184,4386,6250,4457,6311,4514,6371,4564,6431,4606,6490,4641,6548,4668,6619,4692,6686,4706,6750,4710,6810,4703,6868,4687,6924,4660,6979,4622,7033,4574,7080,4520,7116,4464,7133,4424,7141,4405,7154,4344,7157,4281xm8170,3286l8165,3237,8153,3186,8134,3134,8109,3079,8079,3023,8041,2966,7980,2991,7799,3065,7831,3112,7855,3155,7873,3195,7884,3233,7887,3268,7881,3301,7866,3332,7843,3361,7812,3385,7778,3399,7740,3403,7700,3397,7653,3378,7600,3344,7538,3295,7469,3230,7417,3174,7375,3122,7344,3074,7324,3031,7311,2980,7312,2933,7325,2892,7352,2856,7367,2843,7384,2833,7402,2825,7422,2820,7442,2818,7464,2819,7486,2822,7509,2828,7524,2834,7542,2842,7563,2853,7586,2867,7705,2642,7622,2596,7543,2564,7469,2545,7400,2539,7333,2547,7269,2569,7206,2607,7146,2660,7092,2722,7054,2789,7030,2859,7021,2933,7027,3011,7044,3078,7070,3145,7106,3214,7153,3284,7209,3355,7276,3427,7341,3487,7404,3539,7467,3583,7529,3618,7590,3646,7662,3669,7730,3682,7791,3685,7847,3678,7900,3661,7952,3635,8004,3598,8056,3552,8094,3509,8125,3466,8147,3422,8161,3378,8169,3333,8170,3286xm8868,2570l8861,2506,8846,2441,8820,2374,8792,2319,8757,2263,8714,2206,8664,2147,8646,2128,8607,2087,8583,2064,8583,2558,8578,2598,8562,2635,8536,2668,8504,2694,8467,2709,8427,2713,8382,2707,8333,2689,8279,2657,8221,2612,8157,2553,8098,2489,8052,2430,8020,2376,8002,2327,7996,2282,8000,2242,8014,2206,8039,2174,8071,2149,8108,2133,8149,2128,8193,2133,8241,2151,8293,2180,8349,2223,8409,2278,8474,2347,8524,2410,8558,2466,8577,2515,8583,2558,8583,2064,8537,2021,8467,1966,8398,1921,8330,1886,8262,1860,8194,1844,8116,1839,8040,1849,7968,1874,7900,1915,7835,1970,7781,2034,7742,2101,7718,2173,7709,2249,7715,2328,7731,2397,7758,2466,7794,2535,7839,2605,7895,2676,7961,2746,8022,2804,8082,2853,8142,2895,8201,2930,8259,2957,8329,2982,8397,2995,8461,2999,8521,2992,8579,2976,8635,2949,8690,2911,8744,2863,8791,2809,8827,2753,8844,2713,8852,2694,8865,2633,8868,2570xm9348,2229l9025,1906,9132,1799,9182,1739,9188,1730,9216,1678,9233,1615,9233,1550,9217,1484,9194,1433,9187,1418,9142,1353,9084,1287,9020,1229,8957,1186,8948,1182,8948,1575,8947,1601,8938,1627,8921,1654,8896,1682,8849,1730,8654,1535,8710,1480,8737,1456,8763,1441,8788,1433,8812,1434,8836,1440,8859,1451,8881,1465,8902,1484,8920,1505,8934,1528,8943,1551,8948,1575,8948,1182,8895,1157,8833,1141,8773,1140,8715,1155,8659,1185,8605,1230,8282,1554,9153,2425,9348,2229xm10166,1412l9801,1047,9748,897,9593,446,9540,296,9325,511,9353,581,9436,792,9492,932,9422,904,9211,821,9071,765,8854,981,9005,1034,9456,1189,9606,1242,9971,1607,10166,1412xe" filled="true" fillcolor="#c0c0c0" stroked="false">
                <v:path arrowok="t"/>
                <v:fill opacity="32896f" type="solid"/>
                <w10:wrap type="none"/>
              </v:shape>
            </w:pict>
          </mc:Fallback>
        </mc:AlternateContent>
      </w:r>
      <w:r>
        <w:rPr/>
        <w:t>Maliwa and Nyambe (2015) investigated theImpact of FDI on economicgrowth in Zambia. Data used wasobtained from the World Bank’sworld development indicators for theperiod 1980 to 2012. A unit roottest was used to determinewhether or not the data wasstationary. The Johansen cointegrationtest was thenused to test forcointegration. Additionally the Granger causalityprocedure was used to test thedirection of causalitybetween foreign direct investmentand economic growth. It was revealed that all theindependent variableswere non- stationary in levelform but were all foundto be stationary after firstdifferencing them.</w:t>
      </w:r>
      <w:r>
        <w:rPr>
          <w:spacing w:val="40"/>
        </w:rPr>
        <w:t> </w:t>
      </w:r>
      <w:r>
        <w:rPr/>
        <w:t>Further, thevariables were integrated of orderone, I (1) and also that there existeda long run relationship among thevariables for the period1980 to 2012. In the samemanner, the results showed that FDIdoes not granger causeeconomic growth in Zambia.</w:t>
      </w:r>
    </w:p>
    <w:p>
      <w:pPr>
        <w:pStyle w:val="BodyText"/>
        <w:spacing w:line="480" w:lineRule="auto" w:before="160"/>
        <w:ind w:right="733"/>
        <w:jc w:val="both"/>
      </w:pPr>
      <w:r>
        <w:rPr/>
        <w:t>Keho and Grace Wang (2017) assessed the interaction thatexists between trade opennessand economic growthin Cote d’Ivoire overthe period 1965 to 2014 using amultivariate</w:t>
      </w:r>
      <w:r>
        <w:rPr>
          <w:spacing w:val="40"/>
        </w:rPr>
        <w:t> </w:t>
      </w:r>
      <w:r>
        <w:rPr/>
        <w:t>framework thatincorporated the role ofcapital stock and labor. The results shows thattrade openness promoteseconomic growth in theeconomy. From the empiricalestimates, the positive growth effectsof openness of the economyto trade remains significanteven in the long-run. The study also documented apositive and strongcomplementary interaction</w:t>
      </w:r>
      <w:r>
        <w:rPr>
          <w:spacing w:val="40"/>
        </w:rPr>
        <w:t> </w:t>
      </w:r>
      <w:r>
        <w:rPr/>
        <w:t>between trade opennessand capital formation in thepromotion of economicgrowth in Cote </w:t>
      </w:r>
      <w:r>
        <w:rPr>
          <w:spacing w:val="-2"/>
        </w:rPr>
        <w:t>d’Ivoire.</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76928">
                <wp:simplePos x="0" y="0"/>
                <wp:positionH relativeFrom="page">
                  <wp:posOffset>950112</wp:posOffset>
                </wp:positionH>
                <wp:positionV relativeFrom="paragraph">
                  <wp:posOffset>1321053</wp:posOffset>
                </wp:positionV>
                <wp:extent cx="5505450" cy="5661025"/>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39552" id="docshape149"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Malefane and Odhiambo (2019) explored thedynamic impact of tradeopenness on economic growth in Lesothocovering the period from1979 to 2013. Using ARDLapproach tolong-run analysis and four measuresof trade openness, capturingthe role of total tradeexports, imports, and country size andgeography in trade, the study shows thatopenness of the economy to trade has nosignificant impact oneconomic growth in Lesotho. This economiccondition</w:t>
      </w:r>
      <w:r>
        <w:rPr>
          <w:spacing w:val="80"/>
        </w:rPr>
        <w:t> </w:t>
      </w:r>
      <w:r>
        <w:rPr/>
        <w:t>exists for bothshort-run and long-runanalyses and remains theconclusion of the study irrespectiveof the measure of tradeopenness considered. Tang et al. (2019) investigated the relationship</w:t>
      </w:r>
      <w:r>
        <w:rPr>
          <w:spacing w:val="-2"/>
        </w:rPr>
        <w:t> </w:t>
      </w:r>
      <w:r>
        <w:rPr/>
        <w:t>between</w:t>
      </w:r>
      <w:r>
        <w:rPr>
          <w:spacing w:val="-3"/>
        </w:rPr>
        <w:t> </w:t>
      </w:r>
      <w:r>
        <w:rPr/>
        <w:t>tradeopenness</w:t>
      </w:r>
      <w:r>
        <w:rPr>
          <w:spacing w:val="-1"/>
        </w:rPr>
        <w:t> </w:t>
      </w:r>
      <w:r>
        <w:rPr/>
        <w:t>and</w:t>
      </w:r>
      <w:r>
        <w:rPr>
          <w:spacing w:val="-3"/>
        </w:rPr>
        <w:t> </w:t>
      </w:r>
      <w:r>
        <w:rPr/>
        <w:t>economic</w:t>
      </w:r>
      <w:r>
        <w:rPr>
          <w:spacing w:val="-3"/>
        </w:rPr>
        <w:t> </w:t>
      </w:r>
      <w:r>
        <w:rPr/>
        <w:t>growthin</w:t>
      </w:r>
      <w:r>
        <w:rPr>
          <w:spacing w:val="-2"/>
        </w:rPr>
        <w:t> </w:t>
      </w:r>
      <w:r>
        <w:rPr/>
        <w:t>Mauritius</w:t>
      </w:r>
      <w:r>
        <w:rPr>
          <w:spacing w:val="-3"/>
        </w:rPr>
        <w:t> </w:t>
      </w:r>
      <w:r>
        <w:rPr/>
        <w:t>over</w:t>
      </w:r>
      <w:r>
        <w:rPr>
          <w:spacing w:val="-2"/>
        </w:rPr>
        <w:t> </w:t>
      </w:r>
      <w:r>
        <w:rPr/>
        <w:t>theperiod</w:t>
      </w:r>
      <w:r>
        <w:rPr>
          <w:spacing w:val="-2"/>
        </w:rPr>
        <w:t> </w:t>
      </w:r>
      <w:r>
        <w:rPr/>
        <w:t>1963</w:t>
      </w:r>
      <w:r>
        <w:rPr>
          <w:spacing w:val="-2"/>
        </w:rPr>
        <w:t> </w:t>
      </w:r>
      <w:r>
        <w:rPr/>
        <w:t>to 2013. The results show thattrade openness contributes toeconomic growth in thesmall island economy. However, thecoefficient of trade opennessin the empirical analysis shows thatthe positive economic growtheffect of trade openness is weakand import-led.</w:t>
      </w:r>
    </w:p>
    <w:p>
      <w:pPr>
        <w:pStyle w:val="BodyText"/>
        <w:spacing w:before="161"/>
        <w:ind w:left="0"/>
      </w:pPr>
    </w:p>
    <w:p>
      <w:pPr>
        <w:pStyle w:val="Heading2"/>
        <w:numPr>
          <w:ilvl w:val="2"/>
          <w:numId w:val="21"/>
        </w:numPr>
        <w:tabs>
          <w:tab w:pos="780" w:val="left" w:leader="none"/>
        </w:tabs>
        <w:spacing w:line="240" w:lineRule="auto" w:before="0" w:after="0"/>
        <w:ind w:left="780" w:right="0" w:hanging="560"/>
        <w:jc w:val="left"/>
      </w:pPr>
      <w:bookmarkStart w:name="_TOC_250036" w:id="39"/>
      <w:r>
        <w:rPr/>
        <w:t>Studies</w:t>
      </w:r>
      <w:r>
        <w:rPr>
          <w:spacing w:val="-8"/>
        </w:rPr>
        <w:t> </w:t>
      </w:r>
      <w:r>
        <w:rPr/>
        <w:t>Within</w:t>
      </w:r>
      <w:r>
        <w:rPr>
          <w:spacing w:val="-7"/>
        </w:rPr>
        <w:t> </w:t>
      </w:r>
      <w:bookmarkEnd w:id="39"/>
      <w:r>
        <w:rPr>
          <w:spacing w:val="-2"/>
        </w:rPr>
        <w:t>Nigeria</w:t>
      </w:r>
    </w:p>
    <w:p>
      <w:pPr>
        <w:pStyle w:val="BodyText"/>
        <w:spacing w:before="160"/>
        <w:ind w:left="0"/>
        <w:rPr>
          <w:b/>
        </w:rPr>
      </w:pPr>
    </w:p>
    <w:p>
      <w:pPr>
        <w:pStyle w:val="BodyText"/>
        <w:spacing w:line="480" w:lineRule="auto"/>
        <w:ind w:right="736"/>
        <w:jc w:val="both"/>
      </w:pPr>
      <w:r>
        <w:rPr/>
        <w:t>Ezeaku, Anyalechi, Onwumere and Okereke (2018) examined the driversof international financial integrationand their implications on theNigerian economy using errorcorrection model approachfrom 1986 to 2015. The errorcorrection model was employed toregress the key determinantsof IFI against GDPgrowth, and to ascertain the speedof adjustment. The results showedthat financial marketcapitalisation and trade opennessboth have negative and insignificantinfluence on economicgrowth. The real effectiveexchange rate has positivebut insignificant effecton economic growth while inflationexerted positive and significantimpact on theeconomy. The Engel and Grangercointegration test result shows evidenceof long-run association</w:t>
      </w:r>
      <w:r>
        <w:rPr>
          <w:spacing w:val="40"/>
        </w:rPr>
        <w:t> </w:t>
      </w:r>
      <w:r>
        <w:rPr/>
        <w:t>betweeneconomic</w:t>
      </w:r>
      <w:r>
        <w:rPr>
          <w:spacing w:val="41"/>
        </w:rPr>
        <w:t> </w:t>
      </w:r>
      <w:r>
        <w:rPr/>
        <w:t>growthand</w:t>
      </w:r>
      <w:r>
        <w:rPr>
          <w:spacing w:val="42"/>
        </w:rPr>
        <w:t> </w:t>
      </w:r>
      <w:r>
        <w:rPr/>
        <w:t>the</w:t>
      </w:r>
      <w:r>
        <w:rPr>
          <w:spacing w:val="40"/>
        </w:rPr>
        <w:t> </w:t>
      </w:r>
      <w:r>
        <w:rPr/>
        <w:t>independent</w:t>
      </w:r>
      <w:r>
        <w:rPr>
          <w:spacing w:val="42"/>
        </w:rPr>
        <w:t> </w:t>
      </w:r>
      <w:r>
        <w:rPr/>
        <w:t>variables.</w:t>
      </w:r>
      <w:r>
        <w:rPr>
          <w:spacing w:val="43"/>
        </w:rPr>
        <w:t> </w:t>
      </w:r>
      <w:r>
        <w:rPr/>
        <w:t>Thedynamic</w:t>
      </w:r>
      <w:r>
        <w:rPr>
          <w:spacing w:val="40"/>
        </w:rPr>
        <w:t> </w:t>
      </w:r>
      <w:r>
        <w:rPr>
          <w:spacing w:val="-2"/>
        </w:rPr>
        <w:t>estimate</w:t>
      </w:r>
    </w:p>
    <w:p>
      <w:pPr>
        <w:spacing w:after="0" w:line="480" w:lineRule="auto"/>
        <w:jc w:val="both"/>
        <w:sectPr>
          <w:pgSz w:w="12240" w:h="15840"/>
          <w:pgMar w:header="0" w:footer="1012" w:top="1380" w:bottom="1200" w:left="1220" w:right="700"/>
        </w:sectPr>
      </w:pPr>
    </w:p>
    <w:p>
      <w:pPr>
        <w:pStyle w:val="BodyText"/>
        <w:spacing w:line="480" w:lineRule="auto" w:before="60"/>
        <w:ind w:right="738"/>
        <w:jc w:val="both"/>
      </w:pPr>
      <w:r>
        <w:rPr/>
        <w:t>provided evidenceof long-run causalityrunning from IFI determinants toeconomic growth. The coefficient of theerror correction termindicates that the system corrects disequilibriumin the previousperiod at thespeed of 81.43% annuallyto get at thesteady state.</w:t>
      </w:r>
    </w:p>
    <w:p>
      <w:pPr>
        <w:pStyle w:val="BodyText"/>
        <w:spacing w:line="480" w:lineRule="auto" w:before="161"/>
        <w:ind w:right="734"/>
        <w:jc w:val="both"/>
      </w:pPr>
      <w:r>
        <w:rPr/>
        <mc:AlternateContent>
          <mc:Choice Requires="wps">
            <w:drawing>
              <wp:anchor distT="0" distB="0" distL="0" distR="0" allowOverlap="1" layoutInCell="1" locked="0" behindDoc="1" simplePos="0" relativeHeight="478077440">
                <wp:simplePos x="0" y="0"/>
                <wp:positionH relativeFrom="page">
                  <wp:posOffset>950112</wp:posOffset>
                </wp:positionH>
                <wp:positionV relativeFrom="paragraph">
                  <wp:posOffset>187671</wp:posOffset>
                </wp:positionV>
                <wp:extent cx="5505450" cy="5661025"/>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4.777295pt;width:433.5pt;height:445.75pt;mso-position-horizontal-relative:page;mso-position-vertical-relative:paragraph;z-index:-25239040" id="docshape150" coordorigin="1496,296" coordsize="8670,8915" path="m2562,9015l1691,8144,1496,8339,2367,9210,2562,9015xm3154,8339l3153,8300,3148,8257,3139,8213,3125,8169,3106,8126,3083,8082,3055,8040,3025,7999,2991,7959,2954,7920,2435,7400,2241,7595,2772,8126,2805,8162,2829,8198,2846,8232,2856,8267,2858,8299,2851,8330,2837,8358,2816,8385,2790,8406,2761,8420,2730,8426,2697,8424,2663,8414,2628,8398,2593,8373,2557,8342,2026,7810,1831,8004,2351,8523,2385,8556,2424,8588,2468,8620,2516,8653,2548,8672,2583,8687,2620,8701,2658,8711,2697,8719,2733,8723,2767,8723,2800,8720,2831,8713,2863,8701,2895,8685,2926,8664,2957,8641,2985,8618,3011,8595,3035,8573,3071,8532,3102,8492,3125,8450,3142,8408,3150,8375,3154,8339xm3882,7556l3876,7492,3860,7426,3834,7360,3806,7305,3771,7249,3728,7192,3678,7133,3661,7114,3621,7072,3597,7050,3597,7544,3592,7584,3577,7621,3551,7654,3518,7679,3481,7694,3441,7699,3396,7693,3347,7674,3294,7643,3235,7598,3171,7539,3112,7475,3066,7416,3035,7361,3016,7312,3010,7268,3014,7228,3029,7192,3053,7160,3086,7134,3122,7119,3163,7114,3207,7119,3255,7136,3307,7166,3363,7208,3423,7263,3488,7333,3538,7396,3572,7452,3591,7500,3597,7544,3597,7050,3551,7007,3482,6952,3413,6907,3344,6872,3276,6846,3209,6830,3130,6824,3055,6834,2983,6860,2914,6900,2850,6956,2796,7019,2756,7087,2732,7159,2723,7234,2729,7314,2746,7382,2772,7451,2808,7521,2854,7591,2910,7661,2976,7732,3036,7789,3096,7839,3156,7881,3215,7916,3273,7943,3344,7967,3411,7981,3475,7984,3535,7978,3593,7962,3649,7935,3705,7897,3758,7849,3805,7795,3841,7739,3858,7699,3866,7680,3879,7619,3882,7556xm4153,6976l3966,6789,3712,7044,3899,7231,4153,6976xm4664,6914l3793,6043,3598,6238,4469,7109,4664,6914xm4998,6580l4675,6256,4781,6150,4832,6090,4837,6080,4866,6028,4883,5965,4882,5900,4866,5835,4843,5784,4836,5769,4792,5703,4733,5637,4670,5580,4607,5537,4598,5532,4598,5926,4597,5951,4587,5977,4570,6004,4546,6032,4498,6080,4304,5885,4359,5830,4386,5807,4412,5791,4438,5784,4462,5784,4486,5791,4509,5801,4531,5815,4552,5834,4570,5855,4584,5878,4593,5901,4598,5926,4598,5532,4544,5507,4483,5491,4423,5490,4365,5505,4309,5535,4255,5580,3931,5904,4803,6775,4998,6580xm5788,5790l5132,5134,5330,4935,5115,4720,4524,5312,4739,5527,4937,5328,5593,5984,5788,5790xm6423,5154l5767,4498,5966,4300,5751,4085,5159,4676,5374,4891,5573,4693,6229,5349,6423,5154xm7157,4281l7151,4217,7135,4151,7109,4085,7081,4030,7046,3974,7003,3917,6953,3858,6935,3839,6896,3798,6872,3775,6872,4269,6867,4309,6851,4346,6825,4379,6793,4405,6756,4420,6716,4424,6671,4418,6622,4399,6569,4368,6510,4323,6446,4264,6387,4200,6341,4141,6309,4086,6291,4037,6285,3993,6289,3953,6304,3917,6328,3885,6361,3860,6397,3844,6438,3839,6482,3844,6530,3862,6582,3891,6638,3934,6698,3989,6763,4058,6813,4121,6847,4177,6866,4226,6872,4269,6872,3775,6826,3732,6756,3677,6687,3632,6619,3597,6551,3571,6483,3555,6405,3550,6329,3560,6258,3585,6189,3625,6125,3681,6071,3744,6031,3812,6007,3884,5998,3959,6004,4039,6021,4107,6047,4176,6083,4246,6129,4316,6184,4386,6250,4457,6311,4514,6371,4564,6431,4606,6490,4641,6548,4668,6619,4692,6686,4706,6750,4710,6810,4703,6868,4687,6924,4660,6979,4622,7033,4574,7080,4520,7116,4464,7133,4424,7141,4405,7154,4344,7157,4281xm8170,3286l8165,3237,8153,3186,8134,3134,8109,3079,8079,3023,8041,2966,7980,2991,7799,3065,7831,3112,7855,3155,7873,3195,7884,3233,7887,3268,7881,3301,7866,3332,7843,3361,7812,3385,7778,3399,7740,3403,7700,3397,7653,3378,7600,3344,7538,3295,7469,3230,7417,3174,7375,3122,7344,3074,7324,3031,7311,2980,7312,2933,7325,2892,7352,2856,7367,2843,7384,2833,7402,2825,7422,2820,7442,2818,7464,2819,7486,2822,7509,2828,7524,2834,7542,2842,7563,2853,7586,2867,7705,2642,7622,2596,7543,2564,7469,2545,7400,2539,7333,2547,7269,2569,7206,2607,7146,2660,7092,2722,7054,2789,7030,2859,7021,2933,7027,3011,7044,3078,7070,3145,7106,3214,7153,3284,7209,3355,7276,3427,7341,3487,7404,3539,7467,3583,7529,3618,7590,3646,7662,3669,7730,3682,7791,3685,7847,3678,7900,3661,7952,3635,8004,3598,8056,3552,8094,3509,8125,3466,8147,3422,8161,3378,8169,3333,8170,3286xm8868,2570l8861,2506,8846,2441,8820,2374,8792,2319,8757,2263,8714,2206,8664,2147,8646,2128,8607,2087,8583,2064,8583,2558,8578,2598,8562,2635,8536,2668,8504,2694,8467,2709,8427,2713,8382,2707,8333,2689,8279,2657,8221,2612,8157,2553,8098,2489,8052,2430,8020,2376,8002,2327,7996,2282,8000,2242,8014,2206,8039,2174,8071,2149,8108,2133,8149,2128,8193,2133,8241,2151,8293,2180,8349,2223,8409,2278,8474,2347,8524,2410,8558,2466,8577,2515,8583,2558,8583,2064,8537,2021,8467,1966,8398,1921,8330,1886,8262,1860,8194,1844,8116,1839,8040,1849,7968,1874,7900,1915,7835,1970,7781,2034,7742,2101,7718,2173,7709,2249,7715,2328,7731,2397,7758,2466,7794,2535,7839,2605,7895,2676,7961,2746,8022,2804,8082,2853,8142,2895,8201,2930,8259,2957,8329,2982,8397,2995,8461,2999,8521,2992,8579,2976,8635,2949,8690,2911,8744,2863,8791,2809,8827,2753,8844,2713,8852,2694,8865,2633,8868,2570xm9348,2229l9025,1906,9132,1799,9182,1739,9188,1730,9216,1678,9233,1615,9233,1550,9217,1484,9194,1433,9187,1418,9142,1353,9084,1287,9020,1229,8957,1186,8948,1182,8948,1575,8947,1601,8938,1627,8921,1654,8896,1682,8849,1730,8654,1535,8710,1480,8737,1456,8763,1441,8788,1433,8812,1434,8836,1440,8859,1451,8881,1465,8902,1484,8920,1505,8934,1528,8943,1551,8948,1575,8948,1182,8895,1157,8833,1141,8773,1140,8715,1155,8659,1185,8605,1230,8282,1554,9153,2425,9348,2229xm10166,1412l9801,1047,9748,897,9593,446,9540,296,9325,511,9353,581,9436,792,9492,932,9422,904,9211,821,9071,765,8854,981,9005,1034,9456,1189,9606,1242,9971,1607,10166,1412xe" filled="true" fillcolor="#c0c0c0" stroked="false">
                <v:path arrowok="t"/>
                <v:fill opacity="32896f" type="solid"/>
                <w10:wrap type="none"/>
              </v:shape>
            </w:pict>
          </mc:Fallback>
        </mc:AlternateContent>
      </w:r>
      <w:r>
        <w:rPr/>
        <w:t>Ezeaku, Anyalechi, Onwumere and Okereke (2018) carriedout a study on thedrivers of international financial integrationand their implications on theNigerian economy usingtime series datafrom 1986 to 2015. The errorcorrection model was employed toregress the key determinantsof IFI against GDPgrowth, and to ascertain thespeed of adjustment. The results showed thatfinancial market capitalisationand trade openness both have negativeand insignificant influence oneconomic growth. The real effectiveexchange rate has positive but insignificant effect oneconomic growth whileinflation exerted positive andsignificant impact on theeconomy. The Engel and Grangercointegration test result shows evidenceof long-run association betweeneconomic growth and theindependent variables. The dynamicestimate provided evidenceof long-run causalityrunning from IFI determinantsto economic growth. The coefficientof the error correctionterm indicates that thesystem corrects disequilibriumin the previousperiod at thespeed of 81.43%annually to get at thesteady state.</w:t>
      </w:r>
    </w:p>
    <w:p>
      <w:pPr>
        <w:pStyle w:val="BodyText"/>
        <w:spacing w:line="480" w:lineRule="auto" w:before="160"/>
        <w:ind w:right="738"/>
        <w:jc w:val="both"/>
      </w:pPr>
      <w:r>
        <w:rPr/>
        <w:t>Olaniyi (2013) investigated internationalfinancial integration and theNigerian economic performancefrom 1970 to 2012. KPSS unitroot test, Johansen cointegrationtest, VAR modeling, impulseresponse function, variancedecomposition and grangercausality were employed inanalyzing the data. The study found that all thevariables including, the ratioof</w:t>
      </w:r>
      <w:r>
        <w:rPr>
          <w:spacing w:val="40"/>
        </w:rPr>
        <w:t> </w:t>
      </w:r>
      <w:r>
        <w:rPr/>
        <w:t>net capitalinflows to GDP and theratio of FDI toGDP appear with the expectedpositive signs (except trade openness) and are statisticallysignificant in the Nigerianeconomy.</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77952">
                <wp:simplePos x="0" y="0"/>
                <wp:positionH relativeFrom="page">
                  <wp:posOffset>950112</wp:posOffset>
                </wp:positionH>
                <wp:positionV relativeFrom="paragraph">
                  <wp:posOffset>1321053</wp:posOffset>
                </wp:positionV>
                <wp:extent cx="5505450" cy="5661025"/>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38528" id="docshape151"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Ezeanyeji and Ifeako (2019) explored theimpact of foreign portfolio investmenton economic growth in Nigeriafrom 1986 to 2017. The study employed Error Correction Mechanism (ECM) techniqueto analysis data. The variablesemployed are real GrossDomestic Product (GDP), net foreignportfolio investment, inflationrate, market capitalization andtrade openness. The result revealed thatforeign portfolio investments havepositive significant impact on economic processin Nigeria. It is therefore, recommended thatgovernment should initiate policieswhich will promote the long-rum growthof the capital market andtherefore</w:t>
      </w:r>
      <w:r>
        <w:rPr>
          <w:spacing w:val="40"/>
        </w:rPr>
        <w:t> </w:t>
      </w:r>
      <w:r>
        <w:rPr/>
        <w:t>the economy at large.</w:t>
      </w:r>
    </w:p>
    <w:p>
      <w:pPr>
        <w:pStyle w:val="BodyText"/>
        <w:spacing w:line="480" w:lineRule="auto" w:before="162"/>
        <w:ind w:right="735"/>
        <w:jc w:val="both"/>
      </w:pPr>
      <w:r>
        <w:rPr/>
        <w:t>Iriobe, Obamuyi and Abayomi (2018) examined theeffect of foreign portfolioequity investment on stockmarket performance inNigeria from 2007 to 2017. The studyemployed the Autoregressive DistributedLag (ARDL) model in analysis thedata. The results reveal that there exists a significant differencein the sectoral distributionof FPI inflows to theNigerian economy. It also finds that foreign portfolioequity investment features asignificant positive influence</w:t>
      </w:r>
      <w:r>
        <w:rPr>
          <w:spacing w:val="-4"/>
        </w:rPr>
        <w:t> </w:t>
      </w:r>
      <w:r>
        <w:rPr/>
        <w:t>on</w:t>
      </w:r>
      <w:r>
        <w:rPr>
          <w:spacing w:val="-5"/>
        </w:rPr>
        <w:t> </w:t>
      </w:r>
      <w:r>
        <w:rPr/>
        <w:t>the</w:t>
      </w:r>
      <w:r>
        <w:rPr>
          <w:spacing w:val="-3"/>
        </w:rPr>
        <w:t> </w:t>
      </w:r>
      <w:r>
        <w:rPr/>
        <w:t>Nigerianstock</w:t>
      </w:r>
      <w:r>
        <w:rPr>
          <w:spacing w:val="-4"/>
        </w:rPr>
        <w:t> </w:t>
      </w:r>
      <w:r>
        <w:rPr/>
        <w:t>exchange</w:t>
      </w:r>
      <w:r>
        <w:rPr>
          <w:spacing w:val="-3"/>
        </w:rPr>
        <w:t> </w:t>
      </w:r>
      <w:r>
        <w:rPr/>
        <w:t>performance.</w:t>
      </w:r>
      <w:r>
        <w:rPr>
          <w:spacing w:val="-4"/>
        </w:rPr>
        <w:t> </w:t>
      </w:r>
      <w:r>
        <w:rPr/>
        <w:t>They</w:t>
      </w:r>
      <w:r>
        <w:rPr>
          <w:spacing w:val="-5"/>
        </w:rPr>
        <w:t> </w:t>
      </w:r>
      <w:r>
        <w:rPr/>
        <w:t>recommendedthat</w:t>
      </w:r>
      <w:r>
        <w:rPr>
          <w:spacing w:val="-4"/>
        </w:rPr>
        <w:t> </w:t>
      </w:r>
      <w:r>
        <w:rPr/>
        <w:t>the</w:t>
      </w:r>
      <w:r>
        <w:rPr>
          <w:spacing w:val="-5"/>
        </w:rPr>
        <w:t> </w:t>
      </w:r>
      <w:r>
        <w:rPr/>
        <w:t>regulatory authorities should deepenthe equity stocks of themarket and encourage more firmsto get listed on the NigerianStock Exchange with a view tochannelling more investmentsinto the economy therebyfast-tracking industrialisation andeconomic development.</w:t>
      </w:r>
    </w:p>
    <w:p>
      <w:pPr>
        <w:pStyle w:val="BodyText"/>
        <w:spacing w:line="480" w:lineRule="auto" w:before="159"/>
        <w:ind w:right="735"/>
        <w:jc w:val="both"/>
      </w:pPr>
      <w:r>
        <w:rPr/>
        <w:t>Akinmulegun (2018) examined theeffect of capital market developmenton foreign portfolio investment in Nigeriaover the period1985 to 2016. Vector ErrorCorrection Mechanism (VECM) was used to analyse theshort run and long run dynamismof the variables while also focusing on the directionof causality between capitalmarket development andforeign portfolio</w:t>
      </w:r>
      <w:r>
        <w:rPr>
          <w:spacing w:val="66"/>
        </w:rPr>
        <w:t> </w:t>
      </w:r>
      <w:r>
        <w:rPr/>
        <w:t>investment</w:t>
      </w:r>
      <w:r>
        <w:rPr>
          <w:spacing w:val="66"/>
        </w:rPr>
        <w:t> </w:t>
      </w:r>
      <w:r>
        <w:rPr/>
        <w:t>inNigeria,</w:t>
      </w:r>
      <w:r>
        <w:rPr>
          <w:spacing w:val="65"/>
        </w:rPr>
        <w:t> </w:t>
      </w:r>
      <w:r>
        <w:rPr/>
        <w:t>using</w:t>
      </w:r>
      <w:r>
        <w:rPr>
          <w:spacing w:val="66"/>
        </w:rPr>
        <w:t> </w:t>
      </w:r>
      <w:r>
        <w:rPr/>
        <w:t>grangercausality</w:t>
      </w:r>
      <w:r>
        <w:rPr>
          <w:spacing w:val="65"/>
        </w:rPr>
        <w:t> </w:t>
      </w:r>
      <w:r>
        <w:rPr/>
        <w:t>test.</w:t>
      </w:r>
      <w:r>
        <w:rPr>
          <w:spacing w:val="66"/>
        </w:rPr>
        <w:t> </w:t>
      </w:r>
      <w:r>
        <w:rPr/>
        <w:t>Result</w:t>
      </w:r>
      <w:r>
        <w:rPr>
          <w:spacing w:val="66"/>
        </w:rPr>
        <w:t> </w:t>
      </w:r>
      <w:r>
        <w:rPr/>
        <w:t>from</w:t>
      </w:r>
      <w:r>
        <w:rPr>
          <w:spacing w:val="66"/>
        </w:rPr>
        <w:t> </w:t>
      </w:r>
      <w:r>
        <w:rPr/>
        <w:t>thevector</w:t>
      </w:r>
      <w:r>
        <w:rPr>
          <w:spacing w:val="66"/>
        </w:rPr>
        <w:t> </w:t>
      </w:r>
      <w:r>
        <w:rPr>
          <w:spacing w:val="-2"/>
        </w:rPr>
        <w:t>error</w:t>
      </w:r>
    </w:p>
    <w:p>
      <w:pPr>
        <w:spacing w:after="0" w:line="480" w:lineRule="auto"/>
        <w:jc w:val="both"/>
        <w:sectPr>
          <w:pgSz w:w="12240" w:h="15840"/>
          <w:pgMar w:header="0" w:footer="1012" w:top="1380" w:bottom="1200" w:left="1220" w:right="700"/>
        </w:sectPr>
      </w:pPr>
    </w:p>
    <w:p>
      <w:pPr>
        <w:pStyle w:val="BodyText"/>
        <w:spacing w:line="480" w:lineRule="auto" w:before="60"/>
        <w:ind w:right="736"/>
        <w:jc w:val="both"/>
      </w:pPr>
      <w:r>
        <w:rPr/>
        <mc:AlternateContent>
          <mc:Choice Requires="wps">
            <w:drawing>
              <wp:anchor distT="0" distB="0" distL="0" distR="0" allowOverlap="1" layoutInCell="1" locked="0" behindDoc="1" simplePos="0" relativeHeight="478078464">
                <wp:simplePos x="0" y="0"/>
                <wp:positionH relativeFrom="page">
                  <wp:posOffset>950112</wp:posOffset>
                </wp:positionH>
                <wp:positionV relativeFrom="paragraph">
                  <wp:posOffset>1321053</wp:posOffset>
                </wp:positionV>
                <wp:extent cx="5505450" cy="5661025"/>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38016" id="docshape152"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correction model indicated tha Market Capitalization (MCAP) hasnegative significant effect on foreign portfolioinvestment in Nigeria whileAll Share Index (ASI) has positive relationship withforeign portfolio investment. The study recommended thatgovernment should developand enforce policiesthat will further propelcapital market developmentin such a way that it willsustain its positive effect inattracting foreign portfoliointo the Nigerian economy as well asstimulate improved interestof foreign investors in subscribingto portfolio investment inNigerian enterprises.</w:t>
      </w:r>
    </w:p>
    <w:p>
      <w:pPr>
        <w:pStyle w:val="BodyText"/>
        <w:spacing w:line="480" w:lineRule="auto" w:before="161"/>
        <w:ind w:right="736"/>
        <w:jc w:val="both"/>
      </w:pPr>
      <w:r>
        <w:rPr/>
        <w:t>Onyeisi, Odo and Anoke (2016) empirically examined theimpact of foreign portfolio investment inflowson stock exchange growth inNigeria from 1986 to 2014. The study employed co-integrationvector error correction mechanismand Granger </w:t>
      </w:r>
      <w:r>
        <w:rPr/>
        <w:t>causality</w:t>
      </w:r>
      <w:r>
        <w:rPr>
          <w:spacing w:val="40"/>
        </w:rPr>
        <w:t> </w:t>
      </w:r>
      <w:r>
        <w:rPr/>
        <w:t>econometric analyticalmethods. They found that there's co-integrationbetween foreign portfolio investmentand stock exchange growth whichforeign portfolio investment has significant</w:t>
      </w:r>
      <w:r>
        <w:rPr>
          <w:spacing w:val="-4"/>
        </w:rPr>
        <w:t> </w:t>
      </w:r>
      <w:r>
        <w:rPr/>
        <w:t>long-runimpact</w:t>
      </w:r>
      <w:r>
        <w:rPr>
          <w:spacing w:val="-4"/>
        </w:rPr>
        <w:t> </w:t>
      </w:r>
      <w:r>
        <w:rPr/>
        <w:t>on</w:t>
      </w:r>
      <w:r>
        <w:rPr>
          <w:spacing w:val="-4"/>
        </w:rPr>
        <w:t> </w:t>
      </w:r>
      <w:r>
        <w:rPr/>
        <w:t>stock</w:t>
      </w:r>
      <w:r>
        <w:rPr>
          <w:spacing w:val="-4"/>
        </w:rPr>
        <w:t> </w:t>
      </w:r>
      <w:r>
        <w:rPr/>
        <w:t>exchangegrowth</w:t>
      </w:r>
      <w:r>
        <w:rPr>
          <w:spacing w:val="-4"/>
        </w:rPr>
        <w:t> </w:t>
      </w:r>
      <w:r>
        <w:rPr/>
        <w:t>in</w:t>
      </w:r>
      <w:r>
        <w:rPr>
          <w:spacing w:val="-4"/>
        </w:rPr>
        <w:t> </w:t>
      </w:r>
      <w:r>
        <w:rPr/>
        <w:t>Nigeria</w:t>
      </w:r>
      <w:r>
        <w:rPr>
          <w:spacing w:val="-4"/>
        </w:rPr>
        <w:t> </w:t>
      </w:r>
      <w:r>
        <w:rPr/>
        <w:t>within</w:t>
      </w:r>
      <w:r>
        <w:rPr>
          <w:spacing w:val="-4"/>
        </w:rPr>
        <w:t> </w:t>
      </w:r>
      <w:r>
        <w:rPr/>
        <w:t>theperiod</w:t>
      </w:r>
      <w:r>
        <w:rPr>
          <w:spacing w:val="-4"/>
        </w:rPr>
        <w:t> </w:t>
      </w:r>
      <w:r>
        <w:rPr/>
        <w:t>of</w:t>
      </w:r>
      <w:r>
        <w:rPr>
          <w:spacing w:val="-1"/>
        </w:rPr>
        <w:t> </w:t>
      </w:r>
      <w:r>
        <w:rPr/>
        <w:t>the</w:t>
      </w:r>
      <w:r>
        <w:rPr>
          <w:spacing w:val="-4"/>
        </w:rPr>
        <w:t> </w:t>
      </w:r>
      <w:r>
        <w:rPr/>
        <w:t>study. However, the resultof the study showed thatthere is no causality betweenforeign portfolio investment and stockmarket in Nigeria. They thusrecommended that federalgovernment should strengthen theSecurity and Exchange Commission (SEC) so as tostimulate constant inflow of foreignportfolio investment toNigeria economy.</w:t>
      </w:r>
    </w:p>
    <w:p>
      <w:pPr>
        <w:pStyle w:val="BodyText"/>
        <w:spacing w:line="480" w:lineRule="auto" w:before="160"/>
        <w:ind w:right="736"/>
        <w:jc w:val="both"/>
      </w:pPr>
      <w:r>
        <w:rPr/>
        <w:t>Similarly, Baghebo and Apere (2014) attemptedto assess the impact offoreign portfolio investment (FPI) oneconomic growth inNigeria between 1986 and 2011. The study adopted three stagemethodological processes toensure proper estimation of theincluded variables. Form</w:t>
      </w:r>
      <w:r>
        <w:rPr>
          <w:spacing w:val="-8"/>
        </w:rPr>
        <w:t> </w:t>
      </w:r>
      <w:r>
        <w:rPr/>
        <w:t>the</w:t>
      </w:r>
      <w:r>
        <w:rPr>
          <w:spacing w:val="-7"/>
        </w:rPr>
        <w:t> </w:t>
      </w:r>
      <w:r>
        <w:rPr/>
        <w:t>findingsof</w:t>
      </w:r>
      <w:r>
        <w:rPr>
          <w:spacing w:val="-6"/>
        </w:rPr>
        <w:t> </w:t>
      </w:r>
      <w:r>
        <w:rPr/>
        <w:t>the</w:t>
      </w:r>
      <w:r>
        <w:rPr>
          <w:spacing w:val="-5"/>
        </w:rPr>
        <w:t> </w:t>
      </w:r>
      <w:r>
        <w:rPr/>
        <w:t>study,</w:t>
      </w:r>
      <w:r>
        <w:rPr>
          <w:spacing w:val="-7"/>
        </w:rPr>
        <w:t> </w:t>
      </w:r>
      <w:r>
        <w:rPr/>
        <w:t>it</w:t>
      </w:r>
      <w:r>
        <w:rPr>
          <w:spacing w:val="-7"/>
        </w:rPr>
        <w:t> </w:t>
      </w:r>
      <w:r>
        <w:rPr/>
        <w:t>had</w:t>
      </w:r>
      <w:r>
        <w:rPr>
          <w:spacing w:val="-8"/>
        </w:rPr>
        <w:t> </w:t>
      </w:r>
      <w:r>
        <w:rPr/>
        <w:t>beendiscovered</w:t>
      </w:r>
      <w:r>
        <w:rPr>
          <w:spacing w:val="-7"/>
        </w:rPr>
        <w:t> </w:t>
      </w:r>
      <w:r>
        <w:rPr/>
        <w:t>that</w:t>
      </w:r>
      <w:r>
        <w:rPr>
          <w:spacing w:val="-7"/>
        </w:rPr>
        <w:t> </w:t>
      </w:r>
      <w:r>
        <w:rPr/>
        <w:t>foreign</w:t>
      </w:r>
      <w:r>
        <w:rPr>
          <w:spacing w:val="-5"/>
        </w:rPr>
        <w:t> </w:t>
      </w:r>
      <w:r>
        <w:rPr/>
        <w:t>portfolioinvestment,</w:t>
      </w:r>
      <w:r>
        <w:rPr>
          <w:spacing w:val="-7"/>
        </w:rPr>
        <w:t> </w:t>
      </w:r>
      <w:r>
        <w:rPr>
          <w:spacing w:val="-2"/>
        </w:rPr>
        <w:t>market</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w:t>capitalization and tradeopenness have positive long-run relationshipwith real gross domestic product inNigeria within the periodof study.</w:t>
      </w:r>
    </w:p>
    <w:p>
      <w:pPr>
        <w:pStyle w:val="BodyText"/>
        <w:spacing w:line="480" w:lineRule="auto" w:before="160"/>
        <w:ind w:right="733"/>
        <w:jc w:val="both"/>
      </w:pPr>
      <w:r>
        <w:rPr/>
        <mc:AlternateContent>
          <mc:Choice Requires="wps">
            <w:drawing>
              <wp:anchor distT="0" distB="0" distL="0" distR="0" allowOverlap="1" layoutInCell="1" locked="0" behindDoc="1" simplePos="0" relativeHeight="478078976">
                <wp:simplePos x="0" y="0"/>
                <wp:positionH relativeFrom="page">
                  <wp:posOffset>950112</wp:posOffset>
                </wp:positionH>
                <wp:positionV relativeFrom="paragraph">
                  <wp:posOffset>552765</wp:posOffset>
                </wp:positionV>
                <wp:extent cx="5505450" cy="5661025"/>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37504" id="docshape153"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Eniekezimene (2013) empirically examined theimpact of foreign portfolio investmenton capital market growthin Nigeria. In anattempt to achieve itsobjective, the study x-rays the growth of FPI in the marketas well as thetransmission channels throughwhich the changes in foreign portfolio investmentaffect growth of thecapital market. Adopting ordinaryleast</w:t>
      </w:r>
      <w:r>
        <w:rPr>
          <w:spacing w:val="40"/>
        </w:rPr>
        <w:t> </w:t>
      </w:r>
      <w:r>
        <w:rPr/>
        <w:t>square (OLS) methodand parsimonious errorcorrection model, the study reported thatforeign portfolioinvestment has a positive impact oncapital market growth inNigeria.</w:t>
      </w:r>
    </w:p>
    <w:p>
      <w:pPr>
        <w:pStyle w:val="BodyText"/>
        <w:spacing w:line="480" w:lineRule="auto" w:before="160"/>
        <w:ind w:right="733"/>
        <w:jc w:val="both"/>
      </w:pPr>
      <w:r>
        <w:rPr/>
        <w:t>Oyeniran and Temitope (2015) investigated therelationship between financial market integration andeconomic growth in Nigeriafrom 1981 to 2015. In this study, ratioof broad money supply to GDP, ratioof capital account to GDP, Interestrate, exchange rate, gross</w:t>
      </w:r>
      <w:r>
        <w:rPr>
          <w:spacing w:val="40"/>
        </w:rPr>
        <w:t> </w:t>
      </w:r>
      <w:r>
        <w:rPr/>
        <w:t>fixed capital formationand total labour force were employed as theindependent variables while industrial value added were employedas the dependentvariable. Autoregressive distributed lag (ARDL) boundstesting approach was employed inanalyzing the data. The result</w:t>
      </w:r>
      <w:r>
        <w:rPr>
          <w:spacing w:val="-4"/>
        </w:rPr>
        <w:t> </w:t>
      </w:r>
      <w:r>
        <w:rPr/>
        <w:t>from</w:t>
      </w:r>
      <w:r>
        <w:rPr>
          <w:spacing w:val="-4"/>
        </w:rPr>
        <w:t> </w:t>
      </w:r>
      <w:r>
        <w:rPr/>
        <w:t>cointegrationtest</w:t>
      </w:r>
      <w:r>
        <w:rPr>
          <w:spacing w:val="-4"/>
        </w:rPr>
        <w:t> </w:t>
      </w:r>
      <w:r>
        <w:rPr/>
        <w:t>showed</w:t>
      </w:r>
      <w:r>
        <w:rPr>
          <w:spacing w:val="-4"/>
        </w:rPr>
        <w:t> </w:t>
      </w:r>
      <w:r>
        <w:rPr/>
        <w:t>presence</w:t>
      </w:r>
      <w:r>
        <w:rPr>
          <w:spacing w:val="-4"/>
        </w:rPr>
        <w:t> </w:t>
      </w:r>
      <w:r>
        <w:rPr/>
        <w:t>of</w:t>
      </w:r>
      <w:r>
        <w:rPr>
          <w:spacing w:val="-3"/>
        </w:rPr>
        <w:t> </w:t>
      </w:r>
      <w:r>
        <w:rPr/>
        <w:t>long</w:t>
      </w:r>
      <w:r>
        <w:rPr>
          <w:spacing w:val="-4"/>
        </w:rPr>
        <w:t> </w:t>
      </w:r>
      <w:r>
        <w:rPr/>
        <w:t>runrelationship</w:t>
      </w:r>
      <w:r>
        <w:rPr>
          <w:spacing w:val="-4"/>
        </w:rPr>
        <w:t> </w:t>
      </w:r>
      <w:r>
        <w:rPr/>
        <w:t>between</w:t>
      </w:r>
      <w:r>
        <w:rPr>
          <w:spacing w:val="-4"/>
        </w:rPr>
        <w:t> </w:t>
      </w:r>
      <w:r>
        <w:rPr/>
        <w:t>dependent</w:t>
      </w:r>
      <w:r>
        <w:rPr>
          <w:spacing w:val="-1"/>
        </w:rPr>
        <w:t> </w:t>
      </w:r>
      <w:r>
        <w:rPr/>
        <w:t>and all explanatoryvariables. The regression results showthat, while financial integration has no short runeffect on economicgrowth, its long run effect ongrowth is negative and significant. Financial development was found to haveboth short run and longrun positive effect oneconomic growth in Nigeria.</w:t>
      </w:r>
    </w:p>
    <w:p>
      <w:pPr>
        <w:pStyle w:val="BodyText"/>
        <w:spacing w:line="480" w:lineRule="auto" w:before="162"/>
        <w:ind w:right="736"/>
        <w:jc w:val="both"/>
      </w:pPr>
      <w:r>
        <w:rPr/>
        <w:t>Ajudua and Okonkwo (2014) examined theempirical association between globalizationas proxied by the degreeof openness and growth inNigeria for the period1986-2012 using OLS. The</w:t>
      </w:r>
      <w:r>
        <w:rPr>
          <w:spacing w:val="-9"/>
        </w:rPr>
        <w:t> </w:t>
      </w:r>
      <w:r>
        <w:rPr/>
        <w:t>causal</w:t>
      </w:r>
      <w:r>
        <w:rPr>
          <w:spacing w:val="-9"/>
        </w:rPr>
        <w:t> </w:t>
      </w:r>
      <w:r>
        <w:rPr/>
        <w:t>nexus</w:t>
      </w:r>
      <w:r>
        <w:rPr>
          <w:spacing w:val="-9"/>
        </w:rPr>
        <w:t> </w:t>
      </w:r>
      <w:r>
        <w:rPr/>
        <w:t>betweenglobalization</w:t>
      </w:r>
      <w:r>
        <w:rPr>
          <w:spacing w:val="-7"/>
        </w:rPr>
        <w:t> </w:t>
      </w:r>
      <w:r>
        <w:rPr/>
        <w:t>and</w:t>
      </w:r>
      <w:r>
        <w:rPr>
          <w:spacing w:val="-9"/>
        </w:rPr>
        <w:t> </w:t>
      </w:r>
      <w:r>
        <w:rPr/>
        <w:t>growth</w:t>
      </w:r>
      <w:r>
        <w:rPr>
          <w:spacing w:val="-9"/>
        </w:rPr>
        <w:t> </w:t>
      </w:r>
      <w:r>
        <w:rPr/>
        <w:t>was</w:t>
      </w:r>
      <w:r>
        <w:rPr>
          <w:spacing w:val="-9"/>
        </w:rPr>
        <w:t> </w:t>
      </w:r>
      <w:r>
        <w:rPr/>
        <w:t>investigatedwithin</w:t>
      </w:r>
      <w:r>
        <w:rPr>
          <w:spacing w:val="-8"/>
        </w:rPr>
        <w:t> </w:t>
      </w:r>
      <w:r>
        <w:rPr/>
        <w:t>the</w:t>
      </w:r>
      <w:r>
        <w:rPr>
          <w:spacing w:val="-9"/>
        </w:rPr>
        <w:t> </w:t>
      </w:r>
      <w:r>
        <w:rPr/>
        <w:t>background</w:t>
      </w:r>
      <w:r>
        <w:rPr>
          <w:spacing w:val="-7"/>
        </w:rPr>
        <w:t> </w:t>
      </w:r>
      <w:r>
        <w:rPr>
          <w:spacing w:val="-5"/>
        </w:rPr>
        <w:t>of</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79488">
                <wp:simplePos x="0" y="0"/>
                <wp:positionH relativeFrom="page">
                  <wp:posOffset>950112</wp:posOffset>
                </wp:positionH>
                <wp:positionV relativeFrom="paragraph">
                  <wp:posOffset>1321053</wp:posOffset>
                </wp:positionV>
                <wp:extent cx="5505450" cy="5661025"/>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36992" id="docshape154"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five -variables. The JohansenCo-integration test was conductedin testing thelong-term equilibrium associations asGranger causality test focused inascertaining thecasual association’s betweenvariables. The empirical evidence showed that there existed acausal relationship between growthand globalization, and economicgrowth and FDI. Nevertheless, Nigeria’s benefit from tradeopenness centers on crude oilexportation. This implied that variation in real economicgrowth in Nigeria should be seen fromfluctuations in theoil</w:t>
      </w:r>
      <w:r>
        <w:rPr>
          <w:spacing w:val="40"/>
        </w:rPr>
        <w:t> </w:t>
      </w:r>
      <w:r>
        <w:rPr/>
        <w:t>markets (beyond theexternal shock from thetrade and capital flows). However, Nigeria has less</w:t>
      </w:r>
      <w:r>
        <w:rPr>
          <w:spacing w:val="-1"/>
        </w:rPr>
        <w:t> </w:t>
      </w:r>
      <w:r>
        <w:rPr/>
        <w:t>advantages</w:t>
      </w:r>
      <w:r>
        <w:rPr>
          <w:spacing w:val="-1"/>
        </w:rPr>
        <w:t> </w:t>
      </w:r>
      <w:r>
        <w:rPr/>
        <w:t>inregard</w:t>
      </w:r>
      <w:r>
        <w:rPr>
          <w:spacing w:val="-4"/>
        </w:rPr>
        <w:t> </w:t>
      </w:r>
      <w:r>
        <w:rPr/>
        <w:t>to</w:t>
      </w:r>
      <w:r>
        <w:rPr>
          <w:spacing w:val="-1"/>
        </w:rPr>
        <w:t> </w:t>
      </w:r>
      <w:r>
        <w:rPr/>
        <w:t>the</w:t>
      </w:r>
      <w:r>
        <w:rPr>
          <w:spacing w:val="-2"/>
        </w:rPr>
        <w:t> </w:t>
      </w:r>
      <w:r>
        <w:rPr/>
        <w:t>globalizationwhich</w:t>
      </w:r>
      <w:r>
        <w:rPr>
          <w:spacing w:val="-2"/>
        </w:rPr>
        <w:t> </w:t>
      </w:r>
      <w:r>
        <w:rPr/>
        <w:t>is</w:t>
      </w:r>
      <w:r>
        <w:rPr>
          <w:spacing w:val="-1"/>
        </w:rPr>
        <w:t> </w:t>
      </w:r>
      <w:r>
        <w:rPr/>
        <w:t>owed</w:t>
      </w:r>
      <w:r>
        <w:rPr>
          <w:spacing w:val="-1"/>
        </w:rPr>
        <w:t> </w:t>
      </w:r>
      <w:r>
        <w:rPr/>
        <w:t>to</w:t>
      </w:r>
      <w:r>
        <w:rPr>
          <w:spacing w:val="-1"/>
        </w:rPr>
        <w:t> </w:t>
      </w:r>
      <w:r>
        <w:rPr/>
        <w:t>her</w:t>
      </w:r>
      <w:r>
        <w:rPr>
          <w:spacing w:val="-3"/>
        </w:rPr>
        <w:t> </w:t>
      </w:r>
      <w:r>
        <w:rPr/>
        <w:t>overindependence</w:t>
      </w:r>
      <w:r>
        <w:rPr>
          <w:spacing w:val="-2"/>
        </w:rPr>
        <w:t> </w:t>
      </w:r>
      <w:r>
        <w:rPr/>
        <w:t>based</w:t>
      </w:r>
      <w:r>
        <w:rPr>
          <w:spacing w:val="-2"/>
        </w:rPr>
        <w:t> </w:t>
      </w:r>
      <w:r>
        <w:rPr/>
        <w:t>on its primaryoil mining export as theprimary source ofearnings, thus neglecting otheremerging and</w:t>
      </w:r>
      <w:r>
        <w:rPr>
          <w:spacing w:val="-1"/>
        </w:rPr>
        <w:t> </w:t>
      </w:r>
      <w:r>
        <w:rPr/>
        <w:t>possible promising sectors within the</w:t>
      </w:r>
      <w:r>
        <w:rPr>
          <w:spacing w:val="-1"/>
        </w:rPr>
        <w:t> </w:t>
      </w:r>
      <w:r>
        <w:rPr/>
        <w:t>economy. The</w:t>
      </w:r>
      <w:r>
        <w:rPr>
          <w:spacing w:val="-1"/>
        </w:rPr>
        <w:t> </w:t>
      </w:r>
      <w:r>
        <w:rPr/>
        <w:t>study concluded that integration can stimulate the rise of economic growth in aneconomy. However, Nigeria has not benefiteda</w:t>
      </w:r>
      <w:r>
        <w:rPr>
          <w:spacing w:val="40"/>
        </w:rPr>
        <w:t> </w:t>
      </w:r>
      <w:r>
        <w:rPr/>
        <w:t>lot from integrationdue to overreliance ofoil export as a major source ofexport. The study proffered that an enablingenvironment and prudentialgovernment policies are key ingiving a county competitiveedge in the global financialmarket in attracting FDI.</w:t>
      </w:r>
    </w:p>
    <w:p>
      <w:pPr>
        <w:pStyle w:val="BodyText"/>
        <w:spacing w:line="480" w:lineRule="auto" w:before="162"/>
        <w:ind w:right="733"/>
        <w:jc w:val="both"/>
      </w:pPr>
      <w:r>
        <w:rPr/>
        <w:t>Okpara (2010) also investigated theeffect of financial liberalization onsome macroeconomic variables in Nigeria. RealGDP, financial deepening, grossnational savings, foreign direct investment and inflationrate were selected and givenpre/post liberalization comparative analysis</w:t>
      </w:r>
      <w:r>
        <w:rPr>
          <w:spacing w:val="-1"/>
        </w:rPr>
        <w:t> </w:t>
      </w:r>
      <w:r>
        <w:rPr/>
        <w:t>using</w:t>
      </w:r>
      <w:r>
        <w:rPr>
          <w:spacing w:val="-2"/>
        </w:rPr>
        <w:t> </w:t>
      </w:r>
      <w:r>
        <w:rPr/>
        <w:t>the</w:t>
      </w:r>
      <w:r>
        <w:rPr>
          <w:spacing w:val="-3"/>
        </w:rPr>
        <w:t> </w:t>
      </w:r>
      <w:r>
        <w:rPr/>
        <w:t>discriminantanalysis</w:t>
      </w:r>
      <w:r>
        <w:rPr>
          <w:spacing w:val="-1"/>
        </w:rPr>
        <w:t> </w:t>
      </w:r>
      <w:r>
        <w:rPr/>
        <w:t>technique.</w:t>
      </w:r>
      <w:r>
        <w:rPr>
          <w:spacing w:val="-3"/>
        </w:rPr>
        <w:t> </w:t>
      </w:r>
      <w:r>
        <w:rPr/>
        <w:t>The</w:t>
      </w:r>
      <w:r>
        <w:rPr>
          <w:spacing w:val="-3"/>
        </w:rPr>
        <w:t> </w:t>
      </w:r>
      <w:r>
        <w:rPr/>
        <w:t>pre-liberalization periodcovers</w:t>
      </w:r>
      <w:r>
        <w:rPr>
          <w:spacing w:val="-1"/>
        </w:rPr>
        <w:t> </w:t>
      </w:r>
      <w:r>
        <w:rPr/>
        <w:t>1965 – 1986 while the post-liberalizationperiod continued from 1987 to 2008. The findings show that the variable thatimpacts most on the economyowing to financial liberalization is thereal GDP which recordedpositively the highest contribution. This implies thatfinancial liberalization positively increasesthe growth of the economy.</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80000">
                <wp:simplePos x="0" y="0"/>
                <wp:positionH relativeFrom="page">
                  <wp:posOffset>950112</wp:posOffset>
                </wp:positionH>
                <wp:positionV relativeFrom="paragraph">
                  <wp:posOffset>1321053</wp:posOffset>
                </wp:positionV>
                <wp:extent cx="5505450" cy="5661025"/>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36480" id="docshape155"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Nwosa and Amassoma (2014) examined the causal nexusbetween capital inflows (foreign direct investmentand foreign portfolio investment) and exchangerate inNigeria. The study employed both granger causalityand error correction modelingtechniques. The causality estimates showed</w:t>
      </w:r>
      <w:r>
        <w:rPr>
          <w:spacing w:val="-1"/>
        </w:rPr>
        <w:t> </w:t>
      </w:r>
      <w:r>
        <w:rPr/>
        <w:t>nocausal link betweencapital inflows (foreign direct investmentand foreign portfolio investment) andexchange rate within thisperiod. The long run regression estimate revealed that foreigndirect investment had negative effecton exchange rate while portfolio investment had positive impacton exchange rate. However, the magnitudeof the impact was very minute unlikethe international oil pricewhich had a strong negative effecton the exchange rate. The short run result was similarto the causality result, indicating thatneither foreign direct investmentnor foreign portfolio investment had significant impacton exchange </w:t>
      </w:r>
      <w:r>
        <w:rPr>
          <w:spacing w:val="-2"/>
        </w:rPr>
        <w:t>rate.</w:t>
      </w:r>
    </w:p>
    <w:p>
      <w:pPr>
        <w:pStyle w:val="BodyText"/>
        <w:spacing w:line="480" w:lineRule="auto" w:before="160"/>
        <w:ind w:right="736"/>
        <w:jc w:val="both"/>
      </w:pPr>
      <w:r>
        <w:rPr/>
        <w:t>Chigbu, Ubah and Chigbu (2015) examined the impactof capital inflows oneconomic growth of developing economiesof Nigeria, Ghana andIndia from 1986-2012. With the helpof Johansen Co-integration, grangercausality and OLS regressiontechniques, the relationship between capital inflowsand economic growth in theselected economies were investigated. The findings revealedthat capital inflows havesignificant impact on theeconomic growth of the three countries. InNigeria and Ghanaforeign direct and portfolioinvestment as well as foreign borrowings, havesignificant and positiveimpact on economicgrowth. Workers’ remittances significantlyand positively relate to theeconomic growth of the threecountries. The study showed thatcapital inflow is indispensablein closing the savings-investmentgap required foreconomic growth of developingcountries.</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80512">
                <wp:simplePos x="0" y="0"/>
                <wp:positionH relativeFrom="page">
                  <wp:posOffset>950112</wp:posOffset>
                </wp:positionH>
                <wp:positionV relativeFrom="paragraph">
                  <wp:posOffset>1321053</wp:posOffset>
                </wp:positionV>
                <wp:extent cx="5505450" cy="5661025"/>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35968" id="docshape156"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Akanyo and Ajie (2015) evaluated the impactof capital flows on the levelof economic</w:t>
      </w:r>
      <w:r>
        <w:rPr>
          <w:spacing w:val="80"/>
        </w:rPr>
        <w:t> </w:t>
      </w:r>
      <w:r>
        <w:rPr/>
        <w:t>growth in Nigeria within thetime period of 1981and 2012. The study employed thegrowth rate of real GrossDomestic Product as the dependentvariable while the independentvariables included aggregate stockof external assets andliabilities to GDP (SAL), thestock of liabilities as a share ofGDP (SLD), the ratioof inflows and outflowsof (FDI and portfolio flows) to GDP (DPF) and theratio of inflows ofcapital (FDI and portfolioinflows) to GDP (DPI).</w:t>
      </w:r>
      <w:r>
        <w:rPr>
          <w:spacing w:val="40"/>
        </w:rPr>
        <w:t> </w:t>
      </w:r>
      <w:r>
        <w:rPr/>
        <w:t>The study</w:t>
      </w:r>
      <w:r>
        <w:rPr>
          <w:spacing w:val="-4"/>
        </w:rPr>
        <w:t> </w:t>
      </w:r>
      <w:r>
        <w:rPr/>
        <w:t>employedJohansenco-integration</w:t>
      </w:r>
      <w:r>
        <w:rPr>
          <w:spacing w:val="-4"/>
        </w:rPr>
        <w:t> </w:t>
      </w:r>
      <w:r>
        <w:rPr/>
        <w:t>test,</w:t>
      </w:r>
      <w:r>
        <w:rPr>
          <w:spacing w:val="-4"/>
        </w:rPr>
        <w:t> </w:t>
      </w:r>
      <w:r>
        <w:rPr/>
        <w:t>ECM</w:t>
      </w:r>
      <w:r>
        <w:rPr>
          <w:spacing w:val="-3"/>
        </w:rPr>
        <w:t> </w:t>
      </w:r>
      <w:r>
        <w:rPr/>
        <w:t>andvariancedecomposition</w:t>
      </w:r>
      <w:r>
        <w:rPr>
          <w:spacing w:val="-4"/>
        </w:rPr>
        <w:t> </w:t>
      </w:r>
      <w:r>
        <w:rPr/>
        <w:t>tests.</w:t>
      </w:r>
      <w:r>
        <w:rPr>
          <w:spacing w:val="-4"/>
        </w:rPr>
        <w:t> </w:t>
      </w:r>
      <w:r>
        <w:rPr/>
        <w:t>The</w:t>
      </w:r>
      <w:r>
        <w:rPr>
          <w:spacing w:val="-4"/>
        </w:rPr>
        <w:t> </w:t>
      </w:r>
      <w:r>
        <w:rPr/>
        <w:t>study found</w:t>
      </w:r>
      <w:r>
        <w:rPr>
          <w:spacing w:val="-2"/>
        </w:rPr>
        <w:t> </w:t>
      </w:r>
      <w:r>
        <w:rPr/>
        <w:t>that</w:t>
      </w:r>
      <w:r>
        <w:rPr>
          <w:spacing w:val="-2"/>
        </w:rPr>
        <w:t> </w:t>
      </w:r>
      <w:r>
        <w:rPr/>
        <w:t>net</w:t>
      </w:r>
      <w:r>
        <w:rPr>
          <w:spacing w:val="-3"/>
        </w:rPr>
        <w:t> </w:t>
      </w:r>
      <w:r>
        <w:rPr/>
        <w:t>capitalflow</w:t>
      </w:r>
      <w:r>
        <w:rPr>
          <w:spacing w:val="-2"/>
        </w:rPr>
        <w:t> </w:t>
      </w:r>
      <w:r>
        <w:rPr/>
        <w:t>significantly</w:t>
      </w:r>
      <w:r>
        <w:rPr>
          <w:spacing w:val="-3"/>
        </w:rPr>
        <w:t> </w:t>
      </w:r>
      <w:r>
        <w:rPr/>
        <w:t>and</w:t>
      </w:r>
      <w:r>
        <w:rPr>
          <w:spacing w:val="-3"/>
        </w:rPr>
        <w:t> </w:t>
      </w:r>
      <w:r>
        <w:rPr/>
        <w:t>positivelyinfluenced</w:t>
      </w:r>
      <w:r>
        <w:rPr>
          <w:spacing w:val="-2"/>
        </w:rPr>
        <w:t> </w:t>
      </w:r>
      <w:r>
        <w:rPr/>
        <w:t>the</w:t>
      </w:r>
      <w:r>
        <w:rPr>
          <w:spacing w:val="-3"/>
        </w:rPr>
        <w:t> </w:t>
      </w:r>
      <w:r>
        <w:rPr/>
        <w:t>levelof</w:t>
      </w:r>
      <w:r>
        <w:rPr>
          <w:spacing w:val="-2"/>
        </w:rPr>
        <w:t> </w:t>
      </w:r>
      <w:r>
        <w:rPr/>
        <w:t>economic</w:t>
      </w:r>
      <w:r>
        <w:rPr>
          <w:spacing w:val="-2"/>
        </w:rPr>
        <w:t> </w:t>
      </w:r>
      <w:r>
        <w:rPr/>
        <w:t>growth in Nigeria.</w:t>
      </w:r>
    </w:p>
    <w:p>
      <w:pPr>
        <w:pStyle w:val="BodyText"/>
        <w:spacing w:line="480" w:lineRule="auto" w:before="161"/>
        <w:ind w:right="733"/>
        <w:jc w:val="both"/>
      </w:pPr>
      <w:r>
        <w:rPr/>
        <w:t>Ekwe and Inyiama (2014) carried out astudy to empirically determine theextent to which foreign capital flowshave impacted on the growthperformance of the Nigeria economyfrom 1982–2012. The studyemployed multiple regression analysismethod for the test of the hypotheses. From the resultsof the analysis, it was discovered thatForeign Capital Inflows had a positive andsignificant effect oneconomic growth with GDP as itsproxy. It indicated that foreign capitalinflows exerted considerable influenceas a key fiscal policy instrumentof economic growth over thestated period. Also the ForeignCapital Outflow in the samevein</w:t>
      </w:r>
      <w:r>
        <w:rPr>
          <w:spacing w:val="40"/>
        </w:rPr>
        <w:t> </w:t>
      </w:r>
      <w:r>
        <w:rPr/>
        <w:t>had a positiveand significant effect on theGDP, which is another indicationthat it exerted considerable influenceas a key fiscal policy instrumentof economic growth over thestated period. Furthermore, theOpenness of the economy, which was anotherexplanatory variables used to ascertain thegrowth performance of theeconomy, had a positive and significanteffect on the GDP. On theother hand, the HumanCapital Development had a negativeand insignificant</w:t>
      </w:r>
      <w:r>
        <w:rPr>
          <w:spacing w:val="43"/>
        </w:rPr>
        <w:t> </w:t>
      </w:r>
      <w:r>
        <w:rPr/>
        <w:t>effect</w:t>
      </w:r>
      <w:r>
        <w:rPr>
          <w:spacing w:val="43"/>
        </w:rPr>
        <w:t> </w:t>
      </w:r>
      <w:r>
        <w:rPr/>
        <w:t>on</w:t>
      </w:r>
      <w:r>
        <w:rPr>
          <w:spacing w:val="42"/>
        </w:rPr>
        <w:t> </w:t>
      </w:r>
      <w:r>
        <w:rPr/>
        <w:t>theGDP.</w:t>
      </w:r>
      <w:r>
        <w:rPr>
          <w:spacing w:val="43"/>
        </w:rPr>
        <w:t> </w:t>
      </w:r>
      <w:r>
        <w:rPr/>
        <w:t>The</w:t>
      </w:r>
      <w:r>
        <w:rPr>
          <w:spacing w:val="43"/>
        </w:rPr>
        <w:t> </w:t>
      </w:r>
      <w:r>
        <w:rPr/>
        <w:t>implication</w:t>
      </w:r>
      <w:r>
        <w:rPr>
          <w:spacing w:val="44"/>
        </w:rPr>
        <w:t> </w:t>
      </w:r>
      <w:r>
        <w:rPr/>
        <w:t>is</w:t>
      </w:r>
      <w:r>
        <w:rPr>
          <w:spacing w:val="45"/>
        </w:rPr>
        <w:t> </w:t>
      </w:r>
      <w:r>
        <w:rPr/>
        <w:t>that</w:t>
      </w:r>
      <w:r>
        <w:rPr>
          <w:spacing w:val="46"/>
        </w:rPr>
        <w:t> </w:t>
      </w:r>
      <w:r>
        <w:rPr/>
        <w:t>it</w:t>
      </w:r>
      <w:r>
        <w:rPr>
          <w:spacing w:val="41"/>
        </w:rPr>
        <w:t> </w:t>
      </w:r>
      <w:r>
        <w:rPr/>
        <w:t>did</w:t>
      </w:r>
      <w:r>
        <w:rPr>
          <w:spacing w:val="44"/>
        </w:rPr>
        <w:t> </w:t>
      </w:r>
      <w:r>
        <w:rPr/>
        <w:t>notexert</w:t>
      </w:r>
      <w:r>
        <w:rPr>
          <w:spacing w:val="44"/>
        </w:rPr>
        <w:t> </w:t>
      </w:r>
      <w:r>
        <w:rPr/>
        <w:t>much</w:t>
      </w:r>
      <w:r>
        <w:rPr>
          <w:spacing w:val="43"/>
        </w:rPr>
        <w:t> </w:t>
      </w:r>
      <w:r>
        <w:rPr>
          <w:spacing w:val="-2"/>
        </w:rPr>
        <w:t>influenceon</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81024">
                <wp:simplePos x="0" y="0"/>
                <wp:positionH relativeFrom="page">
                  <wp:posOffset>950112</wp:posOffset>
                </wp:positionH>
                <wp:positionV relativeFrom="paragraph">
                  <wp:posOffset>1321053</wp:posOffset>
                </wp:positionV>
                <wp:extent cx="5505450" cy="5661025"/>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35456" id="docshape157"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economic growthover the stated period. Finally, the inflation rate had a positive signwith GDP. It washowever, statistically insignificant whichpoints to the severityof the inflationary pressure brought to bearon the economy over thestated period. The study thus concludedthat government policy onforeign capital flows should bevigorously pursued andenhanced to provide a bufferto the nations dwindlinginternally generated revenue (IGR) amidst astronomicallygrowing population.</w:t>
      </w:r>
    </w:p>
    <w:p>
      <w:pPr>
        <w:pStyle w:val="BodyText"/>
        <w:spacing w:line="480" w:lineRule="auto" w:before="160"/>
        <w:ind w:right="733"/>
        <w:jc w:val="both"/>
      </w:pPr>
      <w:r>
        <w:rPr/>
        <w:t>Nkoro and Uko (2013) examined thenature of causality between as well as theimpact of foreign capital inflowscomponents and/on economicgrowth in Nigeria. The dynamic interaction among aidremittance, FDI and external debt and growthof the Nigerian economy was examined using theconcept of co-integration, variancedecomposition and impulse response analysisand block exogeneity tests. The resultsof the co-integration test revealed that a causal relationshipexists between foreign capitalinflows and economicgrowth in Nigeria. The variancedecomposition result supported thatof co-integration analysisof causality which revealed thatcausality runs from foreignaid, remittance (RMC), externaldebt (TED) and foreign directinvestment (FDI) to realGDP (growth). Responses of thereal GDP</w:t>
      </w:r>
      <w:r>
        <w:rPr>
          <w:spacing w:val="80"/>
        </w:rPr>
        <w:t> </w:t>
      </w:r>
      <w:r>
        <w:rPr/>
        <w:t>to one standard deviation innovationsof the componentsof foreign capital inflowsappeared to be verysensitive. The shocks appearedto be very pronouncedwithin the forecast period. However, the blockof exogeneity tests showed thatthe granger causality runs fromremittance (RMC) and externaldebt (TED) to realGDP (growth) only. Onlyremittance (RMC) and external debt(TED) are significant. But jointly they all enter themodel. However, the resultof the</w:t>
      </w:r>
      <w:r>
        <w:rPr>
          <w:spacing w:val="39"/>
        </w:rPr>
        <w:t> </w:t>
      </w:r>
      <w:r>
        <w:rPr/>
        <w:t>error</w:t>
      </w:r>
      <w:r>
        <w:rPr>
          <w:spacing w:val="40"/>
        </w:rPr>
        <w:t> </w:t>
      </w:r>
      <w:r>
        <w:rPr/>
        <w:t>correctionmodel</w:t>
      </w:r>
      <w:r>
        <w:rPr>
          <w:spacing w:val="40"/>
        </w:rPr>
        <w:t> </w:t>
      </w:r>
      <w:r>
        <w:rPr/>
        <w:t>showed</w:t>
      </w:r>
      <w:r>
        <w:rPr>
          <w:spacing w:val="40"/>
        </w:rPr>
        <w:t> </w:t>
      </w:r>
      <w:r>
        <w:rPr/>
        <w:t>that</w:t>
      </w:r>
      <w:r>
        <w:rPr>
          <w:spacing w:val="40"/>
        </w:rPr>
        <w:t> </w:t>
      </w:r>
      <w:r>
        <w:rPr/>
        <w:t>there</w:t>
      </w:r>
      <w:r>
        <w:rPr>
          <w:spacing w:val="40"/>
        </w:rPr>
        <w:t> </w:t>
      </w:r>
      <w:r>
        <w:rPr/>
        <w:t>is</w:t>
      </w:r>
      <w:r>
        <w:rPr>
          <w:spacing w:val="42"/>
        </w:rPr>
        <w:t> </w:t>
      </w:r>
      <w:r>
        <w:rPr/>
        <w:t>asignificant</w:t>
      </w:r>
      <w:r>
        <w:rPr>
          <w:spacing w:val="39"/>
        </w:rPr>
        <w:t> </w:t>
      </w:r>
      <w:r>
        <w:rPr/>
        <w:t>positive,</w:t>
      </w:r>
      <w:r>
        <w:rPr>
          <w:spacing w:val="40"/>
        </w:rPr>
        <w:t> </w:t>
      </w:r>
      <w:r>
        <w:rPr/>
        <w:t>negativepositive</w:t>
      </w:r>
      <w:r>
        <w:rPr>
          <w:spacing w:val="41"/>
        </w:rPr>
        <w:t> </w:t>
      </w:r>
      <w:r>
        <w:rPr>
          <w:spacing w:val="-5"/>
        </w:rPr>
        <w:t>and</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w:t>negative effectof foreign aid, remittanceFDI and external debton real GDP respectively. It takes sometime before their impacts are manifestedexcept for FDI.</w:t>
      </w:r>
    </w:p>
    <w:p>
      <w:pPr>
        <w:pStyle w:val="BodyText"/>
        <w:spacing w:line="480" w:lineRule="auto" w:before="160"/>
        <w:ind w:right="733"/>
        <w:jc w:val="both"/>
      </w:pPr>
      <w:r>
        <w:rPr/>
        <mc:AlternateContent>
          <mc:Choice Requires="wps">
            <w:drawing>
              <wp:anchor distT="0" distB="0" distL="0" distR="0" allowOverlap="1" layoutInCell="1" locked="0" behindDoc="1" simplePos="0" relativeHeight="478081536">
                <wp:simplePos x="0" y="0"/>
                <wp:positionH relativeFrom="page">
                  <wp:posOffset>950112</wp:posOffset>
                </wp:positionH>
                <wp:positionV relativeFrom="paragraph">
                  <wp:posOffset>552765</wp:posOffset>
                </wp:positionV>
                <wp:extent cx="5505450" cy="5661025"/>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34944" id="docshape158"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Orji,</w:t>
      </w:r>
      <w:r>
        <w:rPr>
          <w:spacing w:val="-4"/>
        </w:rPr>
        <w:t> </w:t>
      </w:r>
      <w:r>
        <w:rPr>
          <w:color w:val="111111"/>
        </w:rPr>
        <w:t>Uche</w:t>
      </w:r>
      <w:r>
        <w:rPr>
          <w:color w:val="111111"/>
          <w:spacing w:val="-6"/>
        </w:rPr>
        <w:t> </w:t>
      </w:r>
      <w:r>
        <w:rPr>
          <w:color w:val="111111"/>
        </w:rPr>
        <w:t>and</w:t>
      </w:r>
      <w:r>
        <w:rPr>
          <w:color w:val="111111"/>
          <w:spacing w:val="-5"/>
        </w:rPr>
        <w:t> </w:t>
      </w:r>
      <w:r>
        <w:rPr>
          <w:color w:val="111111"/>
        </w:rPr>
        <w:t>Ilori</w:t>
      </w:r>
      <w:r>
        <w:rPr>
          <w:color w:val="111111"/>
          <w:spacing w:val="-5"/>
        </w:rPr>
        <w:t> </w:t>
      </w:r>
      <w:r>
        <w:rPr>
          <w:color w:val="111111"/>
        </w:rPr>
        <w:t>(2014)</w:t>
      </w:r>
      <w:r>
        <w:rPr>
          <w:color w:val="111111"/>
          <w:spacing w:val="-2"/>
        </w:rPr>
        <w:t> </w:t>
      </w:r>
      <w:r>
        <w:rPr/>
        <w:t>employed</w:t>
      </w:r>
      <w:r>
        <w:rPr>
          <w:spacing w:val="-5"/>
        </w:rPr>
        <w:t> </w:t>
      </w:r>
      <w:r>
        <w:rPr/>
        <w:t>theSeemingly</w:t>
      </w:r>
      <w:r>
        <w:rPr>
          <w:spacing w:val="-5"/>
        </w:rPr>
        <w:t> </w:t>
      </w:r>
      <w:r>
        <w:rPr/>
        <w:t>Unrelated</w:t>
      </w:r>
      <w:r>
        <w:rPr>
          <w:spacing w:val="-2"/>
        </w:rPr>
        <w:t> </w:t>
      </w:r>
      <w:r>
        <w:rPr/>
        <w:t>RegressionEstimation</w:t>
      </w:r>
      <w:r>
        <w:rPr>
          <w:spacing w:val="-5"/>
        </w:rPr>
        <w:t> </w:t>
      </w:r>
      <w:r>
        <w:rPr/>
        <w:t>(SURE) technique</w:t>
      </w:r>
      <w:r>
        <w:rPr>
          <w:spacing w:val="-3"/>
        </w:rPr>
        <w:t> </w:t>
      </w:r>
      <w:r>
        <w:rPr/>
        <w:t>to</w:t>
      </w:r>
      <w:r>
        <w:rPr>
          <w:spacing w:val="-3"/>
        </w:rPr>
        <w:t> </w:t>
      </w:r>
      <w:r>
        <w:rPr/>
        <w:t>examinethe</w:t>
      </w:r>
      <w:r>
        <w:rPr>
          <w:spacing w:val="-2"/>
        </w:rPr>
        <w:t> </w:t>
      </w:r>
      <w:r>
        <w:rPr/>
        <w:t>implications</w:t>
      </w:r>
      <w:r>
        <w:rPr>
          <w:spacing w:val="-2"/>
        </w:rPr>
        <w:t> </w:t>
      </w:r>
      <w:r>
        <w:rPr/>
        <w:t>of</w:t>
      </w:r>
      <w:r>
        <w:rPr>
          <w:spacing w:val="-3"/>
        </w:rPr>
        <w:t> </w:t>
      </w:r>
      <w:r>
        <w:rPr/>
        <w:t>fourdifferent</w:t>
      </w:r>
      <w:r>
        <w:rPr>
          <w:spacing w:val="-3"/>
        </w:rPr>
        <w:t> </w:t>
      </w:r>
      <w:r>
        <w:rPr/>
        <w:t>types</w:t>
      </w:r>
      <w:r>
        <w:rPr>
          <w:spacing w:val="-3"/>
        </w:rPr>
        <w:t> </w:t>
      </w:r>
      <w:r>
        <w:rPr/>
        <w:t>of</w:t>
      </w:r>
      <w:r>
        <w:rPr>
          <w:spacing w:val="-3"/>
        </w:rPr>
        <w:t> </w:t>
      </w:r>
      <w:r>
        <w:rPr/>
        <w:t>foreigncapital</w:t>
      </w:r>
      <w:r>
        <w:rPr>
          <w:spacing w:val="-2"/>
        </w:rPr>
        <w:t> </w:t>
      </w:r>
      <w:r>
        <w:rPr/>
        <w:t>inflows</w:t>
      </w:r>
      <w:r>
        <w:rPr>
          <w:spacing w:val="-2"/>
        </w:rPr>
        <w:t> </w:t>
      </w:r>
      <w:r>
        <w:rPr/>
        <w:t>namely; Foreign DirectInvestment (FDI), Official DevelopmentAssistance (ODA), Foreign Private Investment (FPI) andRemittances (REM) on output growthof the West Africa Monetary</w:t>
      </w:r>
      <w:r>
        <w:rPr>
          <w:spacing w:val="40"/>
        </w:rPr>
        <w:t> </w:t>
      </w:r>
      <w:r>
        <w:rPr/>
        <w:t>Zone (WAMZ) economiesover the period1981-2010. The findings showedthat there are differences in the growthimpact of the variousforms of foreigncapital inflows in theWAMZ countries. The result also showed that more than one formof capital inflow contributed positivelyto output growth inNigeria. Again, it was found out thatODA positively</w:t>
      </w:r>
      <w:r>
        <w:rPr>
          <w:spacing w:val="80"/>
        </w:rPr>
        <w:t> </w:t>
      </w:r>
      <w:r>
        <w:rPr/>
        <w:t>contributed more tooutput growth inSierra Leone and Ghana, whereasFDI fostered more output growth in Nigeriaand Gambia. Remittances have the highestcontribution in Liberia and finally noneof the inflows positively impactedon Guinea’s economic growth.</w:t>
      </w:r>
    </w:p>
    <w:p>
      <w:pPr>
        <w:pStyle w:val="BodyText"/>
        <w:spacing w:line="480" w:lineRule="auto" w:before="161"/>
        <w:ind w:right="734"/>
        <w:jc w:val="both"/>
      </w:pPr>
      <w:r>
        <w:rPr/>
        <w:t>Okafor, Ugwuegbe and Ezeaku (2016) investigated the relationship betweenforeign capital inflows andeconomic growth in Nigeriafor the period, 1981-2014. In thisstudy, foreign capital inflows had Foreign DirectInvestment, Foreign Portfolio Investmentand Foreign Aid as proxies, while economicgrowth had Gross DomesticProduct (GDP) as proxy. The study employed annual datagenerated from CBN statisticalbulletin and Toda Yamamototest of causality was used to determine therelationship between foreign capital inflowand economic growth in Nigeria. The result revealed thatthere is bi-directional causality runningfrom GDP to FDI as well as fromFDI to GDP. It also indicated that there is aunidirectional causality between</w:t>
      </w:r>
      <w:r>
        <w:rPr>
          <w:spacing w:val="65"/>
        </w:rPr>
        <w:t> </w:t>
      </w:r>
      <w:r>
        <w:rPr/>
        <w:t>FPI</w:t>
      </w:r>
      <w:r>
        <w:rPr>
          <w:spacing w:val="67"/>
        </w:rPr>
        <w:t> </w:t>
      </w:r>
      <w:r>
        <w:rPr/>
        <w:t>and</w:t>
      </w:r>
      <w:r>
        <w:rPr>
          <w:spacing w:val="66"/>
        </w:rPr>
        <w:t> </w:t>
      </w:r>
      <w:r>
        <w:rPr/>
        <w:t>GDPwith</w:t>
      </w:r>
      <w:r>
        <w:rPr>
          <w:spacing w:val="66"/>
        </w:rPr>
        <w:t> </w:t>
      </w:r>
      <w:r>
        <w:rPr/>
        <w:t>causation</w:t>
      </w:r>
      <w:r>
        <w:rPr>
          <w:spacing w:val="66"/>
        </w:rPr>
        <w:t> </w:t>
      </w:r>
      <w:r>
        <w:rPr/>
        <w:t>running</w:t>
      </w:r>
      <w:r>
        <w:rPr>
          <w:spacing w:val="68"/>
        </w:rPr>
        <w:t> </w:t>
      </w:r>
      <w:r>
        <w:rPr/>
        <w:t>fromFPI</w:t>
      </w:r>
      <w:r>
        <w:rPr>
          <w:spacing w:val="66"/>
        </w:rPr>
        <w:t> </w:t>
      </w:r>
      <w:r>
        <w:rPr/>
        <w:t>to</w:t>
      </w:r>
      <w:r>
        <w:rPr>
          <w:spacing w:val="64"/>
        </w:rPr>
        <w:t> </w:t>
      </w:r>
      <w:r>
        <w:rPr/>
        <w:t>GDP.</w:t>
      </w:r>
      <w:r>
        <w:rPr>
          <w:spacing w:val="66"/>
        </w:rPr>
        <w:t> </w:t>
      </w:r>
      <w:r>
        <w:rPr/>
        <w:t>Furthermore,</w:t>
      </w:r>
      <w:r>
        <w:rPr>
          <w:spacing w:val="66"/>
        </w:rPr>
        <w:t> </w:t>
      </w:r>
      <w:r>
        <w:rPr>
          <w:spacing w:val="-2"/>
        </w:rPr>
        <w:t>theresult</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82048">
                <wp:simplePos x="0" y="0"/>
                <wp:positionH relativeFrom="page">
                  <wp:posOffset>950112</wp:posOffset>
                </wp:positionH>
                <wp:positionV relativeFrom="paragraph">
                  <wp:posOffset>1321053</wp:posOffset>
                </wp:positionV>
                <wp:extent cx="5505450" cy="5661025"/>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34432" id="docshape159"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showed a unidirectionalcausality between GDPand FA with causationrunning from FA to GDP.</w:t>
      </w:r>
      <w:r>
        <w:rPr>
          <w:spacing w:val="-2"/>
        </w:rPr>
        <w:t> </w:t>
      </w:r>
      <w:r>
        <w:rPr/>
        <w:t>Finally,</w:t>
      </w:r>
      <w:r>
        <w:rPr>
          <w:spacing w:val="-2"/>
        </w:rPr>
        <w:t> </w:t>
      </w:r>
      <w:r>
        <w:rPr/>
        <w:t>the</w:t>
      </w:r>
      <w:r>
        <w:rPr>
          <w:spacing w:val="-3"/>
        </w:rPr>
        <w:t> </w:t>
      </w:r>
      <w:r>
        <w:rPr/>
        <w:t>jointcausation</w:t>
      </w:r>
      <w:r>
        <w:rPr>
          <w:spacing w:val="-2"/>
        </w:rPr>
        <w:t> </w:t>
      </w:r>
      <w:r>
        <w:rPr/>
        <w:t>between</w:t>
      </w:r>
      <w:r>
        <w:rPr>
          <w:spacing w:val="-3"/>
        </w:rPr>
        <w:t> </w:t>
      </w:r>
      <w:r>
        <w:rPr/>
        <w:t>all</w:t>
      </w:r>
      <w:r>
        <w:rPr>
          <w:spacing w:val="-2"/>
        </w:rPr>
        <w:t> </w:t>
      </w:r>
      <w:r>
        <w:rPr/>
        <w:t>the</w:t>
      </w:r>
      <w:r>
        <w:rPr>
          <w:spacing w:val="-3"/>
        </w:rPr>
        <w:t> </w:t>
      </w:r>
      <w:r>
        <w:rPr/>
        <w:t>componentsof</w:t>
      </w:r>
      <w:r>
        <w:rPr>
          <w:spacing w:val="-2"/>
        </w:rPr>
        <w:t> </w:t>
      </w:r>
      <w:r>
        <w:rPr/>
        <w:t>foreign</w:t>
      </w:r>
      <w:r>
        <w:rPr>
          <w:spacing w:val="-3"/>
        </w:rPr>
        <w:t> </w:t>
      </w:r>
      <w:r>
        <w:rPr/>
        <w:t>capitalinflow</w:t>
      </w:r>
      <w:r>
        <w:rPr>
          <w:spacing w:val="-2"/>
        </w:rPr>
        <w:t> </w:t>
      </w:r>
      <w:r>
        <w:rPr/>
        <w:t>i.e.</w:t>
      </w:r>
      <w:r>
        <w:rPr>
          <w:spacing w:val="-3"/>
        </w:rPr>
        <w:t> </w:t>
      </w:r>
      <w:r>
        <w:rPr/>
        <w:t>FDI, FPI, FA and GDP indicates that anincrease in foreign capital inflowcauses GDP to increase positively. And sogovernment should design policiesand programs to enhance theinflows of foreign capital asthey will accelerate the speedof growth in the economy.</w:t>
      </w:r>
    </w:p>
    <w:p>
      <w:pPr>
        <w:pStyle w:val="BodyText"/>
        <w:spacing w:line="480" w:lineRule="auto" w:before="161"/>
        <w:ind w:right="733"/>
        <w:jc w:val="both"/>
      </w:pPr>
      <w:r>
        <w:rPr/>
        <w:t>Okon, Augustine and Chuku (2012) examinedforeign direct investment andeconomic growth in Nigeria: an analysisof theendogenous effects. This research endeavourset out to empirically investigatethe relationship between foreigndirect investment and economic growth in Nigeriabetween 1970 and 2008. The paper makes theproposition that there is endogeniety i.e., bi-directionalrelationship between FDI and economicgrowth in Nigeria. Single</w:t>
      </w:r>
      <w:r>
        <w:rPr>
          <w:spacing w:val="-2"/>
        </w:rPr>
        <w:t> </w:t>
      </w:r>
      <w:r>
        <w:rPr/>
        <w:t>and</w:t>
      </w:r>
      <w:r>
        <w:rPr>
          <w:spacing w:val="-2"/>
        </w:rPr>
        <w:t> </w:t>
      </w:r>
      <w:r>
        <w:rPr/>
        <w:t>simultaneousequation</w:t>
      </w:r>
      <w:r>
        <w:rPr>
          <w:spacing w:val="-1"/>
        </w:rPr>
        <w:t> </w:t>
      </w:r>
      <w:r>
        <w:rPr/>
        <w:t>systems are</w:t>
      </w:r>
      <w:r>
        <w:rPr>
          <w:spacing w:val="-1"/>
        </w:rPr>
        <w:t> </w:t>
      </w:r>
      <w:r>
        <w:rPr/>
        <w:t>employedto</w:t>
      </w:r>
      <w:r>
        <w:rPr>
          <w:spacing w:val="-1"/>
        </w:rPr>
        <w:t> </w:t>
      </w:r>
      <w:r>
        <w:rPr/>
        <w:t>examine</w:t>
      </w:r>
      <w:r>
        <w:rPr>
          <w:spacing w:val="-2"/>
        </w:rPr>
        <w:t> </w:t>
      </w:r>
      <w:r>
        <w:rPr/>
        <w:t>if</w:t>
      </w:r>
      <w:r>
        <w:rPr>
          <w:spacing w:val="-1"/>
        </w:rPr>
        <w:t> </w:t>
      </w:r>
      <w:r>
        <w:rPr/>
        <w:t>there</w:t>
      </w:r>
      <w:r>
        <w:rPr>
          <w:spacing w:val="-1"/>
        </w:rPr>
        <w:t> </w:t>
      </w:r>
      <w:r>
        <w:rPr/>
        <w:t>is anysort</w:t>
      </w:r>
      <w:r>
        <w:rPr>
          <w:spacing w:val="-1"/>
        </w:rPr>
        <w:t> </w:t>
      </w:r>
      <w:r>
        <w:rPr/>
        <w:t>of feed- back relationship betweenFDI and economic growthin Nigeria. The results obtained show that FDI andeconomic growth are jointlydetermined in Nigeriaand there is positive feedback from FDI to growthand from growthto FDI.</w:t>
      </w:r>
    </w:p>
    <w:p>
      <w:pPr>
        <w:pStyle w:val="BodyText"/>
        <w:spacing w:line="480" w:lineRule="auto" w:before="161"/>
        <w:ind w:right="736"/>
        <w:jc w:val="both"/>
      </w:pPr>
      <w:r>
        <w:rPr/>
        <w:t>Oyatoye, Arogundade, Adebisiand Oluwakayode (2011) examined thepossible impact and relationship betweenForeign Direct Investmentand Economic Growth inNigeria. The scope cover a period of 20 years (1987 – 2006) bothyears inclusive. Regression analysis of</w:t>
      </w:r>
      <w:r>
        <w:rPr>
          <w:spacing w:val="40"/>
        </w:rPr>
        <w:t> </w:t>
      </w:r>
      <w:r>
        <w:rPr/>
        <w:t>ordinary LeastSquare (OLS) was used in analysingthe data. The study concluded thatthere is a positive relationship betweendirect foreign investment andgross domestic product (GDP). The result further showedthat one naira increasein the value of directforeign investment</w:t>
      </w:r>
      <w:r>
        <w:rPr>
          <w:spacing w:val="40"/>
        </w:rPr>
        <w:t> </w:t>
      </w:r>
      <w:r>
        <w:rPr/>
        <w:t>(DFI) will lead to N104.749 increase in GDP. Thevalue of co-efficient ofdetermination (r2)</w:t>
      </w:r>
      <w:r>
        <w:rPr>
          <w:spacing w:val="40"/>
        </w:rPr>
        <w:t> </w:t>
      </w:r>
      <w:r>
        <w:rPr/>
        <w:t>is</w:t>
      </w:r>
      <w:r>
        <w:rPr>
          <w:spacing w:val="45"/>
        </w:rPr>
        <w:t> </w:t>
      </w:r>
      <w:r>
        <w:rPr/>
        <w:t>18.5%,</w:t>
      </w:r>
      <w:r>
        <w:rPr>
          <w:spacing w:val="44"/>
        </w:rPr>
        <w:t> </w:t>
      </w:r>
      <w:r>
        <w:rPr/>
        <w:t>showing</w:t>
      </w:r>
      <w:r>
        <w:rPr>
          <w:spacing w:val="44"/>
        </w:rPr>
        <w:t> </w:t>
      </w:r>
      <w:r>
        <w:rPr/>
        <w:t>thatonly</w:t>
      </w:r>
      <w:r>
        <w:rPr>
          <w:spacing w:val="44"/>
        </w:rPr>
        <w:t> </w:t>
      </w:r>
      <w:r>
        <w:rPr/>
        <w:t>18.5%</w:t>
      </w:r>
      <w:r>
        <w:rPr>
          <w:spacing w:val="45"/>
        </w:rPr>
        <w:t> </w:t>
      </w:r>
      <w:r>
        <w:rPr/>
        <w:t>change</w:t>
      </w:r>
      <w:r>
        <w:rPr>
          <w:spacing w:val="45"/>
        </w:rPr>
        <w:t> </w:t>
      </w:r>
      <w:r>
        <w:rPr/>
        <w:t>in</w:t>
      </w:r>
      <w:r>
        <w:rPr>
          <w:spacing w:val="47"/>
        </w:rPr>
        <w:t> </w:t>
      </w:r>
      <w:r>
        <w:rPr/>
        <w:t>GDP</w:t>
      </w:r>
      <w:r>
        <w:rPr>
          <w:spacing w:val="44"/>
        </w:rPr>
        <w:t> </w:t>
      </w:r>
      <w:r>
        <w:rPr/>
        <w:t>has</w:t>
      </w:r>
      <w:r>
        <w:rPr>
          <w:spacing w:val="45"/>
        </w:rPr>
        <w:t> </w:t>
      </w:r>
      <w:r>
        <w:rPr/>
        <w:t>beenexplained</w:t>
      </w:r>
      <w:r>
        <w:rPr>
          <w:spacing w:val="44"/>
        </w:rPr>
        <w:t> </w:t>
      </w:r>
      <w:r>
        <w:rPr/>
        <w:t>by</w:t>
      </w:r>
      <w:r>
        <w:rPr>
          <w:spacing w:val="44"/>
        </w:rPr>
        <w:t> </w:t>
      </w:r>
      <w:r>
        <w:rPr/>
        <w:t>DFI</w:t>
      </w:r>
      <w:r>
        <w:rPr>
          <w:spacing w:val="47"/>
        </w:rPr>
        <w:t> </w:t>
      </w:r>
      <w:r>
        <w:rPr/>
        <w:t>while</w:t>
      </w:r>
      <w:r>
        <w:rPr>
          <w:spacing w:val="44"/>
        </w:rPr>
        <w:t> </w:t>
      </w:r>
      <w:r>
        <w:rPr>
          <w:spacing w:val="-5"/>
        </w:rPr>
        <w:t>the</w:t>
      </w:r>
    </w:p>
    <w:p>
      <w:pPr>
        <w:spacing w:after="0" w:line="480" w:lineRule="auto"/>
        <w:jc w:val="both"/>
        <w:sectPr>
          <w:pgSz w:w="12240" w:h="15840"/>
          <w:pgMar w:header="0" w:footer="1012" w:top="1380" w:bottom="1200" w:left="1220" w:right="700"/>
        </w:sectPr>
      </w:pPr>
    </w:p>
    <w:p>
      <w:pPr>
        <w:pStyle w:val="BodyText"/>
        <w:spacing w:line="480" w:lineRule="auto" w:before="60"/>
        <w:ind w:right="739"/>
        <w:jc w:val="both"/>
      </w:pPr>
      <w:r>
        <w:rPr/>
        <w:t>remaining 81.5% isunexplained by the model. This supports apositive relationshipbetween GDP and DFI.</w:t>
      </w:r>
    </w:p>
    <w:p>
      <w:pPr>
        <w:pStyle w:val="BodyText"/>
        <w:spacing w:line="480" w:lineRule="auto" w:before="160"/>
        <w:ind w:right="734"/>
        <w:jc w:val="both"/>
      </w:pPr>
      <w:r>
        <w:rPr/>
        <mc:AlternateContent>
          <mc:Choice Requires="wps">
            <w:drawing>
              <wp:anchor distT="0" distB="0" distL="0" distR="0" allowOverlap="1" layoutInCell="1" locked="0" behindDoc="1" simplePos="0" relativeHeight="478082560">
                <wp:simplePos x="0" y="0"/>
                <wp:positionH relativeFrom="page">
                  <wp:posOffset>950112</wp:posOffset>
                </wp:positionH>
                <wp:positionV relativeFrom="paragraph">
                  <wp:posOffset>552765</wp:posOffset>
                </wp:positionV>
                <wp:extent cx="5505450" cy="5661025"/>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33920" id="docshape160"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Olusanya (2013) investigated theimpact of foreign direct investmentinflow on economic growth in a pre andpost deregulated Nigeria economyusing Granger Causality Test with a time seriesdata starting from 1970 to2010. The analysis de-aggregates theeconomy into three period; 1970 to 1986, 1986 to 2010 and 1970 to 2010, to test thecausality between foreign direct investmentinflow (FDI) and economicgrowth (GDP). However, theresult of the causality test showsthat there is causality relationshipin the pre-deregulation era that is</w:t>
      </w:r>
      <w:r>
        <w:rPr>
          <w:spacing w:val="40"/>
        </w:rPr>
        <w:t> </w:t>
      </w:r>
      <w:r>
        <w:rPr/>
        <w:t>(1970-1986) fromeconomic growth (GDP) to foreigndirect investment inflow (FDI) which means GDPcauses FDI, but there is nocausality relationship in thepost-deregulation era that is (1986-2010) betweeneconomic growth (GDP) andforeign direct investmentinflow (FDI) which means GDPcauses FDI. However, between1970 to 2010 it showsthat is causality relationship betweeneconomic growth (GDP) and foreigndirect investment inflow (FDI) that is</w:t>
      </w:r>
      <w:r>
        <w:rPr>
          <w:spacing w:val="-2"/>
        </w:rPr>
        <w:t> </w:t>
      </w:r>
      <w:r>
        <w:rPr/>
        <w:t>economic</w:t>
      </w:r>
      <w:r>
        <w:rPr>
          <w:spacing w:val="-4"/>
        </w:rPr>
        <w:t> </w:t>
      </w:r>
      <w:r>
        <w:rPr/>
        <w:t>growthdrive</w:t>
      </w:r>
      <w:r>
        <w:rPr>
          <w:spacing w:val="-4"/>
        </w:rPr>
        <w:t> </w:t>
      </w:r>
      <w:r>
        <w:rPr/>
        <w:t>foreign</w:t>
      </w:r>
      <w:r>
        <w:rPr>
          <w:spacing w:val="-4"/>
        </w:rPr>
        <w:t> </w:t>
      </w:r>
      <w:r>
        <w:rPr/>
        <w:t>direct</w:t>
      </w:r>
      <w:r>
        <w:rPr>
          <w:spacing w:val="-4"/>
        </w:rPr>
        <w:t> </w:t>
      </w:r>
      <w:r>
        <w:rPr/>
        <w:t>investmentinflow</w:t>
      </w:r>
      <w:r>
        <w:rPr>
          <w:spacing w:val="-4"/>
        </w:rPr>
        <w:t> </w:t>
      </w:r>
      <w:r>
        <w:rPr/>
        <w:t>into</w:t>
      </w:r>
      <w:r>
        <w:rPr>
          <w:spacing w:val="-4"/>
        </w:rPr>
        <w:t> </w:t>
      </w:r>
      <w:r>
        <w:rPr/>
        <w:t>the</w:t>
      </w:r>
      <w:r>
        <w:rPr>
          <w:spacing w:val="-4"/>
        </w:rPr>
        <w:t> </w:t>
      </w:r>
      <w:r>
        <w:rPr/>
        <w:t>country</w:t>
      </w:r>
      <w:r>
        <w:rPr>
          <w:spacing w:val="-4"/>
        </w:rPr>
        <w:t> </w:t>
      </w:r>
      <w:r>
        <w:rPr/>
        <w:t>andvice</w:t>
      </w:r>
      <w:r>
        <w:rPr>
          <w:spacing w:val="-4"/>
        </w:rPr>
        <w:t> </w:t>
      </w:r>
      <w:r>
        <w:rPr/>
        <w:t>versa.</w:t>
      </w:r>
      <w:r>
        <w:rPr>
          <w:spacing w:val="-3"/>
        </w:rPr>
        <w:t> </w:t>
      </w:r>
      <w:r>
        <w:rPr/>
        <w:t>This study ignored the importantaspect of FDI which is humancapital development and its contributionto financial development.</w:t>
      </w:r>
    </w:p>
    <w:p>
      <w:pPr>
        <w:pStyle w:val="BodyText"/>
        <w:spacing w:line="480" w:lineRule="auto" w:before="162"/>
        <w:ind w:right="735"/>
        <w:jc w:val="both"/>
      </w:pPr>
      <w:r>
        <w:rPr/>
        <w:t>Adefabi (2011) conducted a study thatexamined the effects of FDI andhuman capital on growth in 24 sub-SaharanAfrican countries using afixed effect estimationtechnique and it</w:t>
      </w:r>
      <w:r>
        <w:rPr>
          <w:spacing w:val="40"/>
        </w:rPr>
        <w:t> </w:t>
      </w:r>
      <w:r>
        <w:rPr/>
        <w:t>was found that thereexisted a weak butpositive effect of FDI oneconomic growth in sub- Saharan Africa. The study also found that aweak complementary effectof FDI and human capital in economicgrowth for sub-SaharanAfrica countries. Empirical evidencerevealed that FDI</w:t>
      </w:r>
      <w:r>
        <w:rPr>
          <w:spacing w:val="43"/>
        </w:rPr>
        <w:t> </w:t>
      </w:r>
      <w:r>
        <w:rPr/>
        <w:t>can</w:t>
      </w:r>
      <w:r>
        <w:rPr>
          <w:spacing w:val="42"/>
        </w:rPr>
        <w:t> </w:t>
      </w:r>
      <w:r>
        <w:rPr/>
        <w:t>affect</w:t>
      </w:r>
      <w:r>
        <w:rPr>
          <w:spacing w:val="42"/>
        </w:rPr>
        <w:t> </w:t>
      </w:r>
      <w:r>
        <w:rPr/>
        <w:t>growthpositively</w:t>
      </w:r>
      <w:r>
        <w:rPr>
          <w:spacing w:val="43"/>
        </w:rPr>
        <w:t> </w:t>
      </w:r>
      <w:r>
        <w:rPr/>
        <w:t>but</w:t>
      </w:r>
      <w:r>
        <w:rPr>
          <w:spacing w:val="42"/>
        </w:rPr>
        <w:t> </w:t>
      </w:r>
      <w:r>
        <w:rPr/>
        <w:t>notthrough</w:t>
      </w:r>
      <w:r>
        <w:rPr>
          <w:spacing w:val="42"/>
        </w:rPr>
        <w:t> </w:t>
      </w:r>
      <w:r>
        <w:rPr/>
        <w:t>accumulationof</w:t>
      </w:r>
      <w:r>
        <w:rPr>
          <w:spacing w:val="43"/>
        </w:rPr>
        <w:t> </w:t>
      </w:r>
      <w:r>
        <w:rPr/>
        <w:t>human</w:t>
      </w:r>
      <w:r>
        <w:rPr>
          <w:spacing w:val="42"/>
        </w:rPr>
        <w:t> </w:t>
      </w:r>
      <w:r>
        <w:rPr/>
        <w:t>capital.</w:t>
      </w:r>
      <w:r>
        <w:rPr>
          <w:spacing w:val="42"/>
        </w:rPr>
        <w:t> </w:t>
      </w:r>
      <w:r>
        <w:rPr/>
        <w:t>This</w:t>
      </w:r>
      <w:r>
        <w:rPr>
          <w:spacing w:val="43"/>
        </w:rPr>
        <w:t> </w:t>
      </w:r>
      <w:r>
        <w:rPr>
          <w:spacing w:val="-5"/>
        </w:rPr>
        <w:t>was</w:t>
      </w:r>
    </w:p>
    <w:p>
      <w:pPr>
        <w:spacing w:after="0" w:line="480" w:lineRule="auto"/>
        <w:jc w:val="both"/>
        <w:sectPr>
          <w:pgSz w:w="12240" w:h="15840"/>
          <w:pgMar w:header="0" w:footer="1012" w:top="1380" w:bottom="1200" w:left="1220" w:right="700"/>
        </w:sectPr>
      </w:pPr>
    </w:p>
    <w:p>
      <w:pPr>
        <w:pStyle w:val="BodyText"/>
        <w:spacing w:line="480" w:lineRule="auto" w:before="60"/>
        <w:ind w:right="736"/>
        <w:jc w:val="both"/>
      </w:pPr>
      <w:r>
        <w:rPr/>
        <w:t>attributed to the fact that thebulk of FDI flows in subSaharan Africa movedmostly to the extractiveindustries (resource seeking) with littleor no spillovers to othersectors such as manufacturing and services.</w:t>
      </w:r>
    </w:p>
    <w:p>
      <w:pPr>
        <w:pStyle w:val="BodyText"/>
        <w:spacing w:line="480" w:lineRule="auto" w:before="161"/>
        <w:ind w:right="733"/>
        <w:jc w:val="both"/>
      </w:pPr>
      <w:r>
        <w:rPr/>
        <mc:AlternateContent>
          <mc:Choice Requires="wps">
            <w:drawing>
              <wp:anchor distT="0" distB="0" distL="0" distR="0" allowOverlap="1" layoutInCell="1" locked="0" behindDoc="1" simplePos="0" relativeHeight="478083072">
                <wp:simplePos x="0" y="0"/>
                <wp:positionH relativeFrom="page">
                  <wp:posOffset>950112</wp:posOffset>
                </wp:positionH>
                <wp:positionV relativeFrom="paragraph">
                  <wp:posOffset>187671</wp:posOffset>
                </wp:positionV>
                <wp:extent cx="5505450" cy="5661025"/>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4.777295pt;width:433.5pt;height:445.75pt;mso-position-horizontal-relative:page;mso-position-vertical-relative:paragraph;z-index:-25233408" id="docshape161" coordorigin="1496,296" coordsize="8670,8915" path="m2562,9015l1691,8144,1496,8339,2367,9210,2562,9015xm3154,8339l3153,8300,3148,8257,3139,8213,3125,8169,3106,8126,3083,8082,3055,8040,3025,7999,2991,7959,2954,7920,2435,7400,2241,7595,2772,8126,2805,8162,2829,8198,2846,8232,2856,8267,2858,8299,2851,8330,2837,8358,2816,8385,2790,8406,2761,8420,2730,8426,2697,8424,2663,8414,2628,8398,2593,8373,2557,8342,2026,7810,1831,8004,2351,8523,2385,8556,2424,8588,2468,8620,2516,8653,2548,8672,2583,8687,2620,8701,2658,8711,2697,8719,2733,8723,2767,8723,2800,8720,2831,8713,2863,8701,2895,8685,2926,8664,2957,8641,2985,8618,3011,8595,3035,8573,3071,8532,3102,8492,3125,8450,3142,8408,3150,8375,3154,8339xm3882,7556l3876,7492,3860,7426,3834,7360,3806,7305,3771,7249,3728,7192,3678,7133,3661,7114,3621,7072,3597,7050,3597,7544,3592,7584,3577,7621,3551,7654,3518,7679,3481,7694,3441,7699,3396,7693,3347,7674,3294,7643,3235,7598,3171,7539,3112,7475,3066,7416,3035,7361,3016,7312,3010,7268,3014,7228,3029,7192,3053,7160,3086,7134,3122,7119,3163,7114,3207,7119,3255,7136,3307,7166,3363,7208,3423,7263,3488,7333,3538,7396,3572,7452,3591,7500,3597,7544,3597,7050,3551,7007,3482,6952,3413,6907,3344,6872,3276,6846,3209,6830,3130,6824,3055,6834,2983,6860,2914,6900,2850,6956,2796,7019,2756,7087,2732,7159,2723,7234,2729,7314,2746,7382,2772,7451,2808,7521,2854,7591,2910,7661,2976,7732,3036,7789,3096,7839,3156,7881,3215,7916,3273,7943,3344,7967,3411,7981,3475,7984,3535,7978,3593,7962,3649,7935,3705,7897,3758,7849,3805,7795,3841,7739,3858,7699,3866,7680,3879,7619,3882,7556xm4153,6976l3966,6789,3712,7044,3899,7231,4153,6976xm4664,6914l3793,6043,3598,6238,4469,7109,4664,6914xm4998,6580l4675,6256,4781,6150,4832,6090,4837,6080,4866,6028,4883,5965,4882,5900,4866,5835,4843,5784,4836,5769,4792,5703,4733,5637,4670,5580,4607,5537,4598,5532,4598,5926,4597,5951,4587,5977,4570,6004,4546,6032,4498,6080,4304,5885,4359,5830,4386,5807,4412,5791,4438,5784,4462,5784,4486,5791,4509,5801,4531,5815,4552,5834,4570,5855,4584,5878,4593,5901,4598,5926,4598,5532,4544,5507,4483,5491,4423,5490,4365,5505,4309,5535,4255,5580,3931,5904,4803,6775,4998,6580xm5788,5790l5132,5134,5330,4935,5115,4720,4524,5312,4739,5527,4937,5328,5593,5984,5788,5790xm6423,5154l5767,4498,5966,4300,5751,4085,5159,4676,5374,4891,5573,4693,6229,5349,6423,5154xm7157,4281l7151,4217,7135,4151,7109,4085,7081,4030,7046,3974,7003,3917,6953,3858,6935,3839,6896,3798,6872,3775,6872,4269,6867,4309,6851,4346,6825,4379,6793,4405,6756,4420,6716,4424,6671,4418,6622,4399,6569,4368,6510,4323,6446,4264,6387,4200,6341,4141,6309,4086,6291,4037,6285,3993,6289,3953,6304,3917,6328,3885,6361,3860,6397,3844,6438,3839,6482,3844,6530,3862,6582,3891,6638,3934,6698,3989,6763,4058,6813,4121,6847,4177,6866,4226,6872,4269,6872,3775,6826,3732,6756,3677,6687,3632,6619,3597,6551,3571,6483,3555,6405,3550,6329,3560,6258,3585,6189,3625,6125,3681,6071,3744,6031,3812,6007,3884,5998,3959,6004,4039,6021,4107,6047,4176,6083,4246,6129,4316,6184,4386,6250,4457,6311,4514,6371,4564,6431,4606,6490,4641,6548,4668,6619,4692,6686,4706,6750,4710,6810,4703,6868,4687,6924,4660,6979,4622,7033,4574,7080,4520,7116,4464,7133,4424,7141,4405,7154,4344,7157,4281xm8170,3286l8165,3237,8153,3186,8134,3134,8109,3079,8079,3023,8041,2966,7980,2991,7799,3065,7831,3112,7855,3155,7873,3195,7884,3233,7887,3268,7881,3301,7866,3332,7843,3361,7812,3385,7778,3399,7740,3403,7700,3397,7653,3378,7600,3344,7538,3295,7469,3230,7417,3174,7375,3122,7344,3074,7324,3031,7311,2980,7312,2933,7325,2892,7352,2856,7367,2843,7384,2833,7402,2825,7422,2820,7442,2818,7464,2819,7486,2822,7509,2828,7524,2834,7542,2842,7563,2853,7586,2867,7705,2642,7622,2596,7543,2564,7469,2545,7400,2539,7333,2547,7269,2569,7206,2607,7146,2660,7092,2722,7054,2789,7030,2859,7021,2933,7027,3011,7044,3078,7070,3145,7106,3214,7153,3284,7209,3355,7276,3427,7341,3487,7404,3539,7467,3583,7529,3618,7590,3646,7662,3669,7730,3682,7791,3685,7847,3678,7900,3661,7952,3635,8004,3598,8056,3552,8094,3509,8125,3466,8147,3422,8161,3378,8169,3333,8170,3286xm8868,2570l8861,2506,8846,2441,8820,2374,8792,2319,8757,2263,8714,2206,8664,2147,8646,2128,8607,2087,8583,2064,8583,2558,8578,2598,8562,2635,8536,2668,8504,2694,8467,2709,8427,2713,8382,2707,8333,2689,8279,2657,8221,2612,8157,2553,8098,2489,8052,2430,8020,2376,8002,2327,7996,2282,8000,2242,8014,2206,8039,2174,8071,2149,8108,2133,8149,2128,8193,2133,8241,2151,8293,2180,8349,2223,8409,2278,8474,2347,8524,2410,8558,2466,8577,2515,8583,2558,8583,2064,8537,2021,8467,1966,8398,1921,8330,1886,8262,1860,8194,1844,8116,1839,8040,1849,7968,1874,7900,1915,7835,1970,7781,2034,7742,2101,7718,2173,7709,2249,7715,2328,7731,2397,7758,2466,7794,2535,7839,2605,7895,2676,7961,2746,8022,2804,8082,2853,8142,2895,8201,2930,8259,2957,8329,2982,8397,2995,8461,2999,8521,2992,8579,2976,8635,2949,8690,2911,8744,2863,8791,2809,8827,2753,8844,2713,8852,2694,8865,2633,8868,2570xm9348,2229l9025,1906,9132,1799,9182,1739,9188,1730,9216,1678,9233,1615,9233,1550,9217,1484,9194,1433,9187,1418,9142,1353,9084,1287,9020,1229,8957,1186,8948,1182,8948,1575,8947,1601,8938,1627,8921,1654,8896,1682,8849,1730,8654,1535,8710,1480,8737,1456,8763,1441,8788,1433,8812,1434,8836,1440,8859,1451,8881,1465,8902,1484,8920,1505,8934,1528,8943,1551,8948,1575,8948,1182,8895,1157,8833,1141,8773,1140,8715,1155,8659,1185,8605,1230,8282,1554,9153,2425,9348,2229xm10166,1412l9801,1047,9748,897,9593,446,9540,296,9325,511,9353,581,9436,792,9492,932,9422,904,9211,821,9071,765,8854,981,9005,1034,9456,1189,9606,1242,9971,1607,10166,1412xe" filled="true" fillcolor="#c0c0c0" stroked="false">
                <v:path arrowok="t"/>
                <v:fill opacity="32896f" type="solid"/>
                <w10:wrap type="none"/>
              </v:shape>
            </w:pict>
          </mc:Fallback>
        </mc:AlternateContent>
      </w:r>
      <w:r>
        <w:rPr/>
        <w:t>Ogujiuba and Obiechina (2012) examine therelationship existing amongforeign private capital componentsand foreign portfolio investmenteconomic growth and some macroeconomic indicatorsinterest rate and inflation rate aswell as policy implications, there from, using time seriesdata from 1986-2008. A non restrictivevector Autoregressive (VAR) model was developedwhile restriction is imposed toidentify the orthogonal(structural) components of theerror terms – structuralvector Autoregressive (SVAR). The study indicates that the responseof the GDP to shocksfrom the foreign portfolioinvestment is not contemporaneousand this is applicableto other variables. It is somewhatsluggish but returns faster to equilibriumcompared to the responsefrom the NetPortfolio Investment. Restructuring the recursiveCholesky structural decompositionof the impulse response function, both in theshort-run and long-run, the result indicates that theNet Portfolio Investment impacton the GDP at theshort-run, while the NetDirect Investment does not.</w:t>
      </w:r>
      <w:r>
        <w:rPr>
          <w:spacing w:val="40"/>
        </w:rPr>
        <w:t> </w:t>
      </w:r>
      <w:r>
        <w:rPr/>
        <w:t>Also, the interest was shown toimpact on the Net PortfolioInvestment in the short-run.</w:t>
      </w:r>
    </w:p>
    <w:p>
      <w:pPr>
        <w:pStyle w:val="BodyText"/>
        <w:spacing w:line="480" w:lineRule="auto" w:before="161"/>
        <w:ind w:right="734"/>
        <w:jc w:val="both"/>
      </w:pPr>
      <w:r>
        <w:rPr/>
        <w:t>Ibrahim and Akinbobola (2017) examined therelationship between foreign portfolio investment, democracyand economic growth inNigeria. Time-series datafor the period 1986 to</w:t>
      </w:r>
      <w:r>
        <w:rPr>
          <w:spacing w:val="-1"/>
        </w:rPr>
        <w:t> </w:t>
      </w:r>
      <w:r>
        <w:rPr/>
        <w:t>2013</w:t>
      </w:r>
      <w:r>
        <w:rPr>
          <w:spacing w:val="-1"/>
        </w:rPr>
        <w:t> </w:t>
      </w:r>
      <w:r>
        <w:rPr/>
        <w:t>on</w:t>
      </w:r>
      <w:r>
        <w:rPr>
          <w:spacing w:val="-1"/>
        </w:rPr>
        <w:t> </w:t>
      </w:r>
      <w:r>
        <w:rPr/>
        <w:t>foreignportfolio</w:t>
      </w:r>
      <w:r>
        <w:rPr>
          <w:spacing w:val="-1"/>
        </w:rPr>
        <w:t> </w:t>
      </w:r>
      <w:r>
        <w:rPr/>
        <w:t>investment</w:t>
      </w:r>
      <w:r>
        <w:rPr>
          <w:spacing w:val="-1"/>
        </w:rPr>
        <w:t> </w:t>
      </w:r>
      <w:r>
        <w:rPr/>
        <w:t>and</w:t>
      </w:r>
      <w:r>
        <w:rPr>
          <w:spacing w:val="-2"/>
        </w:rPr>
        <w:t> </w:t>
      </w:r>
      <w:r>
        <w:rPr/>
        <w:t>maximumlending</w:t>
      </w:r>
      <w:r>
        <w:rPr>
          <w:spacing w:val="-1"/>
        </w:rPr>
        <w:t> </w:t>
      </w:r>
      <w:r>
        <w:rPr/>
        <w:t>rate wereobtained</w:t>
      </w:r>
      <w:r>
        <w:rPr>
          <w:spacing w:val="-2"/>
        </w:rPr>
        <w:t> </w:t>
      </w:r>
      <w:r>
        <w:rPr/>
        <w:t>from</w:t>
      </w:r>
      <w:r>
        <w:rPr>
          <w:spacing w:val="-1"/>
        </w:rPr>
        <w:t> </w:t>
      </w:r>
      <w:r>
        <w:rPr/>
        <w:t>Central Bank of Nigeria (CBN)Statistical Bulletin, while data onvariables such as GDP growth rate and gross domesticsavings were obtained fromWorld Development Indicators (WDI) database,</w:t>
      </w:r>
      <w:r>
        <w:rPr>
          <w:spacing w:val="-8"/>
        </w:rPr>
        <w:t> </w:t>
      </w:r>
      <w:r>
        <w:rPr/>
        <w:t>publishedby</w:t>
      </w:r>
      <w:r>
        <w:rPr>
          <w:spacing w:val="-7"/>
        </w:rPr>
        <w:t> </w:t>
      </w:r>
      <w:r>
        <w:rPr/>
        <w:t>the</w:t>
      </w:r>
      <w:r>
        <w:rPr>
          <w:spacing w:val="-8"/>
        </w:rPr>
        <w:t> </w:t>
      </w:r>
      <w:r>
        <w:rPr/>
        <w:t>World</w:t>
      </w:r>
      <w:r>
        <w:rPr>
          <w:spacing w:val="-7"/>
        </w:rPr>
        <w:t> </w:t>
      </w:r>
      <w:r>
        <w:rPr/>
        <w:t>Bank.</w:t>
      </w:r>
      <w:r>
        <w:rPr>
          <w:spacing w:val="-8"/>
        </w:rPr>
        <w:t> </w:t>
      </w:r>
      <w:r>
        <w:rPr/>
        <w:t>UsingE</w:t>
      </w:r>
      <w:r>
        <w:rPr>
          <w:spacing w:val="-6"/>
        </w:rPr>
        <w:t> </w:t>
      </w:r>
      <w:r>
        <w:rPr/>
        <w:t>view,</w:t>
      </w:r>
      <w:r>
        <w:rPr>
          <w:spacing w:val="-8"/>
        </w:rPr>
        <w:t> </w:t>
      </w:r>
      <w:r>
        <w:rPr/>
        <w:t>the</w:t>
      </w:r>
      <w:r>
        <w:rPr>
          <w:spacing w:val="-7"/>
        </w:rPr>
        <w:t> </w:t>
      </w:r>
      <w:r>
        <w:rPr/>
        <w:t>results</w:t>
      </w:r>
      <w:r>
        <w:rPr>
          <w:spacing w:val="-6"/>
        </w:rPr>
        <w:t> </w:t>
      </w:r>
      <w:r>
        <w:rPr/>
        <w:t>showed</w:t>
      </w:r>
      <w:r>
        <w:rPr>
          <w:spacing w:val="-7"/>
        </w:rPr>
        <w:t> </w:t>
      </w:r>
      <w:r>
        <w:rPr/>
        <w:t>thatforeign</w:t>
      </w:r>
      <w:r>
        <w:rPr>
          <w:spacing w:val="-7"/>
        </w:rPr>
        <w:t> </w:t>
      </w:r>
      <w:r>
        <w:rPr>
          <w:spacing w:val="-2"/>
        </w:rPr>
        <w:t>portfolio</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83584">
                <wp:simplePos x="0" y="0"/>
                <wp:positionH relativeFrom="page">
                  <wp:posOffset>950112</wp:posOffset>
                </wp:positionH>
                <wp:positionV relativeFrom="paragraph">
                  <wp:posOffset>1321053</wp:posOffset>
                </wp:positionV>
                <wp:extent cx="5505450" cy="5661025"/>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32896" id="docshape162"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investment inflow was morestable in democratic periodsbetween 1999 and 2013 than the military periods between1986 and 1998 and that the correlation betweeneconomic growth and foreign portfolioinvestment is positive andvery significant. The result showedthat in the longrun foreign portfolioinvestment had positive and significanteffect on the economic growth in Nigeria. It also showed thatdemocracy had a positive andsignificant effect on economic growth, while it haspositive but not significanteffect onthe relationship between foreign portfolio investmentand economic growth. It was concluded foreignportfolio investment has impact oneconomic growth was very largeand significant in thelongrun. The study recommended that for tosustainable rapid economicgrowth objective, policies should also be directed to theeffective use of resources in theeconomy.</w:t>
      </w:r>
    </w:p>
    <w:p>
      <w:pPr>
        <w:pStyle w:val="BodyText"/>
        <w:spacing w:line="480" w:lineRule="auto" w:before="162"/>
        <w:ind w:right="735"/>
        <w:jc w:val="both"/>
      </w:pPr>
      <w:r>
        <w:rPr/>
        <w:t>Okafor, Ugwuegbe and Chijindu (2016) investigated therelationship between foreigncapital inflowsand economic growth inNigeria. Tada Yamamoto testof causality was adopted to analyze therelationship between foreigncapital inflows and Nigeriaeconomic growth. It was discovered that there isbi-directional causality runningfrom GDP to FDI and FDI to GDP. Also, there is unidirectionalcausality between FPI and GDP withcausation running from FPI to GDP. In addition, theresult revealed a unidirectionalcausality between GDPand FA with causation testing fromFA to GDP. The joint causationbetween all the componentsof foreign capital inflow show that theincrease on foreign capitalinflow will also leads toincrease in </w:t>
      </w:r>
      <w:r>
        <w:rPr>
          <w:spacing w:val="-4"/>
        </w:rPr>
        <w:t>GDP.</w:t>
      </w:r>
    </w:p>
    <w:p>
      <w:pPr>
        <w:pStyle w:val="BodyText"/>
        <w:spacing w:line="480" w:lineRule="auto" w:before="159"/>
        <w:ind w:right="736"/>
        <w:jc w:val="both"/>
      </w:pPr>
      <w:r>
        <w:rPr/>
        <w:t>Okpoto (2015) researched on impact of foreignprivate investment on the Nigeria’s economic growth from 1980to 2013. The relationship between realGDP and foreign private investment and</w:t>
      </w:r>
      <w:r>
        <w:rPr>
          <w:spacing w:val="10"/>
        </w:rPr>
        <w:t> </w:t>
      </w:r>
      <w:r>
        <w:rPr/>
        <w:t>other</w:t>
      </w:r>
      <w:r>
        <w:rPr>
          <w:spacing w:val="12"/>
        </w:rPr>
        <w:t> </w:t>
      </w:r>
      <w:r>
        <w:rPr/>
        <w:t>selected</w:t>
      </w:r>
      <w:r>
        <w:rPr>
          <w:spacing w:val="11"/>
        </w:rPr>
        <w:t> </w:t>
      </w:r>
      <w:r>
        <w:rPr/>
        <w:t>macroeconomic</w:t>
      </w:r>
      <w:r>
        <w:rPr>
          <w:spacing w:val="11"/>
        </w:rPr>
        <w:t> </w:t>
      </w:r>
      <w:r>
        <w:rPr/>
        <w:t>variables</w:t>
      </w:r>
      <w:r>
        <w:rPr>
          <w:spacing w:val="12"/>
        </w:rPr>
        <w:t> </w:t>
      </w:r>
      <w:r>
        <w:rPr/>
        <w:t>such</w:t>
      </w:r>
      <w:r>
        <w:rPr>
          <w:spacing w:val="11"/>
        </w:rPr>
        <w:t> </w:t>
      </w:r>
      <w:r>
        <w:rPr/>
        <w:t>asinflation,</w:t>
      </w:r>
      <w:r>
        <w:rPr>
          <w:spacing w:val="11"/>
        </w:rPr>
        <w:t> </w:t>
      </w:r>
      <w:r>
        <w:rPr/>
        <w:t>exchange</w:t>
      </w:r>
      <w:r>
        <w:rPr>
          <w:spacing w:val="11"/>
        </w:rPr>
        <w:t> </w:t>
      </w:r>
      <w:r>
        <w:rPr/>
        <w:t>rateand</w:t>
      </w:r>
      <w:r>
        <w:rPr>
          <w:spacing w:val="11"/>
        </w:rPr>
        <w:t> </w:t>
      </w:r>
      <w:r>
        <w:rPr/>
        <w:t>interest</w:t>
      </w:r>
      <w:r>
        <w:rPr>
          <w:spacing w:val="12"/>
        </w:rPr>
        <w:t> </w:t>
      </w:r>
      <w:r>
        <w:rPr>
          <w:spacing w:val="-4"/>
        </w:rPr>
        <w:t>rate</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84096">
                <wp:simplePos x="0" y="0"/>
                <wp:positionH relativeFrom="page">
                  <wp:posOffset>950112</wp:posOffset>
                </wp:positionH>
                <wp:positionV relativeFrom="paragraph">
                  <wp:posOffset>1321053</wp:posOffset>
                </wp:positionV>
                <wp:extent cx="5505450" cy="5661025"/>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32384" id="docshape163"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were considered. Fromthe tests conducted, there was presenceof unit roots at their first difference whichconformed with theAugmented Dickey Fuller (ADF) resultas well. The terrace test and maximumEigen value test on thevariables identified one cointegrating vector at 5% and 1% criticallevels. Also, the ECM showed along run relationship betweenreal GDP and other variables in themodel. All these suggest the activitiesof FPI have impacted favourably in boostingeconomic activities in Nigeriawithin the period of study.</w:t>
      </w:r>
    </w:p>
    <w:p>
      <w:pPr>
        <w:pStyle w:val="BodyText"/>
        <w:spacing w:before="160"/>
        <w:ind w:left="0"/>
      </w:pPr>
    </w:p>
    <w:p>
      <w:pPr>
        <w:pStyle w:val="Heading2"/>
        <w:numPr>
          <w:ilvl w:val="1"/>
          <w:numId w:val="21"/>
        </w:numPr>
        <w:tabs>
          <w:tab w:pos="593" w:val="left" w:leader="none"/>
        </w:tabs>
        <w:spacing w:line="240" w:lineRule="auto" w:before="1" w:after="0"/>
        <w:ind w:left="593" w:right="0" w:hanging="373"/>
        <w:jc w:val="left"/>
      </w:pPr>
      <w:bookmarkStart w:name="_TOC_250035" w:id="40"/>
      <w:r>
        <w:rPr/>
        <w:t>Gap</w:t>
      </w:r>
      <w:r>
        <w:rPr>
          <w:spacing w:val="-5"/>
        </w:rPr>
        <w:t> </w:t>
      </w:r>
      <w:r>
        <w:rPr/>
        <w:t>in</w:t>
      </w:r>
      <w:r>
        <w:rPr>
          <w:spacing w:val="-4"/>
        </w:rPr>
        <w:t> </w:t>
      </w:r>
      <w:bookmarkEnd w:id="40"/>
      <w:r>
        <w:rPr>
          <w:spacing w:val="-2"/>
        </w:rPr>
        <w:t>Literature</w:t>
      </w:r>
    </w:p>
    <w:p>
      <w:pPr>
        <w:pStyle w:val="BodyText"/>
        <w:spacing w:before="159"/>
        <w:ind w:left="0"/>
        <w:rPr>
          <w:b/>
        </w:rPr>
      </w:pPr>
    </w:p>
    <w:p>
      <w:pPr>
        <w:pStyle w:val="BodyText"/>
        <w:spacing w:line="480" w:lineRule="auto"/>
        <w:ind w:right="735"/>
        <w:jc w:val="both"/>
      </w:pPr>
      <w:r>
        <w:rPr/>
        <w:t>Empirically some studies noted that theconsequences of integration oneconomic growth are positive. Honig (2008), Koukiand Rezgui (2017) have shown that theinflow of foreign</w:t>
      </w:r>
      <w:r>
        <w:rPr>
          <w:spacing w:val="40"/>
        </w:rPr>
        <w:t> </w:t>
      </w:r>
      <w:r>
        <w:rPr/>
        <w:t>capital is a factorlikely to lead to atransfer of technology, specialization inproduction, allocation of capitaland consequently stimulateseconomic growth. Thereby, the opening of emergingmarkets attracted foreign investorsand increased the flowsof capital towards them. According toHenry (2000), the</w:t>
      </w:r>
      <w:r>
        <w:rPr>
          <w:spacing w:val="-1"/>
        </w:rPr>
        <w:t> </w:t>
      </w:r>
      <w:r>
        <w:rPr/>
        <w:t>liberalizationof</w:t>
      </w:r>
      <w:r>
        <w:rPr>
          <w:spacing w:val="-2"/>
        </w:rPr>
        <w:t> </w:t>
      </w:r>
      <w:r>
        <w:rPr/>
        <w:t>the emerging markets increased thenumber of foreign investors, which lead to theincrease of the financial markets’ liquidity, thereduction of the costof debt, the improvementof profitability of certain projectsand the increase of economicactivity. Levine (2001) shows that financialintegration positively impactseconomic growth by improvingfinancial markets andbanks. Also the studyof KchirJedidi and Mensi (2010) reveals that thedirect relationship betweenfinancial integration andeconomic growth</w:t>
      </w:r>
      <w:r>
        <w:rPr>
          <w:spacing w:val="80"/>
        </w:rPr>
        <w:t> </w:t>
      </w:r>
      <w:r>
        <w:rPr/>
        <w:t>is positive andstable. They affirmed that thisliberalization of thecapital movements influenced</w:t>
      </w:r>
      <w:r>
        <w:rPr>
          <w:spacing w:val="2"/>
        </w:rPr>
        <w:t> </w:t>
      </w:r>
      <w:r>
        <w:rPr/>
        <w:t>positivelythe</w:t>
      </w:r>
      <w:r>
        <w:rPr>
          <w:spacing w:val="4"/>
        </w:rPr>
        <w:t> </w:t>
      </w:r>
      <w:r>
        <w:rPr/>
        <w:t>integration</w:t>
      </w:r>
      <w:r>
        <w:rPr>
          <w:spacing w:val="2"/>
        </w:rPr>
        <w:t> </w:t>
      </w:r>
      <w:r>
        <w:rPr/>
        <w:t>of</w:t>
      </w:r>
      <w:r>
        <w:rPr>
          <w:spacing w:val="3"/>
        </w:rPr>
        <w:t> </w:t>
      </w:r>
      <w:r>
        <w:rPr/>
        <w:t>thedeveloping</w:t>
      </w:r>
      <w:r>
        <w:rPr>
          <w:spacing w:val="2"/>
        </w:rPr>
        <w:t> </w:t>
      </w:r>
      <w:r>
        <w:rPr/>
        <w:t>economies</w:t>
      </w:r>
      <w:r>
        <w:rPr>
          <w:spacing w:val="3"/>
        </w:rPr>
        <w:t> </w:t>
      </w:r>
      <w:r>
        <w:rPr/>
        <w:t>worldwide.</w:t>
      </w:r>
      <w:r>
        <w:rPr>
          <w:spacing w:val="3"/>
        </w:rPr>
        <w:t> </w:t>
      </w:r>
      <w:r>
        <w:rPr/>
        <w:t>So,</w:t>
      </w:r>
      <w:r>
        <w:rPr>
          <w:spacing w:val="3"/>
        </w:rPr>
        <w:t> </w:t>
      </w:r>
      <w:r>
        <w:rPr>
          <w:spacing w:val="-2"/>
        </w:rPr>
        <w:t>thefinancial</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w:t>integration of the financialmarkets facilitates thepassage from onemarket to another as it allows the increaseof the markets’eficiency.</w:t>
      </w:r>
    </w:p>
    <w:p>
      <w:pPr>
        <w:pStyle w:val="BodyText"/>
        <w:spacing w:line="480" w:lineRule="auto" w:before="160"/>
        <w:ind w:right="734"/>
        <w:jc w:val="both"/>
      </w:pPr>
      <w:r>
        <w:rPr/>
        <mc:AlternateContent>
          <mc:Choice Requires="wps">
            <w:drawing>
              <wp:anchor distT="0" distB="0" distL="0" distR="0" allowOverlap="1" layoutInCell="1" locked="0" behindDoc="1" simplePos="0" relativeHeight="478084608">
                <wp:simplePos x="0" y="0"/>
                <wp:positionH relativeFrom="page">
                  <wp:posOffset>950112</wp:posOffset>
                </wp:positionH>
                <wp:positionV relativeFrom="paragraph">
                  <wp:posOffset>552765</wp:posOffset>
                </wp:positionV>
                <wp:extent cx="5505450" cy="5661025"/>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31872" id="docshape164"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t>Others argue that financial integrationdoes not promote economicgains, that is, it does not have significant effectson economic growth asdemonstrated by Kraay (1998). This positive relationship is valid onlyunder certain conditions andcountries need to lift somestrategies to stimulate the realeconomy. A report by Boydand Bruce (1992) on the otherhand, show that financial integration leads to capital outflowsfrom countries with weakinstitutions to those with stronginstitutions. Similarly, Arteta, Eichengreen andWyplosz (2001) indicate that</w:t>
      </w:r>
      <w:r>
        <w:rPr>
          <w:spacing w:val="40"/>
        </w:rPr>
        <w:t> </w:t>
      </w:r>
      <w:r>
        <w:rPr/>
        <w:t>while tradeopenness promotes economicgrowth, financial integration can promote orhurt economic growth regardlessof trade openness. They show thatfinancial integration can hurt an economy if blackmarkets or macroeconomic imbalancesexit, or help in theabsence of</w:t>
      </w:r>
      <w:r>
        <w:rPr>
          <w:spacing w:val="40"/>
        </w:rPr>
        <w:t> </w:t>
      </w:r>
      <w:r>
        <w:rPr/>
        <w:t>these imbalances. KosePrasad and Terrons (2006) explore therelationship between trade and financial integrationand their effect ongrowth- volatility relationshipusing a sample of 85 countries comprisingof 21 industrial countriesand 64 developing countries. The study found that the relationshipbetween growth andvolatility is positive fordeveloped countries, and negativefor developing countries.</w:t>
      </w:r>
    </w:p>
    <w:p>
      <w:pPr>
        <w:pStyle w:val="BodyText"/>
        <w:spacing w:line="480" w:lineRule="auto" w:before="1"/>
        <w:ind w:right="733"/>
        <w:jc w:val="both"/>
      </w:pPr>
      <w:r>
        <w:rPr/>
        <w:t>The review had pointed outa strong disagreementon the effect of financial integrationon economicgrowth in Nigeria. This disagreementcomes in the form of thedirection of relationshipas well as the levelof significance of therelationship. Some of thesestudies were done inenvironments outside thatof Nigeria while someof the studies done inNigeria did not include somekey variables. Furthermoresome of the studies did not use thestandard econometric</w:t>
      </w:r>
      <w:r>
        <w:rPr>
          <w:spacing w:val="30"/>
        </w:rPr>
        <w:t> </w:t>
      </w:r>
      <w:r>
        <w:rPr/>
        <w:t>methodologywhich</w:t>
      </w:r>
      <w:r>
        <w:rPr>
          <w:spacing w:val="31"/>
        </w:rPr>
        <w:t> </w:t>
      </w:r>
      <w:r>
        <w:rPr/>
        <w:t>leads</w:t>
      </w:r>
      <w:r>
        <w:rPr>
          <w:spacing w:val="31"/>
        </w:rPr>
        <w:t> </w:t>
      </w:r>
      <w:r>
        <w:rPr/>
        <w:t>to</w:t>
      </w:r>
      <w:r>
        <w:rPr>
          <w:spacing w:val="31"/>
        </w:rPr>
        <w:t> </w:t>
      </w:r>
      <w:r>
        <w:rPr/>
        <w:t>structuralproblems;</w:t>
      </w:r>
      <w:r>
        <w:rPr>
          <w:spacing w:val="32"/>
        </w:rPr>
        <w:t> </w:t>
      </w:r>
      <w:r>
        <w:rPr/>
        <w:t>the</w:t>
      </w:r>
      <w:r>
        <w:rPr>
          <w:spacing w:val="30"/>
        </w:rPr>
        <w:t> </w:t>
      </w:r>
      <w:r>
        <w:rPr/>
        <w:t>time</w:t>
      </w:r>
      <w:r>
        <w:rPr>
          <w:spacing w:val="34"/>
        </w:rPr>
        <w:t> </w:t>
      </w:r>
      <w:r>
        <w:rPr/>
        <w:t>framesconsidered</w:t>
      </w:r>
      <w:r>
        <w:rPr>
          <w:spacing w:val="31"/>
        </w:rPr>
        <w:t> </w:t>
      </w:r>
      <w:r>
        <w:rPr>
          <w:spacing w:val="-5"/>
        </w:rPr>
        <w:t>in</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w:t>some of the past studieswere short and not expansiveenough and gave conflictingfindings. These shortcomings have contributed to theknowledge gap in the literature, thuswarranting more systematic and comprehensivestudy on the effect of financial integrationon economic growth inNigeria.</w:t>
      </w:r>
    </w:p>
    <w:p>
      <w:pPr>
        <w:pStyle w:val="BodyText"/>
        <w:spacing w:before="160"/>
        <w:ind w:left="0"/>
      </w:pPr>
    </w:p>
    <w:p>
      <w:pPr>
        <w:pStyle w:val="Heading2"/>
        <w:numPr>
          <w:ilvl w:val="1"/>
          <w:numId w:val="21"/>
        </w:numPr>
        <w:tabs>
          <w:tab w:pos="593" w:val="left" w:leader="none"/>
        </w:tabs>
        <w:spacing w:line="240" w:lineRule="auto" w:before="0" w:after="0"/>
        <w:ind w:left="593" w:right="0" w:hanging="373"/>
        <w:jc w:val="left"/>
      </w:pPr>
      <w:r>
        <w:rPr/>
        <mc:AlternateContent>
          <mc:Choice Requires="wps">
            <w:drawing>
              <wp:anchor distT="0" distB="0" distL="0" distR="0" allowOverlap="1" layoutInCell="1" locked="0" behindDoc="1" simplePos="0" relativeHeight="478085120">
                <wp:simplePos x="0" y="0"/>
                <wp:positionH relativeFrom="page">
                  <wp:posOffset>950112</wp:posOffset>
                </wp:positionH>
                <wp:positionV relativeFrom="paragraph">
                  <wp:posOffset>-461569</wp:posOffset>
                </wp:positionV>
                <wp:extent cx="5505450" cy="5661025"/>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36.344044pt;width:433.5pt;height:445.75pt;mso-position-horizontal-relative:page;mso-position-vertical-relative:paragraph;z-index:-25231360" id="docshape165" coordorigin="1496,-727" coordsize="8670,8915" path="m2562,7993l1691,7122,1496,7317,2367,8188,2562,7993xm3154,7317l3153,7277,3148,7235,3139,7191,3125,7147,3106,7103,3083,7060,3055,7018,3025,6977,2991,6936,2954,6897,2435,6378,2241,6572,2772,7104,2805,7140,2829,7175,2846,7210,2856,7244,2858,7277,2851,7308,2837,7336,2816,7362,2790,7384,2761,7398,2730,7404,2697,7402,2663,7392,2628,7375,2593,7351,2557,7319,2026,6787,1831,6982,2351,7501,2385,7533,2424,7565,2468,7598,2516,7630,2548,7649,2583,7665,2620,7678,2658,7689,2697,7697,2733,7701,2767,7701,2800,7697,2831,7690,2863,7679,2895,7663,2926,7642,2957,7619,2985,7596,3011,7573,3035,7550,3071,7510,3102,7469,3125,7428,3142,7385,3150,7353,3154,7317xm3882,6534l3876,6469,3860,6404,3834,6337,3806,6283,3771,6227,3728,6169,3678,6110,3661,6091,3621,6050,3597,6027,3597,6521,3592,6562,3577,6598,3551,6632,3518,6657,3481,6672,3441,6676,3396,6670,3347,6652,3294,6620,3235,6575,3171,6516,3112,6452,3066,6393,3035,6339,3016,6290,3010,6245,3014,6205,3029,6169,3053,6138,3086,6112,3122,6097,3163,6091,3207,6097,3255,6114,3307,6144,3363,6186,3423,6241,3488,6311,3538,6373,3572,6429,3591,6478,3597,6521,3597,6027,3551,5985,3482,5930,3413,5884,3344,5849,3276,5824,3209,5808,3130,5802,3055,5812,2983,5837,2914,5878,2850,5934,2796,5997,2756,6065,2732,6136,2723,6212,2729,6292,2746,6360,2772,6429,2808,6498,2854,6568,2910,6639,2976,6710,3036,6767,3096,6816,3156,6858,3215,6893,3273,6921,3344,6945,3411,6959,3475,6962,3535,6956,3593,6939,3649,6912,3705,6875,3758,6827,3805,6773,3841,6716,3858,6676,3866,6658,3879,6597,3882,6534xm4153,5954l3966,5767,3712,6021,3899,6208,4153,5954xm4664,5891l3793,5020,3598,5215,4469,6086,4664,5891xm4998,5557l4675,5234,4781,5127,4832,5067,4837,5057,4866,5006,4883,4943,4882,4878,4866,4812,4843,4761,4836,4746,4792,4680,4733,4614,4670,4557,4607,4514,4598,4510,4598,4903,4597,4929,4587,4955,4570,4982,4546,5010,4498,5057,4304,4863,4359,4808,4386,4784,4412,4769,4438,4761,4462,4762,4486,4768,4509,4779,4531,4793,4552,4812,4570,4833,4584,4856,4593,4879,4598,4903,4598,4510,4544,4485,4483,4469,4423,4468,4365,4482,4309,4513,4255,4558,3931,4881,4803,5753,4998,5557xm5788,4767l5132,4111,5330,3913,5115,3698,4524,4289,4739,4504,4937,4306,5593,4962,5788,4767xm6423,4132l5767,3476,5966,3277,5751,3062,5159,3654,5374,3869,5573,3671,6229,4327,6423,4132xm7157,3259l7151,3194,7135,3129,7109,3062,7081,3008,7046,2952,7003,2894,6953,2835,6935,2817,6896,2775,6872,2753,6872,3247,6867,3287,6851,3324,6825,3357,6793,3382,6756,3397,6716,3401,6671,3395,6622,3377,6569,3345,6510,3300,6446,3241,6387,3177,6341,3118,6309,3064,6291,3015,6285,2970,6289,2930,6304,2894,6328,2863,6361,2837,6397,2822,6438,2817,6482,2822,6530,2839,6582,2869,6638,2911,6698,2966,6763,3036,6813,3099,6847,3154,6866,3203,6872,3247,6872,2753,6826,2710,6756,2655,6687,2610,6619,2574,6551,2549,6483,2533,6405,2527,6329,2537,6258,2563,6189,2603,6125,2659,6071,2722,6031,2790,6007,2861,5998,2937,6004,3017,6021,3085,6047,3154,6083,3223,6129,3293,6184,3364,6250,3435,6311,3492,6371,3541,6431,3584,6490,3618,6548,3646,6619,3670,6686,3684,6750,3687,6810,3681,6868,3665,6924,3637,6979,3600,7033,3552,7080,3498,7116,3442,7133,3401,7141,3383,7154,3322,7157,3259xm8170,2263l8165,2214,8153,2164,8134,2111,8109,2057,8079,2001,8041,1944,7980,1968,7799,2043,7831,2089,7855,2133,7873,2173,7884,2210,7887,2245,7881,2278,7866,2309,7843,2338,7812,2362,7778,2376,7740,2380,7700,2374,7653,2355,7600,2321,7538,2272,7469,2207,7417,2151,7375,2099,7344,2052,7324,2009,7311,1957,7312,1911,7325,1870,7352,1834,7367,1821,7384,1810,7402,1803,7422,1798,7442,1796,7464,1796,7486,1799,7509,1805,7524,1811,7542,1819,7563,1831,7586,1845,7705,1620,7622,1574,7543,1542,7469,1523,7400,1516,7333,1524,7269,1547,7206,1585,7146,1637,7092,1700,7054,1766,7030,1837,7021,1911,7027,1988,7044,2055,7070,2123,7106,2192,7153,2262,7209,2332,7276,2404,7341,2465,7404,2517,7467,2561,7529,2596,7590,2623,7662,2647,7730,2660,7791,2663,7847,2656,7900,2639,7952,2612,8004,2576,8056,2529,8094,2487,8125,2443,8147,2400,8161,2356,8169,2310,8170,2263xm8868,1548l8861,1484,8846,1418,8820,1351,8792,1297,8757,1241,8714,1183,8664,1124,8646,1106,8607,1064,8583,1042,8583,1536,8578,1576,8562,1613,8536,1646,8504,1671,8467,1686,8427,1691,8382,1684,8333,1666,8279,1635,8221,1590,8157,1531,8098,1466,8052,1407,8020,1353,8002,1304,7996,1260,8000,1219,8014,1183,8039,1152,8071,1126,8108,1111,8149,1106,8193,1111,8241,1128,8293,1158,8349,1200,8409,1255,8474,1325,8524,1388,8558,1444,8577,1492,8583,1536,8583,1042,8537,999,8467,944,8398,899,8330,863,8262,838,8194,822,8116,816,8040,826,7968,852,7900,892,7835,948,7781,1011,7742,1079,7718,1151,7709,1226,7715,1306,7731,1374,7758,1443,7794,1513,7839,1583,7895,1653,7961,1724,8022,1781,8082,1831,8142,1873,8201,1908,8259,1935,8329,1959,8397,1973,8461,1976,8521,1970,8579,1954,8635,1927,8690,1889,8744,1841,8791,1787,8827,1731,8844,1691,8852,1672,8865,1611,8868,1548xm9348,1207l9025,884,9132,777,9182,717,9188,707,9216,655,9233,592,9233,527,9217,462,9194,411,9187,396,9142,330,9084,264,9020,207,8957,164,8948,160,8948,553,8947,578,8938,605,8921,632,8896,659,8849,707,8654,513,8710,457,8737,434,8763,418,8788,411,8812,412,8836,418,8859,428,8881,443,8902,461,8920,483,8934,505,8943,529,8948,553,8948,160,8895,134,8833,119,8773,118,8715,132,8659,162,8605,208,8282,531,9153,1402,9348,1207xm10166,389l9801,24,9748,-126,9593,-577,9540,-727,9325,-512,9353,-442,9436,-231,9492,-90,9422,-118,9211,-202,9071,-258,8854,-41,9005,11,9456,167,9606,219,9971,584,10166,389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085632">
                <wp:simplePos x="0" y="0"/>
                <wp:positionH relativeFrom="page">
                  <wp:posOffset>896416</wp:posOffset>
                </wp:positionH>
                <wp:positionV relativeFrom="paragraph">
                  <wp:posOffset>711</wp:posOffset>
                </wp:positionV>
                <wp:extent cx="5981065" cy="36449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5981065" cy="364490"/>
                        </a:xfrm>
                        <a:custGeom>
                          <a:avLst/>
                          <a:gdLst/>
                          <a:ahLst/>
                          <a:cxnLst/>
                          <a:rect l="l" t="t" r="r" b="b"/>
                          <a:pathLst>
                            <a:path w="5981065" h="364490">
                              <a:moveTo>
                                <a:pt x="5981065" y="0"/>
                              </a:moveTo>
                              <a:lnTo>
                                <a:pt x="0" y="0"/>
                              </a:lnTo>
                              <a:lnTo>
                                <a:pt x="0" y="364235"/>
                              </a:lnTo>
                              <a:lnTo>
                                <a:pt x="5981065" y="364235"/>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055986pt;width:470.95pt;height:28.68pt;mso-position-horizontal-relative:page;mso-position-vertical-relative:paragraph;z-index:-25230848" id="docshape166" filled="true" fillcolor="#ffffff" stroked="false">
                <v:fill type="solid"/>
                <w10:wrap type="none"/>
              </v:rect>
            </w:pict>
          </mc:Fallback>
        </mc:AlternateContent>
      </w:r>
      <w:bookmarkStart w:name="_TOC_250034" w:id="41"/>
      <w:r>
        <w:rPr/>
        <w:t>Theoretical</w:t>
      </w:r>
      <w:r>
        <w:rPr>
          <w:spacing w:val="-16"/>
        </w:rPr>
        <w:t> </w:t>
      </w:r>
      <w:bookmarkEnd w:id="41"/>
      <w:r>
        <w:rPr>
          <w:spacing w:val="-2"/>
        </w:rPr>
        <w:t>Framework</w:t>
      </w:r>
    </w:p>
    <w:p>
      <w:pPr>
        <w:pStyle w:val="BodyText"/>
        <w:spacing w:before="160"/>
        <w:ind w:left="0"/>
        <w:rPr>
          <w:b/>
        </w:rPr>
      </w:pPr>
    </w:p>
    <w:p>
      <w:pPr>
        <w:pStyle w:val="BodyText"/>
        <w:spacing w:line="480" w:lineRule="auto"/>
        <w:ind w:right="739"/>
        <w:jc w:val="both"/>
      </w:pPr>
      <w:r>
        <w:rPr/>
        <w:t>This study was anchored on thetheory of financial liberalization andendogenous growth </w:t>
      </w:r>
      <w:r>
        <w:rPr>
          <w:spacing w:val="-2"/>
        </w:rPr>
        <w:t>theory.</w:t>
      </w:r>
    </w:p>
    <w:p>
      <w:pPr>
        <w:pStyle w:val="Heading2"/>
        <w:numPr>
          <w:ilvl w:val="2"/>
          <w:numId w:val="21"/>
        </w:numPr>
        <w:tabs>
          <w:tab w:pos="780" w:val="left" w:leader="none"/>
        </w:tabs>
        <w:spacing w:line="240" w:lineRule="auto" w:before="161" w:after="0"/>
        <w:ind w:left="780" w:right="0" w:hanging="560"/>
        <w:jc w:val="left"/>
      </w:pPr>
      <w:bookmarkStart w:name="_TOC_250033" w:id="42"/>
      <w:r>
        <w:rPr/>
        <w:t>Theory</w:t>
      </w:r>
      <w:r>
        <w:rPr>
          <w:spacing w:val="-7"/>
        </w:rPr>
        <w:t> </w:t>
      </w:r>
      <w:r>
        <w:rPr/>
        <w:t>of</w:t>
      </w:r>
      <w:r>
        <w:rPr>
          <w:spacing w:val="-7"/>
        </w:rPr>
        <w:t> </w:t>
      </w:r>
      <w:r>
        <w:rPr/>
        <w:t>Financial</w:t>
      </w:r>
      <w:r>
        <w:rPr>
          <w:spacing w:val="-7"/>
        </w:rPr>
        <w:t> </w:t>
      </w:r>
      <w:bookmarkEnd w:id="42"/>
      <w:r>
        <w:rPr>
          <w:spacing w:val="-2"/>
        </w:rPr>
        <w:t>Liberalization</w:t>
      </w:r>
    </w:p>
    <w:p>
      <w:pPr>
        <w:pStyle w:val="BodyText"/>
        <w:spacing w:before="159"/>
        <w:ind w:left="0"/>
        <w:rPr>
          <w:b/>
        </w:rPr>
      </w:pPr>
    </w:p>
    <w:p>
      <w:pPr>
        <w:pStyle w:val="BodyText"/>
        <w:spacing w:line="480" w:lineRule="auto"/>
        <w:ind w:right="733"/>
        <w:jc w:val="both"/>
      </w:pPr>
      <w:r>
        <w:rPr/>
        <w:t>McKinnon (1973) and Shaw (1973) were, independently, the first to seriouslychallenge the conventional wisdomof financial repression. In theirseparate works they arguethat the pursuance of policies such aslow and administered interest rates, selectivecredit control, and concessional creditpractices, among other practices, leads to widespreadfinancial repression in developingcountries (McKinnon 1973; Shaw 1973). According to theseauthors, a</w:t>
      </w:r>
      <w:r>
        <w:rPr>
          <w:spacing w:val="40"/>
        </w:rPr>
        <w:t> </w:t>
      </w:r>
      <w:r>
        <w:rPr/>
        <w:t>repressed financialmarket discourages savings, retards theefficient allocationof resources, increases the segmentationof financial markets, and creates financial disintermediationof the banking system. According to thefinancial liberalisation theory, financial repressionthrough interest rate ceilingskeeps interest rates low and thisdiscourages savings with the</w:t>
      </w:r>
      <w:r>
        <w:rPr>
          <w:spacing w:val="40"/>
        </w:rPr>
        <w:t> </w:t>
      </w:r>
      <w:r>
        <w:rPr/>
        <w:t>consequence that the quantityof investment is stifled. Thus investment is constrainedby savings. The qualityof investment is also low becausethe projects that will beundertaken under a regime ofrepression will have a lowrate of return. With financialliberalisation, interest</w:t>
      </w:r>
      <w:r>
        <w:rPr>
          <w:spacing w:val="16"/>
        </w:rPr>
        <w:t> </w:t>
      </w:r>
      <w:r>
        <w:rPr/>
        <w:t>rate</w:t>
      </w:r>
      <w:r>
        <w:rPr>
          <w:spacing w:val="17"/>
        </w:rPr>
        <w:t> </w:t>
      </w:r>
      <w:r>
        <w:rPr/>
        <w:t>deregulationmeans</w:t>
      </w:r>
      <w:r>
        <w:rPr>
          <w:spacing w:val="18"/>
        </w:rPr>
        <w:t> </w:t>
      </w:r>
      <w:r>
        <w:rPr/>
        <w:t>that</w:t>
      </w:r>
      <w:r>
        <w:rPr>
          <w:spacing w:val="17"/>
        </w:rPr>
        <w:t> </w:t>
      </w:r>
      <w:r>
        <w:rPr/>
        <w:t>the</w:t>
      </w:r>
      <w:r>
        <w:rPr>
          <w:spacing w:val="17"/>
        </w:rPr>
        <w:t> </w:t>
      </w:r>
      <w:r>
        <w:rPr/>
        <w:t>interest</w:t>
      </w:r>
      <w:r>
        <w:rPr>
          <w:spacing w:val="16"/>
        </w:rPr>
        <w:t> </w:t>
      </w:r>
      <w:r>
        <w:rPr/>
        <w:t>ratewill</w:t>
      </w:r>
      <w:r>
        <w:rPr>
          <w:spacing w:val="18"/>
        </w:rPr>
        <w:t> </w:t>
      </w:r>
      <w:r>
        <w:rPr/>
        <w:t>rise,</w:t>
      </w:r>
      <w:r>
        <w:rPr>
          <w:spacing w:val="17"/>
        </w:rPr>
        <w:t> </w:t>
      </w:r>
      <w:r>
        <w:rPr/>
        <w:t>thereby</w:t>
      </w:r>
      <w:r>
        <w:rPr>
          <w:spacing w:val="17"/>
        </w:rPr>
        <w:t> </w:t>
      </w:r>
      <w:r>
        <w:rPr/>
        <w:t>increasing</w:t>
      </w:r>
      <w:r>
        <w:rPr>
          <w:spacing w:val="17"/>
        </w:rPr>
        <w:t> </w:t>
      </w:r>
      <w:r>
        <w:rPr>
          <w:spacing w:val="-2"/>
        </w:rPr>
        <w:t>savingsand</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86144">
                <wp:simplePos x="0" y="0"/>
                <wp:positionH relativeFrom="page">
                  <wp:posOffset>950112</wp:posOffset>
                </wp:positionH>
                <wp:positionV relativeFrom="paragraph">
                  <wp:posOffset>1321053</wp:posOffset>
                </wp:positionV>
                <wp:extent cx="5505450" cy="5661025"/>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30336" id="docshape167"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also investment. The increasedinvestment results in the rationingout of low-yielding projects and the subsequentundertaking of high-yielding projects. The quality of investment risesand this will ultimatelyincrease economic growth. McKinnonand Shaw therefore advocated the liberalisationof such repressed financialsystems so as to promoteeconomic growth.</w:t>
      </w:r>
    </w:p>
    <w:p>
      <w:pPr>
        <w:pStyle w:val="BodyText"/>
        <w:spacing w:line="480" w:lineRule="auto" w:before="160"/>
        <w:ind w:right="736"/>
        <w:jc w:val="both"/>
      </w:pPr>
      <w:r>
        <w:rPr/>
        <w:t>The McKinnon and Shaw theses onfinancial repression and theirproposal for financial liberalisation became the new orthodoxy in the1970s and 1980s. This orthodoxy has brought a shift of emphasis inpolicy priorities to anextent that it influenced even thethinking of the World Bank andInternational Monetary Fund (IMF).</w:t>
      </w:r>
    </w:p>
    <w:p>
      <w:pPr>
        <w:pStyle w:val="BodyText"/>
        <w:spacing w:line="480" w:lineRule="auto" w:before="160"/>
        <w:ind w:right="734"/>
        <w:jc w:val="both"/>
      </w:pPr>
      <w:r>
        <w:rPr/>
        <w:t>Financial liberalisation, broadlydefined, can be characterised as theprocess of allowing markets to determine whogets and grants creditand at what price. Full financial liberalisation involves six maindimensions: the elimination of creditcontrols, the deregulationof interest rates, freeentry into the banking sector, bankautonomy, private ownershipof banks, and the liberalisation ofinternational capitalflows. Of these six dimensions, interestrate liberalisation has been themain focus of interestand forms the focusof this study (Khan and Hassan 1998).</w:t>
      </w:r>
    </w:p>
    <w:p>
      <w:pPr>
        <w:pStyle w:val="BodyText"/>
        <w:spacing w:line="480" w:lineRule="auto" w:before="161"/>
        <w:ind w:right="735"/>
        <w:jc w:val="both"/>
      </w:pPr>
      <w:r>
        <w:rPr/>
        <w:t>The main objective offinancial liberalisation is to build amore efficient, robust, and deeper financial system, which can supportthe growth of private sectorenterprises. Efficiency in this case relatesto two components. The first involves improvedcredit allocation, i.e. credit allocation to borrowerswith higher expectedreturns for given levels ofrisk. The second component ofefficiency is increased competition, resultingfrom liberalized entryand/or the removal ofregulations that restrictcompetition (Khan and Hassan 1998).</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86656">
                <wp:simplePos x="0" y="0"/>
                <wp:positionH relativeFrom="page">
                  <wp:posOffset>950112</wp:posOffset>
                </wp:positionH>
                <wp:positionV relativeFrom="paragraph">
                  <wp:posOffset>1321053</wp:posOffset>
                </wp:positionV>
                <wp:extent cx="5505450" cy="5661025"/>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29824" id="docshape168"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According to the proponentsof financial liberalisation, the liberalisationof financial markets allows a more variedand specialised intermediation betweensavers and borrowers, using a multitude ofinstitutions, instruments, andproducts. It also facilitates a freer flowof money to where it can be bestinvested, i.e. with higherrisk-adjusted rates of return. As in othermarkets of the economythe "invisible hand" of thefinancial market is, underfinancial liberalisation, expected to knowhow to match supplyand demand efficiently. Inaddition, the "invisible hand" is ableto identify who wants to saveand/or lend, for whatpurposes, as well as who wants to borrowand on whatterms.</w:t>
      </w:r>
    </w:p>
    <w:p>
      <w:pPr>
        <w:pStyle w:val="BodyText"/>
        <w:spacing w:line="480" w:lineRule="auto" w:before="162"/>
        <w:ind w:right="734"/>
        <w:jc w:val="both"/>
      </w:pPr>
      <w:r>
        <w:rPr/>
        <w:t>All these arguments in favourof financial liberalisation imply thatfinancial liberalisation has manyadvantages; that is, they are healthyfor the financial sector inparticular and for the economic growthof a nation ingeneral. Specifically, financialliberalisation increases savings, improves the efficiencywith which resources are allocatedamong alternative investment projectsand, therefore, raises the rate ofeconomic growth. It also affords banksand other financial intermediaries morefreedom to act, which increases theirability to confrontrisks. It is also worth mentioningthat since financial liberalisation is adeliberate attempt to move</w:t>
      </w:r>
      <w:r>
        <w:rPr>
          <w:spacing w:val="40"/>
        </w:rPr>
        <w:t> </w:t>
      </w:r>
      <w:r>
        <w:rPr/>
        <w:t>away fromfinancial repression as apolicy to fund fiscal imbalances, it reduces thepossibility of governmentsrunning a budgetdeficit all the time (Cobbina 1999).</w:t>
      </w:r>
    </w:p>
    <w:p>
      <w:pPr>
        <w:pStyle w:val="BodyText"/>
        <w:spacing w:line="480" w:lineRule="auto" w:before="159"/>
        <w:ind w:right="735"/>
        <w:jc w:val="both"/>
      </w:pPr>
      <w:r>
        <w:rPr/>
        <w:t>In general, the benefitof financial liberalisation has been that it fosters developmentand increases long-rungrowth (Levine 1997; Demirguc-Kunt &amp;Detragiache 1998). Through financial liberalisation, developingcountries can stimulate domesticsavings and growth, and reduce excessivedependence on foreign capitalflows (Demirguc-Kunt and Detragiache</w:t>
      </w:r>
      <w:r>
        <w:rPr>
          <w:spacing w:val="40"/>
        </w:rPr>
        <w:t> </w:t>
      </w:r>
      <w:r>
        <w:rPr>
          <w:spacing w:val="-2"/>
        </w:rPr>
        <w:t>1998).</w:t>
      </w:r>
    </w:p>
    <w:p>
      <w:pPr>
        <w:spacing w:after="0" w:line="480" w:lineRule="auto"/>
        <w:jc w:val="both"/>
        <w:sectPr>
          <w:pgSz w:w="12240" w:h="15840"/>
          <w:pgMar w:header="0" w:footer="1012" w:top="1380" w:bottom="1200" w:left="1220" w:right="700"/>
        </w:sectPr>
      </w:pPr>
    </w:p>
    <w:p>
      <w:pPr>
        <w:pStyle w:val="BodyText"/>
        <w:spacing w:line="480" w:lineRule="auto" w:before="60"/>
        <w:ind w:right="733"/>
        <w:jc w:val="both"/>
      </w:pPr>
      <w:r>
        <w:rPr/>
        <mc:AlternateContent>
          <mc:Choice Requires="wps">
            <w:drawing>
              <wp:anchor distT="0" distB="0" distL="0" distR="0" allowOverlap="1" layoutInCell="1" locked="0" behindDoc="1" simplePos="0" relativeHeight="478087168">
                <wp:simplePos x="0" y="0"/>
                <wp:positionH relativeFrom="page">
                  <wp:posOffset>950112</wp:posOffset>
                </wp:positionH>
                <wp:positionV relativeFrom="paragraph">
                  <wp:posOffset>1321053</wp:posOffset>
                </wp:positionV>
                <wp:extent cx="5505450" cy="5661025"/>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29312" id="docshape169"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The theory offinancial liberalisation (i.e. interest rate liberalisation), as postulated by McKinnon and Shaw (1973), holds, as its ultimategoal, the full interest rate liberalisationof the domestic financialmarkets. It maintains that it is onlyfinancial liberalisation that will accelerate thegrowth of the real economy. Whereas thecritics argue that this will lead to stagflation and therefore thestrategy for accelerated growthshould be through increased capacityutilisation. However, the speed at which interest rateliberalisation should occur, the way it should beintegrated into macroeconomicstabilisation programmes and the</w:t>
      </w:r>
      <w:r>
        <w:rPr>
          <w:spacing w:val="40"/>
        </w:rPr>
        <w:t> </w:t>
      </w:r>
      <w:r>
        <w:rPr/>
        <w:t>prerequisites for itssuccess are still underdebate.</w:t>
      </w:r>
    </w:p>
    <w:p>
      <w:pPr>
        <w:pStyle w:val="BodyText"/>
        <w:spacing w:line="480" w:lineRule="auto" w:before="162"/>
        <w:ind w:right="733"/>
        <w:jc w:val="both"/>
      </w:pPr>
      <w:r>
        <w:rPr/>
        <w:t>The critics, however, argue thathousehold choice of investmentsinclude time deposit, loans</w:t>
      </w:r>
      <w:r>
        <w:rPr>
          <w:spacing w:val="40"/>
        </w:rPr>
        <w:t> </w:t>
      </w:r>
      <w:r>
        <w:rPr/>
        <w:t>to</w:t>
      </w:r>
      <w:r>
        <w:rPr>
          <w:spacing w:val="-3"/>
        </w:rPr>
        <w:t> </w:t>
      </w:r>
      <w:r>
        <w:rPr/>
        <w:t>business</w:t>
      </w:r>
      <w:r>
        <w:rPr>
          <w:spacing w:val="-2"/>
        </w:rPr>
        <w:t> </w:t>
      </w:r>
      <w:r>
        <w:rPr/>
        <w:t>through</w:t>
      </w:r>
      <w:r>
        <w:rPr>
          <w:spacing w:val="-3"/>
        </w:rPr>
        <w:t> </w:t>
      </w:r>
      <w:r>
        <w:rPr/>
        <w:t>theinformal</w:t>
      </w:r>
      <w:r>
        <w:rPr>
          <w:spacing w:val="-3"/>
        </w:rPr>
        <w:t> </w:t>
      </w:r>
      <w:r>
        <w:rPr/>
        <w:t>sector</w:t>
      </w:r>
      <w:r>
        <w:rPr>
          <w:spacing w:val="-2"/>
        </w:rPr>
        <w:t> </w:t>
      </w:r>
      <w:r>
        <w:rPr/>
        <w:t>and</w:t>
      </w:r>
      <w:r>
        <w:rPr>
          <w:spacing w:val="-3"/>
        </w:rPr>
        <w:t> </w:t>
      </w:r>
      <w:r>
        <w:rPr/>
        <w:t>gold</w:t>
      </w:r>
      <w:r>
        <w:rPr>
          <w:spacing w:val="-3"/>
        </w:rPr>
        <w:t> </w:t>
      </w:r>
      <w:r>
        <w:rPr/>
        <w:t>orcurrency,</w:t>
      </w:r>
      <w:r>
        <w:rPr>
          <w:spacing w:val="-3"/>
        </w:rPr>
        <w:t> </w:t>
      </w:r>
      <w:r>
        <w:rPr/>
        <w:t>and</w:t>
      </w:r>
      <w:r>
        <w:rPr>
          <w:spacing w:val="-3"/>
        </w:rPr>
        <w:t> </w:t>
      </w:r>
      <w:r>
        <w:rPr/>
        <w:t>that</w:t>
      </w:r>
      <w:r>
        <w:rPr>
          <w:spacing w:val="-3"/>
        </w:rPr>
        <w:t> </w:t>
      </w:r>
      <w:r>
        <w:rPr/>
        <w:t>inresponse</w:t>
      </w:r>
      <w:r>
        <w:rPr>
          <w:spacing w:val="-2"/>
        </w:rPr>
        <w:t> </w:t>
      </w:r>
      <w:r>
        <w:rPr/>
        <w:t>to</w:t>
      </w:r>
      <w:r>
        <w:rPr>
          <w:spacing w:val="-3"/>
        </w:rPr>
        <w:t> </w:t>
      </w:r>
      <w:r>
        <w:rPr/>
        <w:t>increase</w:t>
      </w:r>
      <w:r>
        <w:rPr>
          <w:spacing w:val="-3"/>
        </w:rPr>
        <w:t> </w:t>
      </w:r>
      <w:r>
        <w:rPr/>
        <w:t>in interest rate ondeposits, household will substitute these forgold or cash andloans in the informal sector. Furthermorethey express the view that theoutcome of McKinnon-Kapur depends crucially on oneimplicit assumption on assetmarket structure, an assumptionthat is never statedexplicitly: that the portfolioshift into bank deposit is comingout of “unproductive” assets likegold, cash or inventoriesand that it is not at all obvious thatbank deposit</w:t>
      </w:r>
      <w:r>
        <w:rPr>
          <w:spacing w:val="-1"/>
        </w:rPr>
        <w:t> </w:t>
      </w:r>
      <w:r>
        <w:rPr/>
        <w:t>are</w:t>
      </w:r>
      <w:r>
        <w:rPr>
          <w:spacing w:val="-1"/>
        </w:rPr>
        <w:t> </w:t>
      </w:r>
      <w:r>
        <w:rPr/>
        <w:t>closersubstitutes</w:t>
      </w:r>
      <w:r>
        <w:rPr>
          <w:spacing w:val="-1"/>
        </w:rPr>
        <w:t> </w:t>
      </w:r>
      <w:r>
        <w:rPr/>
        <w:t>to</w:t>
      </w:r>
      <w:r>
        <w:rPr>
          <w:spacing w:val="-1"/>
        </w:rPr>
        <w:t> </w:t>
      </w:r>
      <w:r>
        <w:rPr/>
        <w:t>cash</w:t>
      </w:r>
      <w:r>
        <w:rPr>
          <w:spacing w:val="-1"/>
        </w:rPr>
        <w:t> </w:t>
      </w:r>
      <w:r>
        <w:rPr/>
        <w:t>orgold</w:t>
      </w:r>
      <w:r>
        <w:rPr>
          <w:spacing w:val="-1"/>
        </w:rPr>
        <w:t> </w:t>
      </w:r>
      <w:r>
        <w:rPr/>
        <w:t>than</w:t>
      </w:r>
      <w:r>
        <w:rPr>
          <w:spacing w:val="-2"/>
        </w:rPr>
        <w:t> </w:t>
      </w:r>
      <w:r>
        <w:rPr/>
        <w:t>to</w:t>
      </w:r>
      <w:r>
        <w:rPr>
          <w:spacing w:val="-1"/>
        </w:rPr>
        <w:t> </w:t>
      </w:r>
      <w:r>
        <w:rPr/>
        <w:t>loan</w:t>
      </w:r>
      <w:r>
        <w:rPr>
          <w:spacing w:val="-2"/>
        </w:rPr>
        <w:t> </w:t>
      </w:r>
      <w:r>
        <w:rPr/>
        <w:t>extended</w:t>
      </w:r>
      <w:r>
        <w:rPr>
          <w:spacing w:val="-1"/>
        </w:rPr>
        <w:t> </w:t>
      </w:r>
      <w:r>
        <w:rPr/>
        <w:t>on</w:t>
      </w:r>
      <w:r>
        <w:rPr>
          <w:spacing w:val="-1"/>
        </w:rPr>
        <w:t> </w:t>
      </w:r>
      <w:r>
        <w:rPr/>
        <w:t>theinformal</w:t>
      </w:r>
      <w:r>
        <w:rPr>
          <w:spacing w:val="-1"/>
        </w:rPr>
        <w:t> </w:t>
      </w:r>
      <w:r>
        <w:rPr/>
        <w:t>sector.</w:t>
      </w:r>
      <w:r>
        <w:rPr>
          <w:spacing w:val="-1"/>
        </w:rPr>
        <w:t> </w:t>
      </w:r>
      <w:r>
        <w:rPr/>
        <w:t>They argue that interest rateliberalisation is thus financialcrisis and stagflation.</w:t>
      </w:r>
    </w:p>
    <w:p>
      <w:pPr>
        <w:pStyle w:val="BodyText"/>
        <w:spacing w:before="160"/>
        <w:ind w:left="0"/>
      </w:pPr>
    </w:p>
    <w:p>
      <w:pPr>
        <w:pStyle w:val="Heading2"/>
        <w:numPr>
          <w:ilvl w:val="2"/>
          <w:numId w:val="21"/>
        </w:numPr>
        <w:tabs>
          <w:tab w:pos="780" w:val="left" w:leader="none"/>
        </w:tabs>
        <w:spacing w:line="240" w:lineRule="auto" w:before="0" w:after="0"/>
        <w:ind w:left="780" w:right="0" w:hanging="560"/>
        <w:jc w:val="left"/>
      </w:pPr>
      <w:bookmarkStart w:name="_TOC_250032" w:id="43"/>
      <w:r>
        <w:rPr/>
        <w:t>Endogenous</w:t>
      </w:r>
      <w:r>
        <w:rPr>
          <w:spacing w:val="-10"/>
        </w:rPr>
        <w:t> </w:t>
      </w:r>
      <w:r>
        <w:rPr/>
        <w:t>Growth</w:t>
      </w:r>
      <w:r>
        <w:rPr>
          <w:spacing w:val="-10"/>
        </w:rPr>
        <w:t> </w:t>
      </w:r>
      <w:bookmarkEnd w:id="43"/>
      <w:r>
        <w:rPr>
          <w:spacing w:val="-2"/>
        </w:rPr>
        <w:t>Theory</w:t>
      </w:r>
    </w:p>
    <w:p>
      <w:pPr>
        <w:pStyle w:val="BodyText"/>
        <w:spacing w:before="159"/>
        <w:ind w:left="0"/>
        <w:rPr>
          <w:b/>
        </w:rPr>
      </w:pPr>
    </w:p>
    <w:p>
      <w:pPr>
        <w:pStyle w:val="BodyText"/>
        <w:spacing w:line="480" w:lineRule="auto"/>
        <w:ind w:right="738"/>
        <w:jc w:val="both"/>
      </w:pPr>
      <w:r>
        <w:rPr/>
        <w:t>The Endogenous growththeory posits that the long rungrowth is driven predominantlyby knowledge accumulationby the agents whose aim is profitmaximizing (Romer, 1986). The theory</w:t>
      </w:r>
      <w:r>
        <w:rPr>
          <w:spacing w:val="29"/>
        </w:rPr>
        <w:t> </w:t>
      </w:r>
      <w:r>
        <w:rPr/>
        <w:t>argues</w:t>
      </w:r>
      <w:r>
        <w:rPr>
          <w:spacing w:val="31"/>
        </w:rPr>
        <w:t> </w:t>
      </w:r>
      <w:r>
        <w:rPr/>
        <w:t>that</w:t>
      </w:r>
      <w:r>
        <w:rPr>
          <w:spacing w:val="29"/>
        </w:rPr>
        <w:t> </w:t>
      </w:r>
      <w:r>
        <w:rPr/>
        <w:t>FDI</w:t>
      </w:r>
      <w:r>
        <w:rPr>
          <w:spacing w:val="33"/>
        </w:rPr>
        <w:t> </w:t>
      </w:r>
      <w:r>
        <w:rPr/>
        <w:t>have</w:t>
      </w:r>
      <w:r>
        <w:rPr>
          <w:spacing w:val="28"/>
        </w:rPr>
        <w:t> </w:t>
      </w:r>
      <w:r>
        <w:rPr/>
        <w:t>a</w:t>
      </w:r>
      <w:r>
        <w:rPr>
          <w:spacing w:val="31"/>
        </w:rPr>
        <w:t> </w:t>
      </w:r>
      <w:r>
        <w:rPr/>
        <w:t>long-run</w:t>
      </w:r>
      <w:r>
        <w:rPr>
          <w:spacing w:val="29"/>
        </w:rPr>
        <w:t> </w:t>
      </w:r>
      <w:r>
        <w:rPr/>
        <w:t>effect</w:t>
      </w:r>
      <w:r>
        <w:rPr>
          <w:spacing w:val="32"/>
        </w:rPr>
        <w:t> </w:t>
      </w:r>
      <w:r>
        <w:rPr/>
        <w:t>ongrowth.</w:t>
      </w:r>
      <w:r>
        <w:rPr>
          <w:spacing w:val="29"/>
        </w:rPr>
        <w:t> </w:t>
      </w:r>
      <w:r>
        <w:rPr/>
        <w:t>Lucas</w:t>
      </w:r>
      <w:r>
        <w:rPr>
          <w:spacing w:val="31"/>
        </w:rPr>
        <w:t> </w:t>
      </w:r>
      <w:r>
        <w:rPr/>
        <w:t>(1990)</w:t>
      </w:r>
      <w:r>
        <w:rPr>
          <w:spacing w:val="29"/>
        </w:rPr>
        <w:t> </w:t>
      </w:r>
      <w:r>
        <w:rPr/>
        <w:t>and</w:t>
      </w:r>
      <w:r>
        <w:rPr>
          <w:spacing w:val="29"/>
        </w:rPr>
        <w:t> </w:t>
      </w:r>
      <w:r>
        <w:rPr/>
        <w:t>Romer</w:t>
      </w:r>
      <w:r>
        <w:rPr>
          <w:spacing w:val="29"/>
        </w:rPr>
        <w:t> </w:t>
      </w:r>
      <w:r>
        <w:rPr>
          <w:spacing w:val="-2"/>
        </w:rPr>
        <w:t>(1987)</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87680">
                <wp:simplePos x="0" y="0"/>
                <wp:positionH relativeFrom="page">
                  <wp:posOffset>950112</wp:posOffset>
                </wp:positionH>
                <wp:positionV relativeFrom="paragraph">
                  <wp:posOffset>1321053</wp:posOffset>
                </wp:positionV>
                <wp:extent cx="5505450" cy="5661025"/>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28800" id="docshape170"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amended the Solowneoclassical model theory byincluding the growth –driving factors of physical capital aswell as human capitalto explain the role of FDI indeveloping countries. FDI was modeled as thegrowth promoting factor throughthe permanent transfer that accompanies FDI. The knowledgetransfer as an externalitywill account for non-diminishing returns thatresults in the long rungrowth. Thus, if the determinantsof growth such as FDI are made endogenousin the growth model, long-runeffect of foreign directinvestments will follow. As a result, a channelwhereby technology spillsover from capital-rich countries to capital-scarceeconomies is the flow of FDI (Barrow &amp;Sala-i-Martin, 1995; Mankiw, 1992). Not only does FDI contribute togrowth throughtechnology transfers andcapital formation,</w:t>
      </w:r>
      <w:r>
        <w:rPr>
          <w:spacing w:val="80"/>
        </w:rPr>
        <w:t> </w:t>
      </w:r>
      <w:r>
        <w:rPr/>
        <w:t>but also does so throughknowledge augmentation in labortraining andskill acquisition. The endogenous growththeory identifies three keychannels through whichFDI affects growth. First, it increases thecapital accumulation of thehost country by introducing newtechnologies and inputs thusmeeting the saving gap neededfor investments.</w:t>
      </w:r>
    </w:p>
    <w:p>
      <w:pPr>
        <w:pStyle w:val="BodyText"/>
        <w:spacing w:line="480" w:lineRule="auto" w:before="161"/>
        <w:ind w:right="733"/>
        <w:jc w:val="both"/>
      </w:pPr>
      <w:r>
        <w:rPr/>
        <w:t>Second, FDI raises competition in thereceiving country by overcomingbarriers to entry and decreasing the marketpower of the existingcorporations. Finally, its raisesknowledge level and skills in the hostcountry through training. Endogenous growthpostulates that FDI has a positive effect on growthby decreasing the costof research and development through stimulatinginnovation. However, thevolatility of FDI inflows has anegative effect on growth. Thus, if FDI inflows are uncertain, researchcosts are uncertain, which affectincentives to innovatenegatively. Therefore, FDI volatility depresses investmentand negatively affects growth. This theory considers long-termeffect of capital flowsand the volatility on the</w:t>
      </w:r>
      <w:r>
        <w:rPr>
          <w:spacing w:val="80"/>
        </w:rPr>
        <w:t> </w:t>
      </w:r>
      <w:r>
        <w:rPr/>
        <w:t>growth</w:t>
      </w:r>
      <w:r>
        <w:rPr>
          <w:spacing w:val="8"/>
        </w:rPr>
        <w:t> </w:t>
      </w:r>
      <w:r>
        <w:rPr/>
        <w:t>which</w:t>
      </w:r>
      <w:r>
        <w:rPr>
          <w:spacing w:val="7"/>
        </w:rPr>
        <w:t> </w:t>
      </w:r>
      <w:r>
        <w:rPr/>
        <w:t>are</w:t>
      </w:r>
      <w:r>
        <w:rPr>
          <w:spacing w:val="8"/>
        </w:rPr>
        <w:t> </w:t>
      </w:r>
      <w:r>
        <w:rPr/>
        <w:t>the</w:t>
      </w:r>
      <w:r>
        <w:rPr>
          <w:spacing w:val="7"/>
        </w:rPr>
        <w:t> </w:t>
      </w:r>
      <w:r>
        <w:rPr/>
        <w:t>keyobjectives</w:t>
      </w:r>
      <w:r>
        <w:rPr>
          <w:spacing w:val="10"/>
        </w:rPr>
        <w:t> </w:t>
      </w:r>
      <w:r>
        <w:rPr/>
        <w:t>in</w:t>
      </w:r>
      <w:r>
        <w:rPr>
          <w:spacing w:val="8"/>
        </w:rPr>
        <w:t> </w:t>
      </w:r>
      <w:r>
        <w:rPr/>
        <w:t>the</w:t>
      </w:r>
      <w:r>
        <w:rPr>
          <w:spacing w:val="7"/>
        </w:rPr>
        <w:t> </w:t>
      </w:r>
      <w:r>
        <w:rPr/>
        <w:t>currentstudy.</w:t>
      </w:r>
      <w:r>
        <w:rPr>
          <w:spacing w:val="8"/>
        </w:rPr>
        <w:t> </w:t>
      </w:r>
      <w:r>
        <w:rPr/>
        <w:t>However,</w:t>
      </w:r>
      <w:r>
        <w:rPr>
          <w:spacing w:val="8"/>
        </w:rPr>
        <w:t> </w:t>
      </w:r>
      <w:r>
        <w:rPr/>
        <w:t>the</w:t>
      </w:r>
      <w:r>
        <w:rPr>
          <w:spacing w:val="10"/>
        </w:rPr>
        <w:t> </w:t>
      </w:r>
      <w:r>
        <w:rPr/>
        <w:t>theory</w:t>
      </w:r>
      <w:r>
        <w:rPr>
          <w:spacing w:val="9"/>
        </w:rPr>
        <w:t> </w:t>
      </w:r>
      <w:r>
        <w:rPr/>
        <w:t>fails</w:t>
      </w:r>
      <w:r>
        <w:rPr>
          <w:spacing w:val="9"/>
        </w:rPr>
        <w:t> </w:t>
      </w:r>
      <w:r>
        <w:rPr>
          <w:spacing w:val="-2"/>
        </w:rPr>
        <w:t>toidentify</w:t>
      </w:r>
    </w:p>
    <w:p>
      <w:pPr>
        <w:spacing w:after="0" w:line="480" w:lineRule="auto"/>
        <w:jc w:val="both"/>
        <w:sectPr>
          <w:pgSz w:w="12240" w:h="15840"/>
          <w:pgMar w:header="0" w:footer="1012" w:top="1380" w:bottom="1200" w:left="1220" w:right="700"/>
        </w:sectPr>
      </w:pPr>
    </w:p>
    <w:p>
      <w:pPr>
        <w:pStyle w:val="BodyText"/>
        <w:spacing w:line="480" w:lineRule="auto" w:before="60"/>
        <w:ind w:right="505"/>
      </w:pPr>
      <w:r>
        <w:rPr/>
        <mc:AlternateContent>
          <mc:Choice Requires="wps">
            <w:drawing>
              <wp:anchor distT="0" distB="0" distL="0" distR="0" allowOverlap="1" layoutInCell="1" locked="0" behindDoc="1" simplePos="0" relativeHeight="478088704">
                <wp:simplePos x="0" y="0"/>
                <wp:positionH relativeFrom="page">
                  <wp:posOffset>950112</wp:posOffset>
                </wp:positionH>
                <wp:positionV relativeFrom="paragraph">
                  <wp:posOffset>1321053</wp:posOffset>
                </wp:positionV>
                <wp:extent cx="5505450" cy="5661025"/>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27776" id="docshape171"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the role ofportfolio</w:t>
      </w:r>
      <w:r>
        <w:rPr>
          <w:spacing w:val="-1"/>
        </w:rPr>
        <w:t> </w:t>
      </w:r>
      <w:r>
        <w:rPr/>
        <w:t>flows (short-term</w:t>
      </w:r>
      <w:r>
        <w:rPr>
          <w:spacing w:val="-1"/>
        </w:rPr>
        <w:t> </w:t>
      </w:r>
      <w:r>
        <w:rPr/>
        <w:t>flows)</w:t>
      </w:r>
      <w:r>
        <w:rPr>
          <w:spacing w:val="-1"/>
        </w:rPr>
        <w:t> </w:t>
      </w:r>
      <w:r>
        <w:rPr/>
        <w:t>which plays an important role ingrowth but only centers on long-termcapital flows.</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28"/>
        <w:ind w:left="0"/>
        <w:rPr>
          <w:sz w:val="20"/>
        </w:rPr>
      </w:pPr>
      <w:r>
        <w:rPr/>
        <mc:AlternateContent>
          <mc:Choice Requires="wps">
            <w:drawing>
              <wp:anchor distT="0" distB="0" distL="0" distR="0" allowOverlap="1" layoutInCell="1" locked="0" behindDoc="1" simplePos="0" relativeHeight="487673856">
                <wp:simplePos x="0" y="0"/>
                <wp:positionH relativeFrom="page">
                  <wp:posOffset>896416</wp:posOffset>
                </wp:positionH>
                <wp:positionV relativeFrom="paragraph">
                  <wp:posOffset>306057</wp:posOffset>
                </wp:positionV>
                <wp:extent cx="5981065" cy="5498465"/>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5981065" cy="5498465"/>
                        </a:xfrm>
                        <a:custGeom>
                          <a:avLst/>
                          <a:gdLst/>
                          <a:ahLst/>
                          <a:cxnLst/>
                          <a:rect l="l" t="t" r="r" b="b"/>
                          <a:pathLst>
                            <a:path w="5981065" h="5498465">
                              <a:moveTo>
                                <a:pt x="5981065" y="4565091"/>
                              </a:moveTo>
                              <a:lnTo>
                                <a:pt x="0" y="4565091"/>
                              </a:lnTo>
                              <a:lnTo>
                                <a:pt x="0" y="5031740"/>
                              </a:lnTo>
                              <a:lnTo>
                                <a:pt x="0" y="5498084"/>
                              </a:lnTo>
                              <a:lnTo>
                                <a:pt x="5981065" y="5498084"/>
                              </a:lnTo>
                              <a:lnTo>
                                <a:pt x="5981065" y="5031740"/>
                              </a:lnTo>
                              <a:lnTo>
                                <a:pt x="5981065" y="4565091"/>
                              </a:lnTo>
                              <a:close/>
                            </a:path>
                            <a:path w="5981065" h="5498465">
                              <a:moveTo>
                                <a:pt x="5981065" y="4098683"/>
                              </a:moveTo>
                              <a:lnTo>
                                <a:pt x="0" y="4098683"/>
                              </a:lnTo>
                              <a:lnTo>
                                <a:pt x="0" y="4565015"/>
                              </a:lnTo>
                              <a:lnTo>
                                <a:pt x="5981065" y="4565015"/>
                              </a:lnTo>
                              <a:lnTo>
                                <a:pt x="5981065" y="4098683"/>
                              </a:lnTo>
                              <a:close/>
                            </a:path>
                            <a:path w="5981065" h="5498465">
                              <a:moveTo>
                                <a:pt x="5981065" y="1765185"/>
                              </a:moveTo>
                              <a:lnTo>
                                <a:pt x="0" y="1765185"/>
                              </a:lnTo>
                              <a:lnTo>
                                <a:pt x="0" y="2231479"/>
                              </a:lnTo>
                              <a:lnTo>
                                <a:pt x="0" y="2698115"/>
                              </a:lnTo>
                              <a:lnTo>
                                <a:pt x="0" y="3164459"/>
                              </a:lnTo>
                              <a:lnTo>
                                <a:pt x="0" y="3630803"/>
                              </a:lnTo>
                              <a:lnTo>
                                <a:pt x="0" y="4098671"/>
                              </a:lnTo>
                              <a:lnTo>
                                <a:pt x="5981065" y="4098671"/>
                              </a:lnTo>
                              <a:lnTo>
                                <a:pt x="5981065" y="2231479"/>
                              </a:lnTo>
                              <a:lnTo>
                                <a:pt x="5981065" y="1765185"/>
                              </a:lnTo>
                              <a:close/>
                            </a:path>
                            <a:path w="5981065" h="5498465">
                              <a:moveTo>
                                <a:pt x="5981065" y="364312"/>
                              </a:moveTo>
                              <a:lnTo>
                                <a:pt x="0" y="364312"/>
                              </a:lnTo>
                              <a:lnTo>
                                <a:pt x="0" y="830961"/>
                              </a:lnTo>
                              <a:lnTo>
                                <a:pt x="0" y="1297305"/>
                              </a:lnTo>
                              <a:lnTo>
                                <a:pt x="0" y="1765173"/>
                              </a:lnTo>
                              <a:lnTo>
                                <a:pt x="5981065" y="1765173"/>
                              </a:lnTo>
                              <a:lnTo>
                                <a:pt x="5981065" y="1297305"/>
                              </a:lnTo>
                              <a:lnTo>
                                <a:pt x="5981065" y="830961"/>
                              </a:lnTo>
                              <a:lnTo>
                                <a:pt x="5981065" y="364312"/>
                              </a:lnTo>
                              <a:close/>
                            </a:path>
                            <a:path w="5981065" h="5498465">
                              <a:moveTo>
                                <a:pt x="5981065" y="0"/>
                              </a:moveTo>
                              <a:lnTo>
                                <a:pt x="0" y="0"/>
                              </a:lnTo>
                              <a:lnTo>
                                <a:pt x="0" y="364236"/>
                              </a:lnTo>
                              <a:lnTo>
                                <a:pt x="5981065" y="364236"/>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24.098995pt;width:470.95pt;height:432.95pt;mso-position-horizontal-relative:page;mso-position-vertical-relative:paragraph;z-index:-15642624;mso-wrap-distance-left:0;mso-wrap-distance-right:0" id="docshape172" coordorigin="1412,482" coordsize="9419,8659" path="m10831,7671l1412,7671,1412,8406,1412,9140,10831,9140,10831,8406,10831,7671xm10831,6937l1412,6937,1412,7671,10831,7671,10831,6937xm10831,3262l1412,3262,1412,3996,1412,3996,1412,4731,1412,5465,1412,6200,1412,6937,10831,6937,10831,6200,10831,5465,10831,4731,10831,3996,10831,3996,10831,3262xm10831,1056l1412,1056,1412,1791,1412,2525,1412,3262,10831,3262,10831,2525,10831,1791,10831,1056xm10831,482l1412,482,1412,1056,10831,1056,10831,482xe" filled="true" fillcolor="#ffffff" stroked="false">
                <v:path arrowok="t"/>
                <v:fill type="solid"/>
                <w10:wrap type="topAndBottom"/>
              </v:shape>
            </w:pict>
          </mc:Fallback>
        </mc:AlternateContent>
      </w:r>
    </w:p>
    <w:p>
      <w:pPr>
        <w:spacing w:after="0"/>
        <w:rPr>
          <w:sz w:val="20"/>
        </w:rPr>
        <w:sectPr>
          <w:pgSz w:w="12240" w:h="15840"/>
          <w:pgMar w:header="0" w:footer="1012" w:top="1380" w:bottom="1200" w:left="1220" w:right="700"/>
        </w:sectPr>
      </w:pPr>
    </w:p>
    <w:p>
      <w:pPr>
        <w:pStyle w:val="Heading1"/>
        <w:spacing w:line="614" w:lineRule="auto"/>
        <w:ind w:left="2825" w:right="3342"/>
      </w:pPr>
      <w:bookmarkStart w:name="_TOC_250031" w:id="44"/>
      <w:r>
        <w:rPr/>
        <w:t>CHAPTER</w:t>
      </w:r>
      <w:r>
        <w:rPr>
          <w:spacing w:val="-16"/>
        </w:rPr>
        <w:t> </w:t>
      </w:r>
      <w:r>
        <w:rPr/>
        <w:t>THREE </w:t>
      </w:r>
      <w:bookmarkEnd w:id="44"/>
      <w:r>
        <w:rPr>
          <w:spacing w:val="-2"/>
        </w:rPr>
        <w:t>METHODOLOGY</w:t>
      </w:r>
    </w:p>
    <w:p>
      <w:pPr>
        <w:pStyle w:val="BodyText"/>
        <w:spacing w:line="287" w:lineRule="exact"/>
      </w:pPr>
      <w:r>
        <w:rPr/>
        <mc:AlternateContent>
          <mc:Choice Requires="wps">
            <w:drawing>
              <wp:anchor distT="0" distB="0" distL="0" distR="0" allowOverlap="1" layoutInCell="1" locked="0" behindDoc="1" simplePos="0" relativeHeight="478089728">
                <wp:simplePos x="0" y="0"/>
                <wp:positionH relativeFrom="page">
                  <wp:posOffset>896416</wp:posOffset>
                </wp:positionH>
                <wp:positionV relativeFrom="paragraph">
                  <wp:posOffset>-102283</wp:posOffset>
                </wp:positionV>
                <wp:extent cx="5981065" cy="1379855"/>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5981065" cy="1379855"/>
                        </a:xfrm>
                        <a:custGeom>
                          <a:avLst/>
                          <a:gdLst/>
                          <a:ahLst/>
                          <a:cxnLst/>
                          <a:rect l="l" t="t" r="r" b="b"/>
                          <a:pathLst>
                            <a:path w="5981065" h="1379855">
                              <a:moveTo>
                                <a:pt x="5981065" y="1196416"/>
                              </a:moveTo>
                              <a:lnTo>
                                <a:pt x="0" y="1196416"/>
                              </a:lnTo>
                              <a:lnTo>
                                <a:pt x="0" y="1379601"/>
                              </a:lnTo>
                              <a:lnTo>
                                <a:pt x="5981065" y="1379601"/>
                              </a:lnTo>
                              <a:lnTo>
                                <a:pt x="5981065" y="1196416"/>
                              </a:lnTo>
                              <a:close/>
                            </a:path>
                            <a:path w="5981065" h="1379855">
                              <a:moveTo>
                                <a:pt x="5981065" y="832116"/>
                              </a:moveTo>
                              <a:lnTo>
                                <a:pt x="0" y="832116"/>
                              </a:lnTo>
                              <a:lnTo>
                                <a:pt x="0" y="1196340"/>
                              </a:lnTo>
                              <a:lnTo>
                                <a:pt x="5981065" y="1196340"/>
                              </a:lnTo>
                              <a:lnTo>
                                <a:pt x="5981065" y="832116"/>
                              </a:lnTo>
                              <a:close/>
                            </a:path>
                            <a:path w="5981065" h="1379855">
                              <a:moveTo>
                                <a:pt x="5981065" y="0"/>
                              </a:moveTo>
                              <a:lnTo>
                                <a:pt x="0" y="0"/>
                              </a:lnTo>
                              <a:lnTo>
                                <a:pt x="0" y="466344"/>
                              </a:lnTo>
                              <a:lnTo>
                                <a:pt x="0" y="832104"/>
                              </a:lnTo>
                              <a:lnTo>
                                <a:pt x="5981065" y="832104"/>
                              </a:lnTo>
                              <a:lnTo>
                                <a:pt x="5981065" y="466344"/>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8.053782pt;width:470.95pt;height:108.65pt;mso-position-horizontal-relative:page;mso-position-vertical-relative:paragraph;z-index:-25226752" id="docshape173" coordorigin="1412,-161" coordsize="9419,2173" path="m10831,1723l1412,1723,1412,2012,10831,2012,10831,1723xm10831,1149l1412,1149,1412,1723,10831,1723,10831,1149xm10831,-161l1412,-161,1412,573,1412,1149,10831,1149,10831,573,10831,-161xe" filled="true" fillcolor="#ffffff" stroked="false">
                <v:path arrowok="t"/>
                <v:fill type="solid"/>
                <w10:wrap type="none"/>
              </v:shape>
            </w:pict>
          </mc:Fallback>
        </mc:AlternateContent>
      </w:r>
      <w:r>
        <w:rPr/>
        <w:t>This</w:t>
      </w:r>
      <w:r>
        <w:rPr>
          <w:spacing w:val="36"/>
        </w:rPr>
        <w:t> </w:t>
      </w:r>
      <w:r>
        <w:rPr/>
        <w:t>chapter</w:t>
      </w:r>
      <w:r>
        <w:rPr>
          <w:spacing w:val="35"/>
        </w:rPr>
        <w:t> </w:t>
      </w:r>
      <w:r>
        <w:rPr/>
        <w:t>explains</w:t>
      </w:r>
      <w:r>
        <w:rPr>
          <w:spacing w:val="35"/>
        </w:rPr>
        <w:t> </w:t>
      </w:r>
      <w:r>
        <w:rPr/>
        <w:t>the</w:t>
      </w:r>
      <w:r>
        <w:rPr>
          <w:spacing w:val="34"/>
        </w:rPr>
        <w:t> </w:t>
      </w:r>
      <w:r>
        <w:rPr/>
        <w:t>methods</w:t>
      </w:r>
      <w:r>
        <w:rPr>
          <w:spacing w:val="35"/>
        </w:rPr>
        <w:t> </w:t>
      </w:r>
      <w:r>
        <w:rPr/>
        <w:t>to</w:t>
      </w:r>
      <w:r>
        <w:rPr>
          <w:spacing w:val="36"/>
        </w:rPr>
        <w:t> </w:t>
      </w:r>
      <w:r>
        <w:rPr/>
        <w:t>beadopted</w:t>
      </w:r>
      <w:r>
        <w:rPr>
          <w:spacing w:val="34"/>
        </w:rPr>
        <w:t> </w:t>
      </w:r>
      <w:r>
        <w:rPr/>
        <w:t>in</w:t>
      </w:r>
      <w:r>
        <w:rPr>
          <w:spacing w:val="35"/>
        </w:rPr>
        <w:t> </w:t>
      </w:r>
      <w:r>
        <w:rPr/>
        <w:t>the</w:t>
      </w:r>
      <w:r>
        <w:rPr>
          <w:spacing w:val="34"/>
        </w:rPr>
        <w:t> </w:t>
      </w:r>
      <w:r>
        <w:rPr/>
        <w:t>study.</w:t>
      </w:r>
      <w:r>
        <w:rPr>
          <w:spacing w:val="36"/>
        </w:rPr>
        <w:t> </w:t>
      </w:r>
      <w:r>
        <w:rPr/>
        <w:t>That</w:t>
      </w:r>
      <w:r>
        <w:rPr>
          <w:spacing w:val="34"/>
        </w:rPr>
        <w:t> </w:t>
      </w:r>
      <w:r>
        <w:rPr/>
        <w:t>is,</w:t>
      </w:r>
      <w:r>
        <w:rPr>
          <w:spacing w:val="34"/>
        </w:rPr>
        <w:t> </w:t>
      </w:r>
      <w:r>
        <w:rPr/>
        <w:t>theapproach</w:t>
      </w:r>
      <w:r>
        <w:rPr>
          <w:spacing w:val="34"/>
        </w:rPr>
        <w:t> </w:t>
      </w:r>
      <w:r>
        <w:rPr/>
        <w:t>of</w:t>
      </w:r>
      <w:r>
        <w:rPr>
          <w:spacing w:val="35"/>
        </w:rPr>
        <w:t> </w:t>
      </w:r>
      <w:r>
        <w:rPr>
          <w:spacing w:val="-5"/>
        </w:rPr>
        <w:t>the</w:t>
      </w:r>
    </w:p>
    <w:p>
      <w:pPr>
        <w:pStyle w:val="BodyText"/>
        <w:spacing w:before="286"/>
      </w:pPr>
      <w:r>
        <w:rPr/>
        <mc:AlternateContent>
          <mc:Choice Requires="wps">
            <w:drawing>
              <wp:anchor distT="0" distB="0" distL="0" distR="0" allowOverlap="1" layoutInCell="1" locked="0" behindDoc="1" simplePos="0" relativeHeight="478089216">
                <wp:simplePos x="0" y="0"/>
                <wp:positionH relativeFrom="page">
                  <wp:posOffset>950112</wp:posOffset>
                </wp:positionH>
                <wp:positionV relativeFrom="paragraph">
                  <wp:posOffset>166321</wp:posOffset>
                </wp:positionV>
                <wp:extent cx="5505450" cy="5661025"/>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3.096143pt;width:433.5pt;height:445.75pt;mso-position-horizontal-relative:page;mso-position-vertical-relative:paragraph;z-index:-25227264" id="docshape174" coordorigin="1496,262" coordsize="8670,8915" path="m2562,8982l1691,8111,1496,8306,2367,9177,2562,8982xm3154,8306l3153,8266,3148,8223,3139,8180,3125,8136,3106,8092,3083,8049,3055,8006,3025,7965,2991,7925,2954,7886,2435,7367,2241,7561,2772,8093,2805,8129,2829,8164,2846,8199,2856,8233,2858,8266,2851,8296,2837,8325,2816,8351,2790,8373,2761,8386,2730,8392,2697,8390,2663,8381,2628,8364,2593,8340,2557,8308,2026,7776,1831,7970,2351,8490,2385,8522,2424,8554,2468,8587,2516,8619,2548,8638,2583,8654,2620,8667,2658,8678,2697,8685,2733,8689,2767,8690,2800,8686,2831,8679,2863,8667,2895,8651,2926,8631,2957,8608,2985,8585,3011,8562,3035,8539,3071,8499,3102,8458,3125,8416,3142,8374,3150,8342,3154,8306xm3882,7522l3876,7458,3860,7393,3834,7326,3806,7272,3771,7216,3728,7158,3678,7099,3661,7080,3621,7039,3597,7016,3597,7510,3592,7550,3577,7587,3551,7620,3518,7646,3481,7661,3441,7665,3396,7659,3347,7641,3294,7609,3235,7564,3171,7505,3112,7441,3066,7382,3035,7328,3016,7279,3010,7234,3014,7194,3029,7158,3053,7126,3086,7101,3122,7085,3163,7080,3207,7085,3255,7103,3307,7132,3363,7175,3423,7230,3488,7299,3538,7362,3572,7418,3591,7467,3597,7510,3597,7016,3551,6973,3482,6918,3413,6873,3344,6838,3276,6812,3209,6796,3130,6791,3055,6801,2983,6826,2914,6867,2850,6922,2796,6986,2756,7053,2732,7125,2723,7201,2729,7280,2746,7349,2772,7418,2808,7487,2854,7557,2910,7628,2976,7699,3036,7756,3096,7805,3156,7847,3215,7882,3273,7909,3344,7934,3411,7947,3475,7951,3535,7945,3593,7928,3649,7901,3705,7863,3758,7815,3805,7762,3841,7705,3858,7665,3866,7647,3879,7585,3882,7522xm4153,6943l3966,6756,3712,7010,3899,7197,4153,6943xm4664,6880l3793,6009,3598,6204,4469,7075,4664,6880xm4998,6546l4675,6223,4781,6116,4832,6056,4837,6046,4866,5995,4883,5931,4882,5867,4866,5801,4843,5750,4836,5735,4792,5669,4733,5603,4670,5546,4607,5503,4598,5499,4598,5892,4597,5918,4587,5944,4570,5971,4546,5999,4498,6046,4304,5852,4359,5796,4386,5773,4412,5757,4438,5750,4462,5751,4486,5757,4509,5767,4531,5782,4552,5800,4570,5822,4584,5844,4593,5868,4598,5892,4598,5499,4544,5474,4483,5458,4423,5457,4365,5471,4309,5501,4255,5547,3931,5870,4803,6741,4998,6546xm5788,5756l5132,5100,5330,4902,5115,4687,4524,5278,4739,5493,4937,5295,5593,5951,5788,5756xm6423,5121l5767,4465,5966,4266,5751,4051,5159,4643,5374,4858,5573,4659,6229,5315,6423,5121xm7157,4248l7151,4183,7135,4118,7109,4051,7081,3997,7046,3941,7003,3883,6953,3824,6935,3805,6896,3764,6872,3742,6872,4235,6867,4276,6851,4312,6825,4346,6793,4371,6756,4386,6716,4390,6671,4384,6622,4366,6569,4334,6510,4289,6446,4230,6387,4166,6341,4107,6309,4053,6291,4004,6285,3959,6289,3919,6304,3883,6328,3852,6361,3826,6397,3811,6438,3805,6482,3811,6530,3828,6582,3858,6638,3900,6698,3955,6763,4025,6813,4087,6847,4143,6866,4192,6872,4235,6872,3742,6826,3699,6756,3644,6687,3598,6619,3563,6551,3538,6483,3522,6405,3516,6329,3526,6258,3551,6189,3592,6125,3647,6071,3711,6031,3778,6007,3850,5998,3926,6004,4006,6021,4074,6047,4143,6083,4212,6129,4282,6184,4353,6250,4424,6311,4481,6371,4530,6431,4572,6490,4607,6548,4635,6619,4659,6686,4672,6750,4676,6810,4670,6868,4653,6924,4626,6979,4589,7033,4541,7080,4487,7116,4430,7133,4390,7141,4372,7154,4311,7157,4248xm8170,3252l8165,3203,8153,3153,8134,3100,8109,3046,8079,2990,8041,2933,7980,2957,7799,3032,7831,3078,7855,3121,7873,3162,7884,3199,7887,3234,7881,3267,7866,3298,7843,3327,7812,3351,7778,3365,7740,3369,7700,3363,7653,3344,7600,3310,7538,3261,7469,3196,7417,3140,7375,3088,7344,3040,7324,2998,7311,2946,7312,2900,7325,2859,7352,2823,7367,2810,7384,2799,7402,2791,7422,2787,7442,2785,7464,2785,7486,2788,7509,2794,7524,2800,7542,2808,7563,2819,7586,2834,7705,2609,7622,2563,7543,2531,7469,2512,7400,2505,7333,2513,7269,2536,7206,2574,7146,2626,7092,2689,7054,2755,7030,2825,7021,2899,7027,2977,7044,3044,7070,3112,7106,3181,7153,3251,7209,3321,7276,3393,7341,3454,7404,3506,7467,3549,7529,3585,7590,3612,7662,3636,7730,3649,7791,3651,7847,3645,7900,3628,7952,3601,8004,3564,8056,3518,8094,3475,8125,3432,8147,3389,8161,3344,8169,3299,8170,3252xm8868,2537l8861,2472,8846,2407,8820,2340,8792,2286,8757,2230,8714,2172,8664,2113,8646,2094,8607,2053,8583,2030,8583,2525,8578,2565,8562,2601,8536,2635,8504,2660,8467,2675,8427,2679,8382,2673,8333,2655,8279,2623,8221,2578,8157,2519,8098,2455,8052,2396,8020,2342,8002,2293,7996,2248,8000,2208,8014,2172,8039,2141,8071,2115,8108,2100,8149,2094,8193,2100,8241,2117,8293,2147,8349,2189,8409,2244,8474,2314,8524,2376,8558,2432,8577,2481,8583,2525,8583,2030,8537,1988,8467,1933,8398,1887,8330,1852,8262,1827,8194,1811,8116,1805,8040,1815,7968,1841,7900,1881,7835,1937,7781,2000,7742,2068,7718,2139,7709,2215,7715,2295,7731,2363,7758,2432,7794,2501,7839,2571,7895,2642,7961,2713,8022,2770,8082,2819,8142,2862,8201,2896,8259,2924,8329,2948,8397,2962,8461,2965,8521,2959,8579,2943,8635,2915,8690,2878,8744,2830,8791,2776,8827,2720,8844,2679,8852,2661,8865,2600,8868,2537xm9348,2196l9025,1872,9132,1766,9182,1706,9188,1696,9216,1644,9233,1581,9233,1516,9217,1451,9194,1400,9187,1385,9142,1319,9084,1253,9020,1196,8957,1153,8948,1149,8948,1542,8947,1567,8938,1594,8921,1620,8896,1648,8849,1696,8654,1502,8710,1446,8737,1423,8763,1407,8788,1400,8812,1400,8836,1407,8859,1417,8881,1432,8902,1450,8920,1472,8934,1494,8943,1518,8948,1542,8948,1149,8895,1123,8833,1107,8773,1106,8715,1121,8659,1151,8605,1196,8282,1520,9153,2391,9348,2196xm10166,1378l9801,1013,9748,863,9593,412,9540,262,9325,477,9353,547,9436,758,9492,899,9422,870,9211,787,9071,731,8854,947,9005,1000,9456,1155,9606,1208,9971,1573,10166,1378xe" filled="true" fillcolor="#c0c0c0" stroked="false">
                <v:path arrowok="t"/>
                <v:fill opacity="32896f" type="solid"/>
                <w10:wrap type="none"/>
              </v:shape>
            </w:pict>
          </mc:Fallback>
        </mc:AlternateContent>
      </w:r>
      <w:r>
        <w:rPr/>
        <w:t>study,</w:t>
      </w:r>
      <w:r>
        <w:rPr>
          <w:spacing w:val="-2"/>
        </w:rPr>
        <w:t> </w:t>
      </w:r>
      <w:r>
        <w:rPr/>
        <w:t>the</w:t>
      </w:r>
      <w:r>
        <w:rPr>
          <w:spacing w:val="-1"/>
        </w:rPr>
        <w:t> </w:t>
      </w:r>
      <w:r>
        <w:rPr/>
        <w:t>populationof</w:t>
      </w:r>
      <w:r>
        <w:rPr>
          <w:spacing w:val="2"/>
        </w:rPr>
        <w:t> </w:t>
      </w:r>
      <w:r>
        <w:rPr/>
        <w:t>the</w:t>
      </w:r>
      <w:r>
        <w:rPr>
          <w:spacing w:val="-1"/>
        </w:rPr>
        <w:t> </w:t>
      </w:r>
      <w:r>
        <w:rPr/>
        <w:t>study,</w:t>
      </w:r>
      <w:r>
        <w:rPr>
          <w:spacing w:val="-2"/>
        </w:rPr>
        <w:t> </w:t>
      </w:r>
      <w:r>
        <w:rPr/>
        <w:t>the</w:t>
      </w:r>
      <w:r>
        <w:rPr>
          <w:spacing w:val="-1"/>
        </w:rPr>
        <w:t> </w:t>
      </w:r>
      <w:r>
        <w:rPr/>
        <w:t>sample,</w:t>
      </w:r>
      <w:r>
        <w:rPr>
          <w:spacing w:val="1"/>
        </w:rPr>
        <w:t> </w:t>
      </w:r>
      <w:r>
        <w:rPr/>
        <w:t>methods of</w:t>
      </w:r>
      <w:r>
        <w:rPr>
          <w:spacing w:val="-1"/>
        </w:rPr>
        <w:t> </w:t>
      </w:r>
      <w:r>
        <w:rPr/>
        <w:t>data</w:t>
      </w:r>
      <w:r>
        <w:rPr>
          <w:spacing w:val="-2"/>
        </w:rPr>
        <w:t> </w:t>
      </w:r>
      <w:r>
        <w:rPr/>
        <w:t>collection</w:t>
      </w:r>
      <w:r>
        <w:rPr>
          <w:spacing w:val="-1"/>
        </w:rPr>
        <w:t> </w:t>
      </w:r>
      <w:r>
        <w:rPr/>
        <w:t>and</w:t>
      </w:r>
      <w:r>
        <w:rPr>
          <w:spacing w:val="-1"/>
        </w:rPr>
        <w:t> </w:t>
      </w:r>
      <w:r>
        <w:rPr/>
        <w:t>analysis </w:t>
      </w:r>
      <w:r>
        <w:rPr>
          <w:spacing w:val="-2"/>
        </w:rPr>
        <w:t>among</w:t>
      </w:r>
    </w:p>
    <w:p>
      <w:pPr>
        <w:pStyle w:val="BodyText"/>
        <w:spacing w:before="1"/>
        <w:ind w:left="0"/>
      </w:pPr>
    </w:p>
    <w:p>
      <w:pPr>
        <w:pStyle w:val="BodyText"/>
      </w:pPr>
      <w:r>
        <w:rPr/>
        <w:t>others</w:t>
      </w:r>
      <w:r>
        <w:rPr>
          <w:spacing w:val="-6"/>
        </w:rPr>
        <w:t> </w:t>
      </w:r>
      <w:r>
        <w:rPr/>
        <w:t>were</w:t>
      </w:r>
      <w:r>
        <w:rPr>
          <w:spacing w:val="-7"/>
        </w:rPr>
        <w:t> </w:t>
      </w:r>
      <w:r>
        <w:rPr/>
        <w:t>clearly</w:t>
      </w:r>
      <w:r>
        <w:rPr>
          <w:spacing w:val="-7"/>
        </w:rPr>
        <w:t> </w:t>
      </w:r>
      <w:r>
        <w:rPr>
          <w:spacing w:val="-2"/>
        </w:rPr>
        <w:t>discussed.</w:t>
      </w:r>
    </w:p>
    <w:p>
      <w:pPr>
        <w:pStyle w:val="BodyText"/>
        <w:ind w:left="0"/>
      </w:pPr>
    </w:p>
    <w:p>
      <w:pPr>
        <w:pStyle w:val="BodyText"/>
        <w:spacing w:before="160"/>
        <w:ind w:left="0"/>
      </w:pPr>
    </w:p>
    <w:p>
      <w:pPr>
        <w:pStyle w:val="Heading2"/>
        <w:numPr>
          <w:ilvl w:val="1"/>
          <w:numId w:val="22"/>
        </w:numPr>
        <w:tabs>
          <w:tab w:pos="593" w:val="left" w:leader="none"/>
        </w:tabs>
        <w:spacing w:line="240" w:lineRule="auto" w:before="0" w:after="0"/>
        <w:ind w:left="593" w:right="0" w:hanging="373"/>
        <w:jc w:val="left"/>
      </w:pPr>
      <w:bookmarkStart w:name="_TOC_250030" w:id="45"/>
      <w:r>
        <w:rPr/>
        <w:t>Research</w:t>
      </w:r>
      <w:r>
        <w:rPr>
          <w:spacing w:val="-11"/>
        </w:rPr>
        <w:t> </w:t>
      </w:r>
      <w:bookmarkEnd w:id="45"/>
      <w:r>
        <w:rPr>
          <w:spacing w:val="-2"/>
        </w:rPr>
        <w:t>Design</w:t>
      </w:r>
    </w:p>
    <w:p>
      <w:pPr>
        <w:pStyle w:val="BodyText"/>
        <w:spacing w:before="160"/>
        <w:ind w:left="0"/>
        <w:rPr>
          <w:b/>
        </w:rPr>
      </w:pPr>
    </w:p>
    <w:p>
      <w:pPr>
        <w:pStyle w:val="BodyText"/>
        <w:spacing w:line="480" w:lineRule="auto"/>
        <w:ind w:right="735"/>
        <w:jc w:val="both"/>
      </w:pPr>
      <w:r>
        <w:rPr/>
        <w:t>The study will adopt longitudinalresearch design. It is a research designthat involves</w:t>
      </w:r>
      <w:r>
        <w:rPr>
          <w:spacing w:val="40"/>
        </w:rPr>
        <w:t> </w:t>
      </w:r>
      <w:r>
        <w:rPr/>
        <w:t>repeated observations of the samevariables over short or longperiods of time. Longitudinal studies are a type of correlationalresearch in which researchersobserve and collect data on a number of variables withouttrying to influence thosevariables. The design will be adopted because</w:t>
      </w:r>
      <w:r>
        <w:rPr>
          <w:spacing w:val="-3"/>
        </w:rPr>
        <w:t> </w:t>
      </w:r>
      <w:r>
        <w:rPr/>
        <w:t>it</w:t>
      </w:r>
      <w:r>
        <w:rPr>
          <w:spacing w:val="-2"/>
        </w:rPr>
        <w:t> </w:t>
      </w:r>
      <w:r>
        <w:rPr/>
        <w:t>enables</w:t>
      </w:r>
      <w:r>
        <w:rPr>
          <w:spacing w:val="-2"/>
        </w:rPr>
        <w:t> </w:t>
      </w:r>
      <w:r>
        <w:rPr/>
        <w:t>theresearcher</w:t>
      </w:r>
      <w:r>
        <w:rPr>
          <w:spacing w:val="-2"/>
        </w:rPr>
        <w:t> </w:t>
      </w:r>
      <w:r>
        <w:rPr/>
        <w:t>to</w:t>
      </w:r>
      <w:r>
        <w:rPr>
          <w:spacing w:val="-2"/>
        </w:rPr>
        <w:t> </w:t>
      </w:r>
      <w:r>
        <w:rPr/>
        <w:t>detect developmentsor</w:t>
      </w:r>
      <w:r>
        <w:rPr>
          <w:spacing w:val="-1"/>
        </w:rPr>
        <w:t> </w:t>
      </w:r>
      <w:r>
        <w:rPr/>
        <w:t>changes</w:t>
      </w:r>
      <w:r>
        <w:rPr>
          <w:spacing w:val="-2"/>
        </w:rPr>
        <w:t> </w:t>
      </w:r>
      <w:r>
        <w:rPr/>
        <w:t>in</w:t>
      </w:r>
      <w:r>
        <w:rPr>
          <w:spacing w:val="-2"/>
        </w:rPr>
        <w:t> </w:t>
      </w:r>
      <w:r>
        <w:rPr/>
        <w:t>the</w:t>
      </w:r>
      <w:r>
        <w:rPr>
          <w:spacing w:val="-3"/>
        </w:rPr>
        <w:t> </w:t>
      </w:r>
      <w:r>
        <w:rPr/>
        <w:t>characteristicsof</w:t>
      </w:r>
      <w:r>
        <w:rPr>
          <w:spacing w:val="-2"/>
        </w:rPr>
        <w:t> </w:t>
      </w:r>
      <w:r>
        <w:rPr/>
        <w:t>the target populationat both the group and theindividual level.</w:t>
      </w:r>
    </w:p>
    <w:p>
      <w:pPr>
        <w:pStyle w:val="BodyText"/>
        <w:spacing w:before="161"/>
        <w:ind w:left="0"/>
      </w:pPr>
    </w:p>
    <w:p>
      <w:pPr>
        <w:pStyle w:val="Heading2"/>
        <w:numPr>
          <w:ilvl w:val="1"/>
          <w:numId w:val="22"/>
        </w:numPr>
        <w:tabs>
          <w:tab w:pos="593" w:val="left" w:leader="none"/>
        </w:tabs>
        <w:spacing w:line="240" w:lineRule="auto" w:before="0" w:after="0"/>
        <w:ind w:left="593" w:right="0" w:hanging="373"/>
        <w:jc w:val="left"/>
      </w:pPr>
      <w:bookmarkStart w:name="_TOC_250029" w:id="46"/>
      <w:r>
        <w:rPr/>
        <w:t>Nature</w:t>
      </w:r>
      <w:r>
        <w:rPr>
          <w:spacing w:val="-7"/>
        </w:rPr>
        <w:t> </w:t>
      </w:r>
      <w:r>
        <w:rPr/>
        <w:t>and</w:t>
      </w:r>
      <w:r>
        <w:rPr>
          <w:spacing w:val="-5"/>
        </w:rPr>
        <w:t> </w:t>
      </w:r>
      <w:r>
        <w:rPr/>
        <w:t>Sources</w:t>
      </w:r>
      <w:r>
        <w:rPr>
          <w:spacing w:val="-6"/>
        </w:rPr>
        <w:t> </w:t>
      </w:r>
      <w:r>
        <w:rPr/>
        <w:t>of</w:t>
      </w:r>
      <w:r>
        <w:rPr>
          <w:spacing w:val="-5"/>
        </w:rPr>
        <w:t> </w:t>
      </w:r>
      <w:bookmarkEnd w:id="46"/>
      <w:r>
        <w:rPr>
          <w:spacing w:val="-4"/>
        </w:rPr>
        <w:t>Data</w:t>
      </w:r>
    </w:p>
    <w:p>
      <w:pPr>
        <w:pStyle w:val="BodyText"/>
        <w:spacing w:before="159"/>
        <w:ind w:left="0"/>
        <w:rPr>
          <w:b/>
        </w:rPr>
      </w:pPr>
    </w:p>
    <w:p>
      <w:pPr>
        <w:pStyle w:val="BodyText"/>
        <w:spacing w:line="480" w:lineRule="auto"/>
        <w:ind w:right="737"/>
        <w:jc w:val="both"/>
      </w:pPr>
      <w:r>
        <w:rPr/>
        <w:t>The data of this research work will be timeseries in nature and will be taken from he year 1986 to 2020, so there will be a tota thirty-four (34) years data which will be obtained to conduct the study. Data on real grossdomestic product, net foreign portfolio inflow, net foreign</w:t>
      </w:r>
      <w:r>
        <w:rPr>
          <w:spacing w:val="-5"/>
        </w:rPr>
        <w:t> </w:t>
      </w:r>
      <w:r>
        <w:rPr/>
        <w:t>direct</w:t>
      </w:r>
      <w:r>
        <w:rPr>
          <w:spacing w:val="-5"/>
        </w:rPr>
        <w:t> </w:t>
      </w:r>
      <w:r>
        <w:rPr/>
        <w:t>investment</w:t>
      </w:r>
      <w:r>
        <w:rPr>
          <w:spacing w:val="-5"/>
        </w:rPr>
        <w:t> </w:t>
      </w:r>
      <w:r>
        <w:rPr/>
        <w:t>inflow,</w:t>
      </w:r>
      <w:r>
        <w:rPr>
          <w:spacing w:val="-5"/>
        </w:rPr>
        <w:t> </w:t>
      </w:r>
      <w:r>
        <w:rPr/>
        <w:t>trade</w:t>
      </w:r>
      <w:r>
        <w:rPr>
          <w:spacing w:val="-5"/>
        </w:rPr>
        <w:t> </w:t>
      </w:r>
      <w:r>
        <w:rPr/>
        <w:t>openness,</w:t>
      </w:r>
      <w:r>
        <w:rPr>
          <w:spacing w:val="-2"/>
        </w:rPr>
        <w:t> </w:t>
      </w:r>
      <w:r>
        <w:rPr/>
        <w:t>remittances,</w:t>
      </w:r>
      <w:r>
        <w:rPr>
          <w:spacing w:val="-5"/>
        </w:rPr>
        <w:t> </w:t>
      </w:r>
      <w:r>
        <w:rPr/>
        <w:t>financialdeepening</w:t>
      </w:r>
      <w:r>
        <w:rPr>
          <w:spacing w:val="-5"/>
        </w:rPr>
        <w:t> </w:t>
      </w:r>
      <w:r>
        <w:rPr/>
        <w:t>(proxied</w:t>
      </w:r>
      <w:r>
        <w:rPr>
          <w:spacing w:val="-5"/>
        </w:rPr>
        <w:t> </w:t>
      </w:r>
      <w:r>
        <w:rPr/>
        <w:t>by credit</w:t>
      </w:r>
      <w:r>
        <w:rPr>
          <w:spacing w:val="-1"/>
        </w:rPr>
        <w:t> </w:t>
      </w:r>
      <w:r>
        <w:rPr/>
        <w:t>to</w:t>
      </w:r>
      <w:r>
        <w:rPr>
          <w:spacing w:val="-1"/>
        </w:rPr>
        <w:t> </w:t>
      </w:r>
      <w:r>
        <w:rPr/>
        <w:t>the privatesector</w:t>
      </w:r>
      <w:r>
        <w:rPr>
          <w:spacing w:val="-1"/>
        </w:rPr>
        <w:t> </w:t>
      </w:r>
      <w:r>
        <w:rPr/>
        <w:t>as</w:t>
      </w:r>
      <w:r>
        <w:rPr>
          <w:spacing w:val="-1"/>
        </w:rPr>
        <w:t> </w:t>
      </w:r>
      <w:r>
        <w:rPr/>
        <w:t>a</w:t>
      </w:r>
      <w:r>
        <w:rPr>
          <w:spacing w:val="-2"/>
        </w:rPr>
        <w:t> </w:t>
      </w:r>
      <w:r>
        <w:rPr/>
        <w:t>percentageof GDP),</w:t>
      </w:r>
      <w:r>
        <w:rPr>
          <w:spacing w:val="-1"/>
        </w:rPr>
        <w:t> </w:t>
      </w:r>
      <w:r>
        <w:rPr/>
        <w:t>official</w:t>
      </w:r>
      <w:r>
        <w:rPr>
          <w:spacing w:val="-2"/>
        </w:rPr>
        <w:t> </w:t>
      </w:r>
      <w:r>
        <w:rPr/>
        <w:t>development</w:t>
      </w:r>
      <w:r>
        <w:rPr>
          <w:spacing w:val="-1"/>
        </w:rPr>
        <w:t> </w:t>
      </w:r>
      <w:r>
        <w:rPr/>
        <w:t>assistance,</w:t>
      </w:r>
      <w:r>
        <w:rPr>
          <w:spacing w:val="-1"/>
        </w:rPr>
        <w:t> </w:t>
      </w:r>
      <w:r>
        <w:rPr/>
        <w:t>exchange rate, interest rate will be collected from annualreports of Central Bankof Nigeria 2020.</w:t>
      </w:r>
    </w:p>
    <w:p>
      <w:pPr>
        <w:spacing w:after="0" w:line="480" w:lineRule="auto"/>
        <w:jc w:val="both"/>
        <w:sectPr>
          <w:pgSz w:w="12240" w:h="15840"/>
          <w:pgMar w:header="0" w:footer="1012" w:top="1380" w:bottom="1200" w:left="1220" w:right="700"/>
        </w:sectPr>
      </w:pPr>
    </w:p>
    <w:p>
      <w:pPr>
        <w:pStyle w:val="Heading2"/>
        <w:numPr>
          <w:ilvl w:val="1"/>
          <w:numId w:val="22"/>
        </w:numPr>
        <w:tabs>
          <w:tab w:pos="593" w:val="left" w:leader="none"/>
        </w:tabs>
        <w:spacing w:line="240" w:lineRule="auto" w:before="60" w:after="0"/>
        <w:ind w:left="593" w:right="0" w:hanging="373"/>
        <w:jc w:val="left"/>
      </w:pPr>
      <w:bookmarkStart w:name="_TOC_250028" w:id="47"/>
      <w:r>
        <w:rPr/>
        <w:t>Method</w:t>
      </w:r>
      <w:r>
        <w:rPr>
          <w:spacing w:val="-6"/>
        </w:rPr>
        <w:t> </w:t>
      </w:r>
      <w:r>
        <w:rPr/>
        <w:t>of</w:t>
      </w:r>
      <w:r>
        <w:rPr>
          <w:spacing w:val="-6"/>
        </w:rPr>
        <w:t> </w:t>
      </w:r>
      <w:r>
        <w:rPr/>
        <w:t>Data</w:t>
      </w:r>
      <w:r>
        <w:rPr>
          <w:spacing w:val="-6"/>
        </w:rPr>
        <w:t> </w:t>
      </w:r>
      <w:bookmarkEnd w:id="47"/>
      <w:r>
        <w:rPr>
          <w:spacing w:val="-2"/>
        </w:rPr>
        <w:t>Analysis</w:t>
      </w:r>
    </w:p>
    <w:p>
      <w:pPr>
        <w:pStyle w:val="BodyText"/>
        <w:spacing w:before="161"/>
        <w:ind w:left="0"/>
        <w:rPr>
          <w:b/>
        </w:rPr>
      </w:pPr>
    </w:p>
    <w:p>
      <w:pPr>
        <w:pStyle w:val="BodyText"/>
        <w:jc w:val="both"/>
      </w:pPr>
      <w:r>
        <w:rPr/>
        <w:t>The</w:t>
      </w:r>
      <w:r>
        <w:rPr>
          <w:spacing w:val="-6"/>
        </w:rPr>
        <w:t> </w:t>
      </w:r>
      <w:r>
        <w:rPr/>
        <w:t>statistical</w:t>
      </w:r>
      <w:r>
        <w:rPr>
          <w:spacing w:val="-7"/>
        </w:rPr>
        <w:t> </w:t>
      </w:r>
      <w:r>
        <w:rPr/>
        <w:t>tools</w:t>
      </w:r>
      <w:r>
        <w:rPr>
          <w:spacing w:val="-4"/>
        </w:rPr>
        <w:t> </w:t>
      </w:r>
      <w:r>
        <w:rPr/>
        <w:t>used</w:t>
      </w:r>
      <w:r>
        <w:rPr>
          <w:spacing w:val="-6"/>
        </w:rPr>
        <w:t> </w:t>
      </w:r>
      <w:r>
        <w:rPr/>
        <w:t>in</w:t>
      </w:r>
      <w:r>
        <w:rPr>
          <w:spacing w:val="-6"/>
        </w:rPr>
        <w:t> </w:t>
      </w:r>
      <w:r>
        <w:rPr/>
        <w:t>this</w:t>
      </w:r>
      <w:r>
        <w:rPr>
          <w:spacing w:val="-4"/>
        </w:rPr>
        <w:t> </w:t>
      </w:r>
      <w:r>
        <w:rPr/>
        <w:t>study</w:t>
      </w:r>
      <w:r>
        <w:rPr>
          <w:spacing w:val="-6"/>
        </w:rPr>
        <w:t> </w:t>
      </w:r>
      <w:r>
        <w:rPr/>
        <w:t>are</w:t>
      </w:r>
      <w:r>
        <w:rPr>
          <w:spacing w:val="-6"/>
        </w:rPr>
        <w:t> </w:t>
      </w:r>
      <w:r>
        <w:rPr/>
        <w:t>presented</w:t>
      </w:r>
      <w:r>
        <w:rPr>
          <w:spacing w:val="-6"/>
        </w:rPr>
        <w:t> </w:t>
      </w:r>
      <w:r>
        <w:rPr>
          <w:spacing w:val="-2"/>
        </w:rPr>
        <w:t>below.</w:t>
      </w:r>
    </w:p>
    <w:p>
      <w:pPr>
        <w:pStyle w:val="BodyText"/>
        <w:spacing w:before="160"/>
        <w:ind w:left="0"/>
      </w:pPr>
    </w:p>
    <w:p>
      <w:pPr>
        <w:pStyle w:val="BodyText"/>
        <w:spacing w:line="480" w:lineRule="auto"/>
        <w:ind w:right="733"/>
        <w:jc w:val="both"/>
      </w:pPr>
      <w:r>
        <w:rPr/>
        <mc:AlternateContent>
          <mc:Choice Requires="wps">
            <w:drawing>
              <wp:anchor distT="0" distB="0" distL="0" distR="0" allowOverlap="1" layoutInCell="1" locked="0" behindDoc="1" simplePos="0" relativeHeight="478090240">
                <wp:simplePos x="0" y="0"/>
                <wp:positionH relativeFrom="page">
                  <wp:posOffset>950112</wp:posOffset>
                </wp:positionH>
                <wp:positionV relativeFrom="paragraph">
                  <wp:posOffset>348930</wp:posOffset>
                </wp:positionV>
                <wp:extent cx="5505450" cy="5661025"/>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27.474854pt;width:433.5pt;height:445.75pt;mso-position-horizontal-relative:page;mso-position-vertical-relative:paragraph;z-index:-25226240" id="docshape175" coordorigin="1496,549" coordsize="8670,8915" path="m2562,9269l1691,8398,1496,8593,2367,9464,2562,9269xm3154,8593l3153,8554,3148,8511,3139,8467,3125,8423,3106,8380,3083,8336,3055,8294,3025,8253,2991,8213,2954,8174,2435,7654,2241,7848,2772,8380,2805,8416,2829,8452,2846,8486,2856,8520,2858,8553,2851,8584,2837,8612,2816,8638,2790,8660,2761,8674,2730,8680,2697,8678,2663,8668,2628,8652,2593,8627,2557,8595,2026,8064,1831,8258,2351,8777,2385,8809,2424,8842,2468,8874,2516,8907,2548,8926,2583,8941,2620,8954,2658,8965,2697,8973,2733,8977,2767,8977,2800,8974,2831,8967,2863,8955,2895,8939,2926,8918,2957,8895,2985,8872,3011,8849,3035,8826,3071,8786,3102,8746,3125,8704,3142,8662,3150,8629,3154,8593xm3882,7810l3876,7746,3860,7680,3834,7613,3806,7559,3771,7503,3728,7446,3678,7387,3661,7368,3621,7326,3597,7304,3597,7798,3592,7838,3577,7875,3551,7908,3518,7933,3481,7948,3441,7953,3396,7946,3347,7928,3294,7897,3235,7852,3171,7793,3112,7729,3066,7670,3035,7615,3016,7566,3010,7522,3014,7481,3029,7446,3053,7414,3086,7388,3122,7373,3163,7368,3207,7373,3255,7390,3307,7420,3363,7462,3423,7517,3488,7587,3538,7650,3572,7706,3591,7754,3597,7798,3597,7304,3551,7261,3482,7206,3413,7161,3344,7125,3276,7100,3209,7084,3130,7078,3055,7088,2983,7114,2914,7154,2850,7210,2796,7273,2756,7341,2732,7413,2723,7488,2729,7568,2746,7636,2772,7705,2808,7775,2854,7845,2910,7915,2976,7986,3036,8043,3096,8093,3156,8135,3215,8170,3273,8197,3344,8221,3411,8235,3475,8238,3535,8232,3593,8216,3649,8189,3705,8151,3758,8103,3805,8049,3841,7993,3858,7953,3866,7934,3879,7873,3882,7810xm4153,7230l3966,7043,3712,7297,3899,7484,4153,7230xm4664,7168l3793,6296,3598,6491,4469,7363,4664,7168xm4998,6833l4675,6510,4781,6403,4832,6344,4837,6334,4866,6282,4883,6219,4882,6154,4866,6088,4843,6038,4836,6023,4792,5957,4733,5891,4670,5834,4607,5791,4598,5786,4598,6179,4597,6205,4587,6231,4570,6258,4546,6286,4498,6334,4304,6139,4359,6084,4386,6060,4412,6045,4438,6038,4462,6038,4486,6045,4509,6055,4531,6069,4552,6088,4570,6109,4584,6132,4593,6155,4598,6179,4598,5786,4544,5761,4483,5745,4423,5744,4365,5759,4309,5789,4255,5834,3931,6158,4803,7029,4998,6833xm5788,6044l5132,5388,5330,5189,5115,4974,4524,5566,4739,5781,4937,5582,5593,6238,5788,6044xm6423,5408l5767,4752,5966,4554,5751,4339,5159,4930,5374,5145,5573,4947,6229,5603,6423,5408xm7157,4535l7151,4471,7135,4405,7109,4338,7081,4284,7046,4228,7003,4171,6953,4112,6935,4093,6896,4051,6872,4029,6872,4523,6867,4563,6851,4600,6825,4633,6793,4659,6756,4673,6716,4678,6671,4671,6622,4653,6569,4622,6510,4577,6446,4518,6387,4454,6341,4395,6309,4340,6291,4291,6285,4247,6289,4207,6304,4171,6328,4139,6361,4114,6397,4098,6438,4093,6482,4098,6530,4115,6582,4145,6638,4187,6698,4242,6763,4312,6813,4375,6847,4431,6866,4479,6872,4523,6872,4029,6826,3986,6756,3931,6687,3886,6619,3851,6551,3825,6483,3809,6405,3804,6329,3814,6258,3839,6189,3879,6125,3935,6071,3998,6031,4066,6007,4138,5998,4213,6004,4293,6021,4361,6047,4430,6083,4500,6129,4570,6184,4640,6250,4711,6311,4768,6371,4818,6431,4860,6490,4895,6548,4922,6619,4946,6686,4960,6750,4964,6810,4957,6868,4941,6924,4914,6979,4876,7033,4828,7080,4774,7116,4718,7133,4678,7141,4659,7154,4598,7157,4535xm8170,3540l8165,3491,8153,3440,8134,3387,8109,3333,8079,3277,8041,3220,7980,3245,7799,3319,7831,3366,7855,3409,7873,3449,7884,3486,7887,3522,7881,3555,7866,3586,7843,3615,7812,3639,7778,3653,7740,3657,7700,3650,7653,3632,7600,3598,7538,3548,7469,3484,7417,3427,7375,3375,7344,3328,7324,3285,7311,3234,7312,3187,7325,3146,7352,3110,7367,3097,7384,3087,7402,3079,7422,3074,7442,3072,7464,3072,7486,3076,7509,3082,7524,3088,7542,3096,7563,3107,7586,3121,7705,2896,7622,2850,7543,2818,7469,2799,7400,2793,7333,2800,7269,2823,7206,2861,7146,2913,7092,2976,7054,3043,7030,3113,7021,3187,7027,3264,7044,3331,7070,3399,7106,3468,7153,3538,7209,3609,7276,3680,7341,3741,7404,3793,7467,3837,7529,3872,7590,3900,7662,3923,7730,3936,7791,3939,7847,3932,7900,3915,7952,3889,8004,3852,8056,3805,8094,3763,8125,3720,8147,3676,8161,3632,8169,3587,8170,3540xm8868,2824l8861,2760,8846,2695,8820,2628,8792,2573,8757,2517,8714,2460,8664,2401,8646,2382,8607,2340,8583,2318,8583,2812,8578,2852,8562,2889,8536,2922,8504,2948,8467,2963,8427,2967,8382,2961,8333,2943,8279,2911,8221,2866,8157,2807,8098,2743,8052,2684,8020,2630,8002,2581,7996,2536,8000,2496,8014,2460,8039,2428,8071,2403,8108,2387,8149,2382,8193,2387,8241,2404,8293,2434,8349,2476,8409,2531,8474,2601,8524,2664,8558,2720,8577,2769,8583,2812,8583,2318,8537,2275,8467,2220,8398,2175,8330,2140,8262,2114,8194,2098,8116,2093,8040,2103,7968,2128,7900,2169,7835,2224,7781,2288,7742,2355,7718,2427,7709,2503,7715,2582,7731,2651,7758,2720,7794,2789,7839,2859,7895,2929,7961,3000,8022,3057,8082,3107,8142,3149,8201,3184,8259,3211,8329,3236,8397,3249,8461,3253,8521,3246,8579,3230,8635,3203,8690,3165,8744,3117,8791,3063,8827,3007,8844,2967,8852,2948,8865,2887,8868,2824xm9348,2483l9025,2160,9132,2053,9182,1993,9188,1983,9216,1932,9233,1869,9233,1804,9217,1738,9194,1687,9187,1672,9142,1606,9084,1540,9020,1483,8957,1440,8948,1436,8948,1829,8947,1855,8938,1881,8921,1908,8896,1936,8849,1983,8654,1789,8710,1734,8737,1710,8763,1695,8788,1687,8812,1688,8836,1694,8859,1705,8881,1719,8902,1738,8920,1759,8934,1782,8943,1805,8948,1829,8948,1436,8895,1411,8833,1395,8773,1394,8715,1409,8659,1439,8605,1484,8282,1807,9153,2679,9348,2483xm10166,1665l9801,1301,9748,1151,9593,699,9540,549,9325,765,9353,835,9436,1046,9492,1186,9422,1158,9211,1075,9071,1019,8854,1235,9005,1288,9456,1443,9606,1496,9971,1860,10166,1665xe" filled="true" fillcolor="#c0c0c0" stroked="false">
                <v:path arrowok="t"/>
                <v:fill opacity="32896f" type="solid"/>
                <w10:wrap type="none"/>
              </v:shape>
            </w:pict>
          </mc:Fallback>
        </mc:AlternateContent>
      </w:r>
      <w:r>
        <w:rPr>
          <w:b/>
        </w:rPr>
        <w:t>Descriptive Statistics: </w:t>
      </w:r>
      <w:r>
        <w:rPr/>
        <w:t>The descriptivestatistics will be introductory analysesthat will</w:t>
      </w:r>
      <w:r>
        <w:rPr>
          <w:spacing w:val="80"/>
        </w:rPr>
        <w:t> </w:t>
      </w:r>
      <w:r>
        <w:rPr/>
        <w:t>explain the normalityof the variables used forthe analyses. Descriptive statisticsinclude the mean,</w:t>
      </w:r>
      <w:r>
        <w:rPr>
          <w:spacing w:val="-2"/>
        </w:rPr>
        <w:t> </w:t>
      </w:r>
      <w:r>
        <w:rPr/>
        <w:t>median,</w:t>
      </w:r>
      <w:r>
        <w:rPr>
          <w:spacing w:val="-2"/>
        </w:rPr>
        <w:t> </w:t>
      </w:r>
      <w:r>
        <w:rPr/>
        <w:t>minimum</w:t>
      </w:r>
      <w:r>
        <w:rPr>
          <w:spacing w:val="-1"/>
        </w:rPr>
        <w:t> </w:t>
      </w:r>
      <w:r>
        <w:rPr/>
        <w:t>andmaximum,</w:t>
      </w:r>
      <w:r>
        <w:rPr>
          <w:spacing w:val="-1"/>
        </w:rPr>
        <w:t> </w:t>
      </w:r>
      <w:r>
        <w:rPr/>
        <w:t>standard</w:t>
      </w:r>
      <w:r>
        <w:rPr>
          <w:spacing w:val="-1"/>
        </w:rPr>
        <w:t> </w:t>
      </w:r>
      <w:r>
        <w:rPr/>
        <w:t>deviation</w:t>
      </w:r>
      <w:r>
        <w:rPr>
          <w:spacing w:val="-2"/>
        </w:rPr>
        <w:t> </w:t>
      </w:r>
      <w:r>
        <w:rPr/>
        <w:t>and</w:t>
      </w:r>
      <w:r>
        <w:rPr>
          <w:spacing w:val="-2"/>
        </w:rPr>
        <w:t> </w:t>
      </w:r>
      <w:r>
        <w:rPr/>
        <w:t>Jacque Beratests.</w:t>
      </w:r>
      <w:r>
        <w:rPr>
          <w:spacing w:val="-1"/>
        </w:rPr>
        <w:t> </w:t>
      </w:r>
      <w:r>
        <w:rPr/>
        <w:t>Mean</w:t>
      </w:r>
      <w:r>
        <w:rPr>
          <w:spacing w:val="-1"/>
        </w:rPr>
        <w:t> </w:t>
      </w:r>
      <w:r>
        <w:rPr/>
        <w:t>is the averagevalue of the series, obtained byadding up the series and dividing by thenumber of observations. Median is the middlevalue (or average of the twomiddle values) of the series when thevalues are orderedfrom the smallest to thelargest. The median is a robustmeasure of the centre of thedistribution that is lesssensitive to outliers than themean. Max and Min are the maximum andminimum values of theseries in the currentsample. Std Dev. (standard deviation) is a measureof dispersion or spread in theseries. Skewness is ameasure of asymmetry</w:t>
      </w:r>
      <w:r>
        <w:rPr>
          <w:spacing w:val="-2"/>
        </w:rPr>
        <w:t> </w:t>
      </w:r>
      <w:r>
        <w:rPr/>
        <w:t>of</w:t>
      </w:r>
      <w:r>
        <w:rPr>
          <w:spacing w:val="-2"/>
        </w:rPr>
        <w:t> </w:t>
      </w:r>
      <w:r>
        <w:rPr/>
        <w:t>thedistribution</w:t>
      </w:r>
      <w:r>
        <w:rPr>
          <w:spacing w:val="-2"/>
        </w:rPr>
        <w:t> </w:t>
      </w:r>
      <w:r>
        <w:rPr/>
        <w:t>of</w:t>
      </w:r>
      <w:r>
        <w:rPr>
          <w:spacing w:val="-2"/>
        </w:rPr>
        <w:t> </w:t>
      </w:r>
      <w:r>
        <w:rPr/>
        <w:t>theseries</w:t>
      </w:r>
      <w:r>
        <w:rPr>
          <w:spacing w:val="-3"/>
        </w:rPr>
        <w:t> </w:t>
      </w:r>
      <w:r>
        <w:rPr/>
        <w:t>around</w:t>
      </w:r>
      <w:r>
        <w:rPr>
          <w:spacing w:val="-1"/>
        </w:rPr>
        <w:t> </w:t>
      </w:r>
      <w:r>
        <w:rPr/>
        <w:t>its</w:t>
      </w:r>
      <w:r>
        <w:rPr>
          <w:spacing w:val="-1"/>
        </w:rPr>
        <w:t> </w:t>
      </w:r>
      <w:r>
        <w:rPr/>
        <w:t>mean.</w:t>
      </w:r>
      <w:r>
        <w:rPr>
          <w:spacing w:val="-3"/>
        </w:rPr>
        <w:t> </w:t>
      </w:r>
      <w:r>
        <w:rPr/>
        <w:t>Kurtosis</w:t>
      </w:r>
      <w:r>
        <w:rPr>
          <w:spacing w:val="-1"/>
        </w:rPr>
        <w:t> </w:t>
      </w:r>
      <w:r>
        <w:rPr/>
        <w:t>measures</w:t>
      </w:r>
      <w:r>
        <w:rPr>
          <w:spacing w:val="-2"/>
        </w:rPr>
        <w:t> </w:t>
      </w:r>
      <w:r>
        <w:rPr/>
        <w:t>thepeakiness</w:t>
      </w:r>
      <w:r>
        <w:rPr>
          <w:spacing w:val="-1"/>
        </w:rPr>
        <w:t> </w:t>
      </w:r>
      <w:r>
        <w:rPr/>
        <w:t>or flatness of thedistribution of theseries. If the kurtosis exceeds 3, thedistribution is peaked (leptokurtic) relativeto the normal; if thekurtosis is less than 3, thedistribution is flat (platykurtic) relative</w:t>
      </w:r>
      <w:r>
        <w:rPr>
          <w:spacing w:val="-1"/>
        </w:rPr>
        <w:t> </w:t>
      </w:r>
      <w:r>
        <w:rPr/>
        <w:t>to thenormal.</w:t>
      </w:r>
      <w:r>
        <w:rPr>
          <w:spacing w:val="40"/>
        </w:rPr>
        <w:t> </w:t>
      </w:r>
      <w:r>
        <w:rPr/>
        <w:t>Jarque-Bera is a</w:t>
      </w:r>
      <w:r>
        <w:rPr>
          <w:spacing w:val="-1"/>
        </w:rPr>
        <w:t> </w:t>
      </w:r>
      <w:r>
        <w:rPr/>
        <w:t>test statisticfor testing whether the</w:t>
      </w:r>
      <w:r>
        <w:rPr>
          <w:spacing w:val="-1"/>
        </w:rPr>
        <w:t> </w:t>
      </w:r>
      <w:r>
        <w:rPr/>
        <w:t>series is normallydistributed. The null hypothesis is that thevariable is normallydistributed. Decision rule is to reject when p.value is less than 0.05 level of significance</w:t>
      </w:r>
    </w:p>
    <w:p>
      <w:pPr>
        <w:pStyle w:val="BodyText"/>
        <w:spacing w:line="480" w:lineRule="auto" w:before="161"/>
        <w:ind w:right="733"/>
        <w:jc w:val="both"/>
      </w:pPr>
      <w:r>
        <w:rPr>
          <w:b/>
        </w:rPr>
        <w:t>Unit Root Tests: </w:t>
      </w:r>
      <w:r>
        <w:rPr/>
        <w:t>One of the importanttypes of data used in mostempirical works is time- series data. Theseempirical works that are basedon time-series data always assumethat the underlying timeseries is stationary. A stationarytime series is the one whose meanvariances, and auto-covariance areconstant over time. However, it is widely known that mosteconomic time</w:t>
      </w:r>
      <w:r>
        <w:rPr>
          <w:spacing w:val="42"/>
        </w:rPr>
        <w:t> </w:t>
      </w:r>
      <w:r>
        <w:rPr/>
        <w:t>series</w:t>
      </w:r>
      <w:r>
        <w:rPr>
          <w:spacing w:val="43"/>
        </w:rPr>
        <w:t> </w:t>
      </w:r>
      <w:r>
        <w:rPr/>
        <w:t>are</w:t>
      </w:r>
      <w:r>
        <w:rPr>
          <w:spacing w:val="43"/>
        </w:rPr>
        <w:t> </w:t>
      </w:r>
      <w:r>
        <w:rPr/>
        <w:t>non-stationaryand</w:t>
      </w:r>
      <w:r>
        <w:rPr>
          <w:spacing w:val="42"/>
        </w:rPr>
        <w:t> </w:t>
      </w:r>
      <w:r>
        <w:rPr/>
        <w:t>the</w:t>
      </w:r>
      <w:r>
        <w:rPr>
          <w:spacing w:val="43"/>
        </w:rPr>
        <w:t> </w:t>
      </w:r>
      <w:r>
        <w:rPr/>
        <w:t>regression</w:t>
      </w:r>
      <w:r>
        <w:rPr>
          <w:spacing w:val="42"/>
        </w:rPr>
        <w:t> </w:t>
      </w:r>
      <w:r>
        <w:rPr/>
        <w:t>of</w:t>
      </w:r>
      <w:r>
        <w:rPr>
          <w:spacing w:val="44"/>
        </w:rPr>
        <w:t> </w:t>
      </w:r>
      <w:r>
        <w:rPr/>
        <w:t>anon-stationary</w:t>
      </w:r>
      <w:r>
        <w:rPr>
          <w:spacing w:val="43"/>
        </w:rPr>
        <w:t> </w:t>
      </w:r>
      <w:r>
        <w:rPr/>
        <w:t>time</w:t>
      </w:r>
      <w:r>
        <w:rPr>
          <w:spacing w:val="43"/>
        </w:rPr>
        <w:t> </w:t>
      </w:r>
      <w:r>
        <w:rPr/>
        <w:t>series</w:t>
      </w:r>
      <w:r>
        <w:rPr>
          <w:spacing w:val="43"/>
        </w:rPr>
        <w:t> </w:t>
      </w:r>
      <w:r>
        <w:rPr>
          <w:spacing w:val="-2"/>
        </w:rPr>
        <w:t>onanother</w:t>
      </w:r>
    </w:p>
    <w:p>
      <w:pPr>
        <w:spacing w:after="0" w:line="480"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90752">
                <wp:simplePos x="0" y="0"/>
                <wp:positionH relativeFrom="page">
                  <wp:posOffset>950112</wp:posOffset>
                </wp:positionH>
                <wp:positionV relativeFrom="paragraph">
                  <wp:posOffset>1321053</wp:posOffset>
                </wp:positionV>
                <wp:extent cx="5505450" cy="5661025"/>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25728" id="docshape176"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non-stationary time seriesmay lead to spuriousregression. A spurious regressionis one with high R-squared and significantt-ratios even whenthere is no theoretically meaningful relationshipbetween the variablesof interest. To avoid the problem ofspurious regression, there is a need for unitroot test (that is, to test whether avariable is stationaryor not). The followings are themethods people use intesting for the stationarityof economic variables: the Augmented Dickey-Fuller (ADF)test. This study would employ theAugmented Dickey- Fuller (ADF) tests. Thus, our ADF testconsists of estimating thefollowing equation:</w:t>
      </w:r>
    </w:p>
    <w:p>
      <w:pPr>
        <w:spacing w:before="115"/>
        <w:ind w:left="0" w:right="1653" w:firstLine="0"/>
        <w:jc w:val="center"/>
        <w:rPr>
          <w:rFonts w:ascii="Cambria Math" w:eastAsia="Cambria Math"/>
          <w:sz w:val="18"/>
        </w:rPr>
      </w:pPr>
      <w:r>
        <w:rPr>
          <w:rFonts w:ascii="Cambria Math" w:eastAsia="Cambria Math"/>
          <w:spacing w:val="-10"/>
          <w:w w:val="110"/>
          <w:sz w:val="18"/>
        </w:rPr>
        <w:t>𝑚</w:t>
      </w:r>
    </w:p>
    <w:p>
      <w:pPr>
        <w:spacing w:before="97"/>
        <w:ind w:left="173" w:right="688" w:firstLine="0"/>
        <w:jc w:val="center"/>
        <w:rPr>
          <w:rFonts w:ascii="Cambria Math" w:hAnsi="Cambria Math" w:eastAsia="Cambria Math"/>
          <w:sz w:val="25"/>
        </w:rPr>
      </w:pPr>
      <w:r>
        <w:rPr>
          <w:rFonts w:ascii="Cambria Math" w:hAnsi="Cambria Math" w:eastAsia="Cambria Math"/>
          <w:w w:val="110"/>
          <w:sz w:val="25"/>
        </w:rPr>
        <w:t>∆𝑌</w:t>
      </w:r>
      <w:r>
        <w:rPr>
          <w:rFonts w:ascii="Cambria Math" w:hAnsi="Cambria Math" w:eastAsia="Cambria Math"/>
          <w:w w:val="110"/>
          <w:position w:val="-4"/>
          <w:sz w:val="18"/>
        </w:rPr>
        <w:t>𝑡</w:t>
      </w:r>
      <w:r>
        <w:rPr>
          <w:rFonts w:ascii="Cambria Math" w:hAnsi="Cambria Math" w:eastAsia="Cambria Math"/>
          <w:spacing w:val="10"/>
          <w:w w:val="110"/>
          <w:position w:val="-4"/>
          <w:sz w:val="18"/>
        </w:rPr>
        <w:t> </w:t>
      </w:r>
      <w:r>
        <w:rPr>
          <w:rFonts w:ascii="Cambria Math" w:hAnsi="Cambria Math" w:eastAsia="Cambria Math"/>
          <w:w w:val="110"/>
          <w:sz w:val="25"/>
        </w:rPr>
        <w:t>=</w:t>
      </w:r>
      <w:r>
        <w:rPr>
          <w:rFonts w:ascii="Cambria Math" w:hAnsi="Cambria Math" w:eastAsia="Cambria Math"/>
          <w:spacing w:val="-15"/>
          <w:w w:val="110"/>
          <w:sz w:val="25"/>
        </w:rPr>
        <w:t> </w:t>
      </w:r>
      <w:r>
        <w:rPr>
          <w:rFonts w:ascii="Cambria Math" w:hAnsi="Cambria Math" w:eastAsia="Cambria Math"/>
          <w:w w:val="110"/>
          <w:sz w:val="25"/>
        </w:rPr>
        <w:t>𝛽</w:t>
      </w:r>
      <w:r>
        <w:rPr>
          <w:rFonts w:ascii="Cambria Math" w:hAnsi="Cambria Math" w:eastAsia="Cambria Math"/>
          <w:w w:val="110"/>
          <w:position w:val="-4"/>
          <w:sz w:val="18"/>
        </w:rPr>
        <w:t>1</w:t>
      </w:r>
      <w:r>
        <w:rPr>
          <w:rFonts w:ascii="Cambria Math" w:hAnsi="Cambria Math" w:eastAsia="Cambria Math"/>
          <w:spacing w:val="-2"/>
          <w:w w:val="110"/>
          <w:position w:val="-4"/>
          <w:sz w:val="18"/>
        </w:rPr>
        <w:t> </w:t>
      </w:r>
      <w:r>
        <w:rPr>
          <w:rFonts w:ascii="Cambria Math" w:hAnsi="Cambria Math" w:eastAsia="Cambria Math"/>
          <w:w w:val="110"/>
          <w:sz w:val="25"/>
        </w:rPr>
        <w:t>+</w:t>
      </w:r>
      <w:r>
        <w:rPr>
          <w:rFonts w:ascii="Cambria Math" w:hAnsi="Cambria Math" w:eastAsia="Cambria Math"/>
          <w:spacing w:val="12"/>
          <w:w w:val="110"/>
          <w:sz w:val="25"/>
        </w:rPr>
        <w:t> </w:t>
      </w:r>
      <w:r>
        <w:rPr>
          <w:rFonts w:ascii="Cambria Math" w:hAnsi="Cambria Math" w:eastAsia="Cambria Math"/>
          <w:w w:val="110"/>
          <w:sz w:val="25"/>
        </w:rPr>
        <w:t>𝛽</w:t>
      </w:r>
      <w:r>
        <w:rPr>
          <w:rFonts w:ascii="Cambria Math" w:hAnsi="Cambria Math" w:eastAsia="Cambria Math"/>
          <w:w w:val="110"/>
          <w:position w:val="-4"/>
          <w:sz w:val="18"/>
        </w:rPr>
        <w:t>2</w:t>
      </w:r>
      <w:r>
        <w:rPr>
          <w:rFonts w:ascii="Cambria Math" w:hAnsi="Cambria Math" w:eastAsia="Cambria Math"/>
          <w:w w:val="110"/>
          <w:sz w:val="25"/>
        </w:rPr>
        <w:t>𝑡</w:t>
      </w:r>
      <w:r>
        <w:rPr>
          <w:rFonts w:ascii="Cambria Math" w:hAnsi="Cambria Math" w:eastAsia="Cambria Math"/>
          <w:spacing w:val="-16"/>
          <w:w w:val="110"/>
          <w:sz w:val="25"/>
        </w:rPr>
        <w:t> </w:t>
      </w:r>
      <w:r>
        <w:rPr>
          <w:rFonts w:ascii="Cambria Math" w:hAnsi="Cambria Math" w:eastAsia="Cambria Math"/>
          <w:w w:val="110"/>
          <w:sz w:val="25"/>
        </w:rPr>
        <w:t>+</w:t>
      </w:r>
      <w:r>
        <w:rPr>
          <w:rFonts w:ascii="Cambria Math" w:hAnsi="Cambria Math" w:eastAsia="Cambria Math"/>
          <w:spacing w:val="14"/>
          <w:w w:val="110"/>
          <w:sz w:val="25"/>
        </w:rPr>
        <w:t> </w:t>
      </w:r>
      <w:r>
        <w:rPr>
          <w:rFonts w:ascii="Cambria Math" w:hAnsi="Cambria Math" w:eastAsia="Cambria Math"/>
          <w:w w:val="110"/>
          <w:sz w:val="25"/>
        </w:rPr>
        <w:t>𝛿𝑌</w:t>
      </w:r>
      <w:r>
        <w:rPr>
          <w:rFonts w:ascii="Cambria Math" w:hAnsi="Cambria Math" w:eastAsia="Cambria Math"/>
          <w:w w:val="110"/>
          <w:position w:val="-4"/>
          <w:sz w:val="18"/>
        </w:rPr>
        <w:t>𝑡−1</w:t>
      </w:r>
      <w:r>
        <w:rPr>
          <w:rFonts w:ascii="Cambria Math" w:hAnsi="Cambria Math" w:eastAsia="Cambria Math"/>
          <w:spacing w:val="1"/>
          <w:w w:val="110"/>
          <w:position w:val="-4"/>
          <w:sz w:val="18"/>
        </w:rPr>
        <w:t> </w:t>
      </w:r>
      <w:r>
        <w:rPr>
          <w:rFonts w:ascii="Cambria Math" w:hAnsi="Cambria Math" w:eastAsia="Cambria Math"/>
          <w:w w:val="110"/>
          <w:sz w:val="25"/>
        </w:rPr>
        <w:t>+</w:t>
      </w:r>
      <w:r>
        <w:rPr>
          <w:rFonts w:ascii="Cambria Math" w:hAnsi="Cambria Math" w:eastAsia="Cambria Math"/>
          <w:spacing w:val="-11"/>
          <w:w w:val="160"/>
          <w:sz w:val="25"/>
        </w:rPr>
        <w:t> </w:t>
      </w:r>
      <w:r>
        <w:rPr>
          <w:rFonts w:ascii="Cambria Math" w:hAnsi="Cambria Math" w:eastAsia="Cambria Math"/>
          <w:w w:val="160"/>
          <w:sz w:val="25"/>
        </w:rPr>
        <w:t>∑</w:t>
      </w:r>
      <w:r>
        <w:rPr>
          <w:rFonts w:ascii="Cambria Math" w:hAnsi="Cambria Math" w:eastAsia="Cambria Math"/>
          <w:spacing w:val="-47"/>
          <w:w w:val="160"/>
          <w:sz w:val="25"/>
        </w:rPr>
        <w:t> </w:t>
      </w:r>
      <w:r>
        <w:rPr>
          <w:rFonts w:ascii="Cambria Math" w:hAnsi="Cambria Math" w:eastAsia="Cambria Math"/>
          <w:w w:val="110"/>
          <w:sz w:val="25"/>
        </w:rPr>
        <w:t>𝛼</w:t>
      </w:r>
      <w:r>
        <w:rPr>
          <w:rFonts w:ascii="Cambria Math" w:hAnsi="Cambria Math" w:eastAsia="Cambria Math"/>
          <w:w w:val="110"/>
          <w:position w:val="-4"/>
          <w:sz w:val="18"/>
        </w:rPr>
        <w:t>𝑖</w:t>
      </w:r>
      <w:r>
        <w:rPr>
          <w:rFonts w:ascii="Cambria Math" w:hAnsi="Cambria Math" w:eastAsia="Cambria Math"/>
          <w:w w:val="110"/>
          <w:sz w:val="25"/>
        </w:rPr>
        <w:t>∆𝑌</w:t>
      </w:r>
      <w:r>
        <w:rPr>
          <w:rFonts w:ascii="Cambria Math" w:hAnsi="Cambria Math" w:eastAsia="Cambria Math"/>
          <w:w w:val="110"/>
          <w:position w:val="-4"/>
          <w:sz w:val="18"/>
        </w:rPr>
        <w:t>𝑡−𝑖</w:t>
      </w:r>
      <w:r>
        <w:rPr>
          <w:rFonts w:ascii="Cambria Math" w:hAnsi="Cambria Math" w:eastAsia="Cambria Math"/>
          <w:spacing w:val="3"/>
          <w:w w:val="110"/>
          <w:position w:val="-4"/>
          <w:sz w:val="18"/>
        </w:rPr>
        <w:t> </w:t>
      </w:r>
      <w:r>
        <w:rPr>
          <w:rFonts w:ascii="Cambria Math" w:hAnsi="Cambria Math" w:eastAsia="Cambria Math"/>
          <w:w w:val="110"/>
          <w:sz w:val="25"/>
        </w:rPr>
        <w:t>+</w:t>
      </w:r>
      <w:r>
        <w:rPr>
          <w:rFonts w:ascii="Cambria Math" w:hAnsi="Cambria Math" w:eastAsia="Cambria Math"/>
          <w:spacing w:val="16"/>
          <w:w w:val="110"/>
          <w:sz w:val="25"/>
        </w:rPr>
        <w:t> </w:t>
      </w:r>
      <w:r>
        <w:rPr>
          <w:rFonts w:ascii="Cambria Math" w:hAnsi="Cambria Math" w:eastAsia="Cambria Math"/>
          <w:w w:val="110"/>
          <w:sz w:val="25"/>
        </w:rPr>
        <w:t>𝜀</w:t>
      </w:r>
      <w:r>
        <w:rPr>
          <w:rFonts w:ascii="Cambria Math" w:hAnsi="Cambria Math" w:eastAsia="Cambria Math"/>
          <w:w w:val="110"/>
          <w:position w:val="-4"/>
          <w:sz w:val="18"/>
        </w:rPr>
        <w:t>𝑡</w:t>
      </w:r>
      <w:r>
        <w:rPr>
          <w:rFonts w:ascii="Cambria Math" w:hAnsi="Cambria Math" w:eastAsia="Cambria Math"/>
          <w:spacing w:val="5"/>
          <w:w w:val="110"/>
          <w:position w:val="-4"/>
          <w:sz w:val="18"/>
        </w:rPr>
        <w:t> </w:t>
      </w:r>
      <w:r>
        <w:rPr>
          <w:rFonts w:ascii="Cambria Math" w:hAnsi="Cambria Math" w:eastAsia="Cambria Math"/>
          <w:w w:val="110"/>
          <w:sz w:val="25"/>
        </w:rPr>
        <w:t>−</w:t>
      </w:r>
      <w:r>
        <w:rPr>
          <w:rFonts w:ascii="Cambria Math" w:hAnsi="Cambria Math" w:eastAsia="Cambria Math"/>
          <w:spacing w:val="16"/>
          <w:w w:val="110"/>
          <w:sz w:val="25"/>
        </w:rPr>
        <w:t> </w:t>
      </w:r>
      <w:r>
        <w:rPr>
          <w:rFonts w:ascii="Cambria Math" w:hAnsi="Cambria Math" w:eastAsia="Cambria Math"/>
          <w:w w:val="110"/>
          <w:sz w:val="25"/>
        </w:rPr>
        <w:t>−</w:t>
      </w:r>
      <w:r>
        <w:rPr>
          <w:rFonts w:ascii="Cambria Math" w:hAnsi="Cambria Math" w:eastAsia="Cambria Math"/>
          <w:spacing w:val="16"/>
          <w:w w:val="110"/>
          <w:sz w:val="25"/>
        </w:rPr>
        <w:t> </w:t>
      </w:r>
      <w:r>
        <w:rPr>
          <w:rFonts w:ascii="Cambria Math" w:hAnsi="Cambria Math" w:eastAsia="Cambria Math"/>
          <w:w w:val="110"/>
          <w:sz w:val="25"/>
        </w:rPr>
        <w:t>−</w:t>
      </w:r>
      <w:r>
        <w:rPr>
          <w:rFonts w:ascii="Cambria Math" w:hAnsi="Cambria Math" w:eastAsia="Cambria Math"/>
          <w:spacing w:val="16"/>
          <w:w w:val="110"/>
          <w:sz w:val="25"/>
        </w:rPr>
        <w:t> </w:t>
      </w:r>
      <w:r>
        <w:rPr>
          <w:rFonts w:ascii="Cambria Math" w:hAnsi="Cambria Math" w:eastAsia="Cambria Math"/>
          <w:w w:val="110"/>
          <w:sz w:val="25"/>
        </w:rPr>
        <w:t>−</w:t>
      </w:r>
      <w:r>
        <w:rPr>
          <w:rFonts w:ascii="Cambria Math" w:hAnsi="Cambria Math" w:eastAsia="Cambria Math"/>
          <w:spacing w:val="16"/>
          <w:w w:val="110"/>
          <w:sz w:val="25"/>
        </w:rPr>
        <w:t> </w:t>
      </w:r>
      <w:r>
        <w:rPr>
          <w:rFonts w:ascii="Cambria Math" w:hAnsi="Cambria Math" w:eastAsia="Cambria Math"/>
          <w:w w:val="110"/>
          <w:sz w:val="25"/>
        </w:rPr>
        <w:t>−</w:t>
      </w:r>
      <w:r>
        <w:rPr>
          <w:rFonts w:ascii="Cambria Math" w:hAnsi="Cambria Math" w:eastAsia="Cambria Math"/>
          <w:spacing w:val="16"/>
          <w:w w:val="110"/>
          <w:sz w:val="25"/>
        </w:rPr>
        <w:t> </w:t>
      </w:r>
      <w:r>
        <w:rPr>
          <w:rFonts w:ascii="Cambria Math" w:hAnsi="Cambria Math" w:eastAsia="Cambria Math"/>
          <w:w w:val="110"/>
          <w:sz w:val="25"/>
        </w:rPr>
        <w:t>−</w:t>
      </w:r>
      <w:r>
        <w:rPr>
          <w:rFonts w:ascii="Cambria Math" w:hAnsi="Cambria Math" w:eastAsia="Cambria Math"/>
          <w:spacing w:val="17"/>
          <w:w w:val="110"/>
          <w:sz w:val="25"/>
        </w:rPr>
        <w:t> </w:t>
      </w:r>
      <w:r>
        <w:rPr>
          <w:rFonts w:ascii="Cambria Math" w:hAnsi="Cambria Math" w:eastAsia="Cambria Math"/>
          <w:w w:val="110"/>
          <w:sz w:val="25"/>
        </w:rPr>
        <w:t>−</w:t>
      </w:r>
      <w:r>
        <w:rPr>
          <w:rFonts w:ascii="Cambria Math" w:hAnsi="Cambria Math" w:eastAsia="Cambria Math"/>
          <w:spacing w:val="16"/>
          <w:w w:val="110"/>
          <w:sz w:val="25"/>
        </w:rPr>
        <w:t> </w:t>
      </w:r>
      <w:r>
        <w:rPr>
          <w:rFonts w:ascii="Cambria Math" w:hAnsi="Cambria Math" w:eastAsia="Cambria Math"/>
          <w:spacing w:val="-2"/>
          <w:w w:val="110"/>
          <w:sz w:val="25"/>
        </w:rPr>
        <w:t>(3.1)</w:t>
      </w:r>
    </w:p>
    <w:p>
      <w:pPr>
        <w:spacing w:before="58"/>
        <w:ind w:left="0" w:right="1650" w:firstLine="0"/>
        <w:jc w:val="center"/>
        <w:rPr>
          <w:rFonts w:ascii="Cambria Math" w:eastAsia="Cambria Math"/>
          <w:sz w:val="18"/>
        </w:rPr>
      </w:pPr>
      <w:r>
        <w:rPr>
          <w:rFonts w:ascii="Cambria Math" w:eastAsia="Cambria Math"/>
          <w:spacing w:val="-5"/>
          <w:w w:val="105"/>
          <w:sz w:val="18"/>
        </w:rPr>
        <w:t>𝑖=1</w:t>
      </w:r>
    </w:p>
    <w:p>
      <w:pPr>
        <w:pStyle w:val="BodyText"/>
        <w:spacing w:before="41"/>
        <w:ind w:left="0"/>
        <w:rPr>
          <w:rFonts w:ascii="Cambria Math"/>
          <w:sz w:val="18"/>
        </w:rPr>
      </w:pPr>
    </w:p>
    <w:p>
      <w:pPr>
        <w:pStyle w:val="BodyText"/>
        <w:spacing w:line="480" w:lineRule="auto"/>
        <w:ind w:right="733"/>
        <w:jc w:val="both"/>
      </w:pPr>
      <w:r>
        <w:rPr>
          <w:position w:val="2"/>
        </w:rPr>
        <w:t>Where ε</w:t>
      </w:r>
      <w:r>
        <w:rPr>
          <w:sz w:val="16"/>
        </w:rPr>
        <w:t>t</w:t>
      </w:r>
      <w:r>
        <w:rPr>
          <w:spacing w:val="27"/>
          <w:sz w:val="16"/>
        </w:rPr>
        <w:t> </w:t>
      </w:r>
      <w:r>
        <w:rPr>
          <w:position w:val="2"/>
        </w:rPr>
        <w:t>is a pure white noiseerror term; t is time trend; Y</w:t>
      </w:r>
      <w:r>
        <w:rPr>
          <w:sz w:val="16"/>
        </w:rPr>
        <w:t>t</w:t>
      </w:r>
      <w:r>
        <w:rPr>
          <w:spacing w:val="27"/>
          <w:sz w:val="16"/>
        </w:rPr>
        <w:t> </w:t>
      </w:r>
      <w:r>
        <w:rPr>
          <w:position w:val="2"/>
        </w:rPr>
        <w:t>is thevariable of interest; β</w:t>
      </w:r>
      <w:r>
        <w:rPr>
          <w:sz w:val="16"/>
        </w:rPr>
        <w:t>1</w:t>
      </w:r>
      <w:r>
        <w:rPr>
          <w:position w:val="2"/>
        </w:rPr>
        <w:t>, β</w:t>
      </w:r>
      <w:r>
        <w:rPr>
          <w:sz w:val="16"/>
        </w:rPr>
        <w:t>2</w:t>
      </w:r>
      <w:r>
        <w:rPr>
          <w:position w:val="2"/>
        </w:rPr>
        <w:t>, δ and α</w:t>
      </w:r>
      <w:r>
        <w:rPr>
          <w:sz w:val="16"/>
        </w:rPr>
        <w:t>i </w:t>
      </w:r>
      <w:r>
        <w:rPr>
          <w:position w:val="2"/>
        </w:rPr>
        <w:t>are parametersto be estimated; and Δ is thedifference operator. In theADF approach, </w:t>
      </w:r>
      <w:r>
        <w:rPr/>
        <w:t>we test whether δ = 0.</w:t>
      </w:r>
    </w:p>
    <w:p>
      <w:pPr>
        <w:pStyle w:val="BodyText"/>
        <w:spacing w:line="480" w:lineRule="auto" w:before="162"/>
        <w:ind w:right="734"/>
        <w:jc w:val="both"/>
      </w:pPr>
      <w:r>
        <w:rPr>
          <w:b/>
        </w:rPr>
        <w:t>Cointegration Test: </w:t>
      </w:r>
      <w:r>
        <w:rPr/>
        <w:t>Following thestationarity tests, cointegrationtest would be carried out using the Johansenapproach to cointegration. Co-integration test tells aboutwhether there exists long term relationshipbetween the variables. The prerequisiteof applying this test is to first check for unitroot so that it is decidedwhether the series isstationary or not. For testing the existenceof co-integration between thevariables a method developedby Johansen and Juselius (1990) is used. This test impliesmaximum likelihood method toestimate and determine the existenceof co-integrating vectorsin a “vector autoregressive (VAR) system”. The Johansen Cointegrationtest suggests two teststatistics one is traceand the other one is maximum</w:t>
      </w:r>
      <w:r>
        <w:rPr>
          <w:spacing w:val="52"/>
          <w:w w:val="150"/>
        </w:rPr>
        <w:t> </w:t>
      </w:r>
      <w:r>
        <w:rPr/>
        <w:t>eigenvalue</w:t>
      </w:r>
      <w:r>
        <w:rPr>
          <w:spacing w:val="54"/>
          <w:w w:val="150"/>
        </w:rPr>
        <w:t> </w:t>
      </w:r>
      <w:r>
        <w:rPr/>
        <w:t>tofind</w:t>
      </w:r>
      <w:r>
        <w:rPr>
          <w:spacing w:val="53"/>
          <w:w w:val="150"/>
        </w:rPr>
        <w:t> </w:t>
      </w:r>
      <w:r>
        <w:rPr/>
        <w:t>out</w:t>
      </w:r>
      <w:r>
        <w:rPr>
          <w:spacing w:val="52"/>
          <w:w w:val="150"/>
        </w:rPr>
        <w:t> </w:t>
      </w:r>
      <w:r>
        <w:rPr/>
        <w:t>the</w:t>
      </w:r>
      <w:r>
        <w:rPr>
          <w:spacing w:val="52"/>
          <w:w w:val="150"/>
        </w:rPr>
        <w:t> </w:t>
      </w:r>
      <w:r>
        <w:rPr/>
        <w:t>numberof</w:t>
      </w:r>
      <w:r>
        <w:rPr>
          <w:spacing w:val="54"/>
          <w:w w:val="150"/>
        </w:rPr>
        <w:t> </w:t>
      </w:r>
      <w:r>
        <w:rPr/>
        <w:t>co-integrating</w:t>
      </w:r>
      <w:r>
        <w:rPr>
          <w:spacing w:val="52"/>
          <w:w w:val="150"/>
        </w:rPr>
        <w:t> </w:t>
      </w:r>
      <w:r>
        <w:rPr/>
        <w:t>vectors.</w:t>
      </w:r>
      <w:r>
        <w:rPr>
          <w:spacing w:val="53"/>
          <w:w w:val="150"/>
        </w:rPr>
        <w:t> </w:t>
      </w:r>
      <w:r>
        <w:rPr/>
        <w:t>If</w:t>
      </w:r>
      <w:r>
        <w:rPr>
          <w:spacing w:val="53"/>
          <w:w w:val="150"/>
        </w:rPr>
        <w:t> </w:t>
      </w:r>
      <w:r>
        <w:rPr/>
        <w:t>there</w:t>
      </w:r>
      <w:r>
        <w:rPr>
          <w:spacing w:val="52"/>
          <w:w w:val="150"/>
        </w:rPr>
        <w:t> </w:t>
      </w:r>
      <w:r>
        <w:rPr/>
        <w:t>is</w:t>
      </w:r>
      <w:r>
        <w:rPr>
          <w:spacing w:val="54"/>
          <w:w w:val="150"/>
        </w:rPr>
        <w:t> </w:t>
      </w:r>
      <w:r>
        <w:rPr>
          <w:spacing w:val="-5"/>
        </w:rPr>
        <w:t>any</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w:t>difference between the resultsof trace test and maximumeigenvalue test, then the resultsof maximum eigenvalue test ispreferred because it is moreauthentic in case of smallsamples.</w:t>
      </w:r>
    </w:p>
    <w:p>
      <w:pPr>
        <w:pStyle w:val="BodyText"/>
        <w:spacing w:line="480" w:lineRule="auto" w:before="160"/>
        <w:ind w:right="733"/>
        <w:jc w:val="both"/>
      </w:pPr>
      <w:r>
        <w:rPr/>
        <mc:AlternateContent>
          <mc:Choice Requires="wps">
            <w:drawing>
              <wp:anchor distT="0" distB="0" distL="0" distR="0" allowOverlap="1" layoutInCell="1" locked="0" behindDoc="1" simplePos="0" relativeHeight="478091264">
                <wp:simplePos x="0" y="0"/>
                <wp:positionH relativeFrom="page">
                  <wp:posOffset>950112</wp:posOffset>
                </wp:positionH>
                <wp:positionV relativeFrom="paragraph">
                  <wp:posOffset>552765</wp:posOffset>
                </wp:positionV>
                <wp:extent cx="5505450" cy="5661025"/>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25216" id="docshape177"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b/>
        </w:rPr>
        <w:t>Error Correction Model: </w:t>
      </w:r>
      <w:r>
        <w:rPr/>
        <w:t>If a stable longrunrelationship is confirmed fromthe co- integration test, then we shallestimate the short-rundynamic coefficients through error correctionmodel. The sign of the </w:t>
      </w:r>
      <w:r>
        <w:rPr>
          <w:i/>
        </w:rPr>
        <w:t>ECM(-1) </w:t>
      </w:r>
      <w:r>
        <w:rPr/>
        <w:t>must be negativeand significant to ensure convergence of thedynamics to the long-runequilibrium. The value of thecoefficient, Ѱ, which</w:t>
      </w:r>
      <w:r>
        <w:rPr>
          <w:spacing w:val="4"/>
        </w:rPr>
        <w:t> </w:t>
      </w:r>
      <w:r>
        <w:rPr/>
        <w:t>signifies</w:t>
      </w:r>
      <w:r>
        <w:rPr>
          <w:spacing w:val="4"/>
        </w:rPr>
        <w:t> </w:t>
      </w:r>
      <w:r>
        <w:rPr/>
        <w:t>thespeed</w:t>
      </w:r>
      <w:r>
        <w:rPr>
          <w:spacing w:val="4"/>
        </w:rPr>
        <w:t> </w:t>
      </w:r>
      <w:r>
        <w:rPr/>
        <w:t>of</w:t>
      </w:r>
      <w:r>
        <w:rPr>
          <w:spacing w:val="5"/>
        </w:rPr>
        <w:t> </w:t>
      </w:r>
      <w:r>
        <w:rPr/>
        <w:t>convergence</w:t>
      </w:r>
      <w:r>
        <w:rPr>
          <w:spacing w:val="4"/>
        </w:rPr>
        <w:t> </w:t>
      </w:r>
      <w:r>
        <w:rPr/>
        <w:t>to</w:t>
      </w:r>
      <w:r>
        <w:rPr>
          <w:spacing w:val="4"/>
        </w:rPr>
        <w:t> </w:t>
      </w:r>
      <w:r>
        <w:rPr/>
        <w:t>theequilibrium</w:t>
      </w:r>
      <w:r>
        <w:rPr>
          <w:spacing w:val="5"/>
        </w:rPr>
        <w:t> </w:t>
      </w:r>
      <w:r>
        <w:rPr/>
        <w:t>process,</w:t>
      </w:r>
      <w:r>
        <w:rPr>
          <w:spacing w:val="4"/>
        </w:rPr>
        <w:t> </w:t>
      </w:r>
      <w:r>
        <w:rPr/>
        <w:t>usuallyranges</w:t>
      </w:r>
      <w:r>
        <w:rPr>
          <w:spacing w:val="5"/>
        </w:rPr>
        <w:t> </w:t>
      </w:r>
      <w:r>
        <w:rPr/>
        <w:t>from</w:t>
      </w:r>
      <w:r>
        <w:rPr>
          <w:spacing w:val="6"/>
        </w:rPr>
        <w:t> </w:t>
      </w:r>
      <w:r>
        <w:rPr/>
        <w:t>-1</w:t>
      </w:r>
      <w:r>
        <w:rPr>
          <w:spacing w:val="4"/>
        </w:rPr>
        <w:t> </w:t>
      </w:r>
      <w:r>
        <w:rPr>
          <w:spacing w:val="-5"/>
        </w:rPr>
        <w:t>to</w:t>
      </w:r>
    </w:p>
    <w:p>
      <w:pPr>
        <w:pStyle w:val="BodyText"/>
        <w:spacing w:line="480" w:lineRule="auto" w:before="1"/>
        <w:ind w:right="734"/>
        <w:jc w:val="both"/>
      </w:pPr>
      <w:r>
        <w:rPr/>
        <w:t>0. While -1 signifies perfectand instantaneous convergence, 0 meansno convergence after a shock in theprocess. Further, Pesaran andPesaran (1997) argued that it isimperative to ascertain the constancyof the long-run multipliersby testing the above error-correctionmodel for thestability of itsparameters.</w:t>
      </w:r>
    </w:p>
    <w:p>
      <w:pPr>
        <w:pStyle w:val="BodyText"/>
        <w:spacing w:before="161"/>
        <w:ind w:left="0"/>
      </w:pPr>
    </w:p>
    <w:p>
      <w:pPr>
        <w:pStyle w:val="Heading2"/>
        <w:numPr>
          <w:ilvl w:val="2"/>
          <w:numId w:val="22"/>
        </w:numPr>
        <w:tabs>
          <w:tab w:pos="780" w:val="left" w:leader="none"/>
        </w:tabs>
        <w:spacing w:line="240" w:lineRule="auto" w:before="0" w:after="0"/>
        <w:ind w:left="780" w:right="0" w:hanging="560"/>
        <w:jc w:val="both"/>
      </w:pPr>
      <w:bookmarkStart w:name="_TOC_250027" w:id="48"/>
      <w:r>
        <w:rPr/>
        <w:t>Estimation</w:t>
      </w:r>
      <w:r>
        <w:rPr>
          <w:spacing w:val="-13"/>
        </w:rPr>
        <w:t> </w:t>
      </w:r>
      <w:bookmarkEnd w:id="48"/>
      <w:r>
        <w:rPr>
          <w:spacing w:val="-2"/>
        </w:rPr>
        <w:t>Criterion</w:t>
      </w:r>
    </w:p>
    <w:p>
      <w:pPr>
        <w:pStyle w:val="BodyText"/>
        <w:spacing w:before="159"/>
        <w:ind w:left="0"/>
        <w:rPr>
          <w:b/>
        </w:rPr>
      </w:pPr>
    </w:p>
    <w:p>
      <w:pPr>
        <w:pStyle w:val="BodyText"/>
        <w:spacing w:line="480" w:lineRule="auto" w:before="1"/>
        <w:ind w:right="734"/>
        <w:jc w:val="both"/>
      </w:pPr>
      <w:r>
        <w:rPr/>
        <w:t>Meanwhile, after theestimation of the model, we will proceedwith the evaluationof the</w:t>
      </w:r>
      <w:r>
        <w:rPr>
          <w:spacing w:val="40"/>
        </w:rPr>
        <w:t> </w:t>
      </w:r>
      <w:r>
        <w:rPr/>
        <w:t>results</w:t>
      </w:r>
      <w:r>
        <w:rPr>
          <w:spacing w:val="-2"/>
        </w:rPr>
        <w:t> </w:t>
      </w:r>
      <w:r>
        <w:rPr/>
        <w:t>of</w:t>
      </w:r>
      <w:r>
        <w:rPr>
          <w:spacing w:val="-3"/>
        </w:rPr>
        <w:t> </w:t>
      </w:r>
      <w:r>
        <w:rPr/>
        <w:t>the</w:t>
      </w:r>
      <w:r>
        <w:rPr>
          <w:spacing w:val="-4"/>
        </w:rPr>
        <w:t> </w:t>
      </w:r>
      <w:r>
        <w:rPr/>
        <w:t>calculations,</w:t>
      </w:r>
      <w:r>
        <w:rPr>
          <w:spacing w:val="-4"/>
        </w:rPr>
        <w:t> </w:t>
      </w:r>
      <w:r>
        <w:rPr/>
        <w:t>whichdeals</w:t>
      </w:r>
      <w:r>
        <w:rPr>
          <w:spacing w:val="-2"/>
        </w:rPr>
        <w:t> </w:t>
      </w:r>
      <w:r>
        <w:rPr/>
        <w:t>with</w:t>
      </w:r>
      <w:r>
        <w:rPr>
          <w:spacing w:val="-4"/>
        </w:rPr>
        <w:t> </w:t>
      </w:r>
      <w:r>
        <w:rPr/>
        <w:t>the</w:t>
      </w:r>
      <w:r>
        <w:rPr>
          <w:spacing w:val="-3"/>
        </w:rPr>
        <w:t> </w:t>
      </w:r>
      <w:r>
        <w:rPr/>
        <w:t>determination</w:t>
      </w:r>
      <w:r>
        <w:rPr>
          <w:spacing w:val="-4"/>
        </w:rPr>
        <w:t> </w:t>
      </w:r>
      <w:r>
        <w:rPr/>
        <w:t>of</w:t>
      </w:r>
      <w:r>
        <w:rPr>
          <w:spacing w:val="-2"/>
        </w:rPr>
        <w:t> </w:t>
      </w:r>
      <w:r>
        <w:rPr/>
        <w:t>thereliability</w:t>
      </w:r>
      <w:r>
        <w:rPr>
          <w:spacing w:val="-4"/>
        </w:rPr>
        <w:t> </w:t>
      </w:r>
      <w:r>
        <w:rPr/>
        <w:t>of</w:t>
      </w:r>
      <w:r>
        <w:rPr>
          <w:spacing w:val="-3"/>
        </w:rPr>
        <w:t> </w:t>
      </w:r>
      <w:r>
        <w:rPr/>
        <w:t>these</w:t>
      </w:r>
      <w:r>
        <w:rPr>
          <w:spacing w:val="-4"/>
        </w:rPr>
        <w:t> </w:t>
      </w:r>
      <w:r>
        <w:rPr/>
        <w:t>results. The evaluations consistof deciding whether the estimates of theparameters are theoretically meaningful, statisticallyand econometrically satisfactory. For this, we</w:t>
      </w:r>
      <w:r>
        <w:rPr>
          <w:spacing w:val="-1"/>
        </w:rPr>
        <w:t> </w:t>
      </w:r>
      <w:r>
        <w:rPr/>
        <w:t>will usevarious criteria which are classifiedinto three groups.</w:t>
      </w:r>
    </w:p>
    <w:p>
      <w:pPr>
        <w:pStyle w:val="BodyText"/>
        <w:spacing w:line="480" w:lineRule="auto"/>
        <w:ind w:right="734"/>
        <w:jc w:val="both"/>
      </w:pPr>
      <w:r>
        <w:rPr>
          <w:b/>
        </w:rPr>
        <w:t>Economic Criterion: </w:t>
      </w:r>
      <w:r>
        <w:rPr/>
        <w:t>As summarized by Iyoha (2004), thiscriterion discusses the appropriateness of thespecification of the modelfrom the point of view ofeconomic theory. This criterion includesexamining whether all relevantvariables have been includedand analysis</w:t>
      </w:r>
      <w:r>
        <w:rPr>
          <w:spacing w:val="47"/>
        </w:rPr>
        <w:t> </w:t>
      </w:r>
      <w:r>
        <w:rPr/>
        <w:t>of</w:t>
      </w:r>
      <w:r>
        <w:rPr>
          <w:spacing w:val="47"/>
        </w:rPr>
        <w:t> </w:t>
      </w:r>
      <w:r>
        <w:rPr/>
        <w:t>the</w:t>
      </w:r>
      <w:r>
        <w:rPr>
          <w:spacing w:val="45"/>
        </w:rPr>
        <w:t> </w:t>
      </w:r>
      <w:r>
        <w:rPr/>
        <w:t>conformityof</w:t>
      </w:r>
      <w:r>
        <w:rPr>
          <w:spacing w:val="47"/>
        </w:rPr>
        <w:t> </w:t>
      </w:r>
      <w:r>
        <w:rPr/>
        <w:t>the</w:t>
      </w:r>
      <w:r>
        <w:rPr>
          <w:spacing w:val="47"/>
        </w:rPr>
        <w:t> </w:t>
      </w:r>
      <w:r>
        <w:rPr/>
        <w:t>empirical</w:t>
      </w:r>
      <w:r>
        <w:rPr>
          <w:spacing w:val="45"/>
        </w:rPr>
        <w:t> </w:t>
      </w:r>
      <w:r>
        <w:rPr/>
        <w:t>results,</w:t>
      </w:r>
      <w:r>
        <w:rPr>
          <w:spacing w:val="46"/>
        </w:rPr>
        <w:t> </w:t>
      </w:r>
      <w:r>
        <w:rPr/>
        <w:t>particularlysigns</w:t>
      </w:r>
      <w:r>
        <w:rPr>
          <w:spacing w:val="45"/>
        </w:rPr>
        <w:t> </w:t>
      </w:r>
      <w:r>
        <w:rPr/>
        <w:t>and</w:t>
      </w:r>
      <w:r>
        <w:rPr>
          <w:spacing w:val="46"/>
        </w:rPr>
        <w:t> </w:t>
      </w:r>
      <w:r>
        <w:rPr/>
        <w:t>magnitude,</w:t>
      </w:r>
      <w:r>
        <w:rPr>
          <w:spacing w:val="46"/>
        </w:rPr>
        <w:t> </w:t>
      </w:r>
      <w:r>
        <w:rPr>
          <w:spacing w:val="-4"/>
        </w:rPr>
        <w:t>with</w:t>
      </w:r>
    </w:p>
    <w:p>
      <w:pPr>
        <w:spacing w:after="0" w:line="480" w:lineRule="auto"/>
        <w:jc w:val="both"/>
        <w:sectPr>
          <w:pgSz w:w="12240" w:h="15840"/>
          <w:pgMar w:header="0" w:footer="1012" w:top="1380" w:bottom="1200" w:left="1220" w:right="700"/>
        </w:sectPr>
      </w:pPr>
    </w:p>
    <w:p>
      <w:pPr>
        <w:pStyle w:val="BodyText"/>
        <w:spacing w:line="480" w:lineRule="auto" w:before="60"/>
        <w:ind w:right="737"/>
        <w:jc w:val="both"/>
      </w:pPr>
      <w:r>
        <w:rPr/>
        <w:t>relevanttheory. This also examines whether the results agree with apriori specification or not and how do theysatisfy restrictions contained in theunderlying theory.</w:t>
      </w:r>
    </w:p>
    <w:p>
      <w:pPr>
        <w:pStyle w:val="BodyText"/>
        <w:spacing w:line="480" w:lineRule="auto" w:before="160"/>
        <w:ind w:right="736"/>
        <w:jc w:val="both"/>
      </w:pPr>
      <w:r>
        <w:rPr/>
        <mc:AlternateContent>
          <mc:Choice Requires="wps">
            <w:drawing>
              <wp:anchor distT="0" distB="0" distL="0" distR="0" allowOverlap="1" layoutInCell="1" locked="0" behindDoc="1" simplePos="0" relativeHeight="478091776">
                <wp:simplePos x="0" y="0"/>
                <wp:positionH relativeFrom="page">
                  <wp:posOffset>950112</wp:posOffset>
                </wp:positionH>
                <wp:positionV relativeFrom="paragraph">
                  <wp:posOffset>552765</wp:posOffset>
                </wp:positionV>
                <wp:extent cx="5505450" cy="5661025"/>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24704" id="docshape178"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b/>
        </w:rPr>
        <w:t>Statistical Criterion (First-Order Test): </w:t>
      </w:r>
      <w:r>
        <w:rPr/>
        <w:t>Under thiscriterion, the OLS estimates are evaluated based onstatistical theory. This criterion is alsocalled the first-order testbecause it tests the reliabilityof economic theory. This criterion uses teststatistics such as theR-squared and R-squaredadjusted; F-statistic and theT-statistics to evaluate thereliability of the estimates. The R-squaredand R-squared Adjusted measure thepercentage of totalvariations in the dependentvariable that was accountedfor by variations in theindependent variables. That is, they measure theexplanatory powers of theexplanatory variables but theR-squared adjusted accountsfor loses in the degreeof freedom.</w:t>
      </w:r>
    </w:p>
    <w:p>
      <w:pPr>
        <w:pStyle w:val="BodyText"/>
        <w:spacing w:before="160"/>
        <w:jc w:val="both"/>
      </w:pPr>
      <w:r>
        <w:rPr/>
        <w:t>The</w:t>
      </w:r>
      <w:r>
        <w:rPr>
          <w:spacing w:val="-8"/>
        </w:rPr>
        <w:t> </w:t>
      </w:r>
      <w:r>
        <w:rPr>
          <w:b/>
        </w:rPr>
        <w:t>F-statistic</w:t>
      </w:r>
      <w:r>
        <w:rPr>
          <w:b/>
          <w:spacing w:val="-6"/>
        </w:rPr>
        <w:t> </w:t>
      </w:r>
      <w:r>
        <w:rPr/>
        <w:t>measures</w:t>
      </w:r>
      <w:r>
        <w:rPr>
          <w:spacing w:val="-7"/>
        </w:rPr>
        <w:t> </w:t>
      </w:r>
      <w:r>
        <w:rPr/>
        <w:t>the</w:t>
      </w:r>
      <w:r>
        <w:rPr>
          <w:spacing w:val="-7"/>
        </w:rPr>
        <w:t> </w:t>
      </w:r>
      <w:r>
        <w:rPr/>
        <w:t>overall</w:t>
      </w:r>
      <w:r>
        <w:rPr>
          <w:spacing w:val="-7"/>
        </w:rPr>
        <w:t> </w:t>
      </w:r>
      <w:r>
        <w:rPr/>
        <w:t>significance</w:t>
      </w:r>
      <w:r>
        <w:rPr>
          <w:spacing w:val="-8"/>
        </w:rPr>
        <w:t> </w:t>
      </w:r>
      <w:r>
        <w:rPr/>
        <w:t>of</w:t>
      </w:r>
      <w:r>
        <w:rPr>
          <w:spacing w:val="-7"/>
        </w:rPr>
        <w:t> </w:t>
      </w:r>
      <w:r>
        <w:rPr/>
        <w:t>the</w:t>
      </w:r>
      <w:r>
        <w:rPr>
          <w:spacing w:val="-7"/>
        </w:rPr>
        <w:t> </w:t>
      </w:r>
      <w:r>
        <w:rPr/>
        <w:t>regression</w:t>
      </w:r>
      <w:r>
        <w:rPr>
          <w:spacing w:val="-8"/>
        </w:rPr>
        <w:t> </w:t>
      </w:r>
      <w:r>
        <w:rPr>
          <w:spacing w:val="-2"/>
        </w:rPr>
        <w:t>model.</w:t>
      </w:r>
    </w:p>
    <w:p>
      <w:pPr>
        <w:pStyle w:val="BodyText"/>
        <w:spacing w:before="162"/>
        <w:ind w:left="0"/>
      </w:pPr>
    </w:p>
    <w:p>
      <w:pPr>
        <w:pStyle w:val="BodyText"/>
        <w:jc w:val="both"/>
      </w:pPr>
      <w:r>
        <w:rPr>
          <w:b/>
        </w:rPr>
        <w:t>T-Statistics</w:t>
      </w:r>
      <w:r>
        <w:rPr/>
        <w:t>:</w:t>
      </w:r>
      <w:r>
        <w:rPr>
          <w:spacing w:val="-11"/>
        </w:rPr>
        <w:t> </w:t>
      </w:r>
      <w:r>
        <w:rPr/>
        <w:t>The</w:t>
      </w:r>
      <w:r>
        <w:rPr>
          <w:spacing w:val="-10"/>
        </w:rPr>
        <w:t> </w:t>
      </w:r>
      <w:r>
        <w:rPr/>
        <w:t>T-statistics</w:t>
      </w:r>
      <w:r>
        <w:rPr>
          <w:spacing w:val="-9"/>
        </w:rPr>
        <w:t> </w:t>
      </w:r>
      <w:r>
        <w:rPr/>
        <w:t>measure</w:t>
      </w:r>
      <w:r>
        <w:rPr>
          <w:spacing w:val="-10"/>
        </w:rPr>
        <w:t> </w:t>
      </w:r>
      <w:r>
        <w:rPr/>
        <w:t>theindividual</w:t>
      </w:r>
      <w:r>
        <w:rPr>
          <w:spacing w:val="-10"/>
        </w:rPr>
        <w:t> </w:t>
      </w:r>
      <w:r>
        <w:rPr/>
        <w:t>significance</w:t>
      </w:r>
      <w:r>
        <w:rPr>
          <w:spacing w:val="-10"/>
        </w:rPr>
        <w:t> </w:t>
      </w:r>
      <w:r>
        <w:rPr/>
        <w:t>of</w:t>
      </w:r>
      <w:r>
        <w:rPr>
          <w:spacing w:val="-11"/>
        </w:rPr>
        <w:t> </w:t>
      </w:r>
      <w:r>
        <w:rPr/>
        <w:t>theparameter</w:t>
      </w:r>
      <w:r>
        <w:rPr>
          <w:spacing w:val="-9"/>
        </w:rPr>
        <w:t> </w:t>
      </w:r>
      <w:r>
        <w:rPr>
          <w:spacing w:val="-2"/>
        </w:rPr>
        <w:t>estimates.</w:t>
      </w:r>
    </w:p>
    <w:p>
      <w:pPr>
        <w:pStyle w:val="BodyText"/>
        <w:spacing w:before="160"/>
        <w:ind w:left="0"/>
      </w:pPr>
    </w:p>
    <w:p>
      <w:pPr>
        <w:pStyle w:val="BodyText"/>
        <w:spacing w:line="480" w:lineRule="auto"/>
        <w:ind w:right="733"/>
        <w:jc w:val="both"/>
      </w:pPr>
      <w:r>
        <w:rPr>
          <w:b/>
        </w:rPr>
        <w:t>Econometric Criterion (Second-Order Test): </w:t>
      </w:r>
      <w:r>
        <w:rPr/>
        <w:t>Thiscriterion is also called thesecond-order test because it tests thereliability of statisticaltheory. Under thiscriterion, we test the OLS estimates for variouseconometric problemssuch as the problemof Autocorrelation; Heteroskedasticity; andMulticollinearity problems. The OLS assumes noautocorrelation in the residuals, explanatoryvariables are not perfectlycorrelated (no multicollinearity), the variance of the errorterm is constant (homoscedasticity) and normalityof the error term. In this study, we shall use theDurbin-Watson statistic to test forautocorrelation, Breush- Godfery-Pagan</w:t>
      </w:r>
      <w:r>
        <w:rPr>
          <w:spacing w:val="-4"/>
        </w:rPr>
        <w:t> </w:t>
      </w:r>
      <w:r>
        <w:rPr/>
        <w:t>statisticfor</w:t>
      </w:r>
      <w:r>
        <w:rPr>
          <w:spacing w:val="-3"/>
        </w:rPr>
        <w:t> </w:t>
      </w:r>
      <w:r>
        <w:rPr/>
        <w:t>heteroskedasticity</w:t>
      </w:r>
      <w:r>
        <w:rPr>
          <w:spacing w:val="-3"/>
        </w:rPr>
        <w:t> </w:t>
      </w:r>
      <w:r>
        <w:rPr/>
        <w:t>test,</w:t>
      </w:r>
      <w:r>
        <w:rPr>
          <w:spacing w:val="-3"/>
        </w:rPr>
        <w:t> </w:t>
      </w:r>
      <w:r>
        <w:rPr/>
        <w:t>correlationmatrix</w:t>
      </w:r>
      <w:r>
        <w:rPr>
          <w:spacing w:val="-3"/>
        </w:rPr>
        <w:t> </w:t>
      </w:r>
      <w:r>
        <w:rPr/>
        <w:t>for multicollinearity test, and Jaque-Bera statisticfor normality test.</w:t>
      </w:r>
    </w:p>
    <w:p>
      <w:pPr>
        <w:spacing w:after="0" w:line="480" w:lineRule="auto"/>
        <w:jc w:val="both"/>
        <w:sectPr>
          <w:pgSz w:w="12240" w:h="15840"/>
          <w:pgMar w:header="0" w:footer="1012" w:top="1380" w:bottom="1200" w:left="1220" w:right="700"/>
        </w:sectPr>
      </w:pPr>
    </w:p>
    <w:p>
      <w:pPr>
        <w:pStyle w:val="Heading2"/>
        <w:numPr>
          <w:ilvl w:val="2"/>
          <w:numId w:val="22"/>
        </w:numPr>
        <w:tabs>
          <w:tab w:pos="780" w:val="left" w:leader="none"/>
        </w:tabs>
        <w:spacing w:line="240" w:lineRule="auto" w:before="60" w:after="0"/>
        <w:ind w:left="780" w:right="0" w:hanging="560"/>
        <w:jc w:val="left"/>
      </w:pPr>
      <w:bookmarkStart w:name="_TOC_250026" w:id="49"/>
      <w:r>
        <w:rPr/>
        <w:t>Diagnostic</w:t>
      </w:r>
      <w:r>
        <w:rPr>
          <w:spacing w:val="-12"/>
        </w:rPr>
        <w:t> </w:t>
      </w:r>
      <w:bookmarkEnd w:id="49"/>
      <w:r>
        <w:rPr>
          <w:spacing w:val="-2"/>
        </w:rPr>
        <w:t>Statistics</w:t>
      </w:r>
    </w:p>
    <w:p>
      <w:pPr>
        <w:pStyle w:val="BodyText"/>
        <w:spacing w:before="161"/>
        <w:ind w:left="0"/>
        <w:rPr>
          <w:b/>
        </w:rPr>
      </w:pPr>
    </w:p>
    <w:p>
      <w:pPr>
        <w:pStyle w:val="BodyText"/>
        <w:spacing w:line="480" w:lineRule="auto"/>
        <w:ind w:right="736"/>
        <w:jc w:val="both"/>
      </w:pPr>
      <w:r>
        <w:rPr/>
        <w:t>The reliability of the econometric models of estimationand data analysis will bedetermined </w:t>
      </w:r>
      <w:r>
        <w:rPr>
          <w:spacing w:val="-2"/>
        </w:rPr>
        <w:t>using:</w:t>
      </w:r>
    </w:p>
    <w:p>
      <w:pPr>
        <w:pStyle w:val="BodyText"/>
        <w:spacing w:line="480" w:lineRule="auto" w:before="158"/>
        <w:ind w:right="734"/>
        <w:jc w:val="both"/>
      </w:pPr>
      <w:r>
        <w:rPr/>
        <mc:AlternateContent>
          <mc:Choice Requires="wps">
            <w:drawing>
              <wp:anchor distT="0" distB="0" distL="0" distR="0" allowOverlap="1" layoutInCell="1" locked="0" behindDoc="1" simplePos="0" relativeHeight="478092288">
                <wp:simplePos x="0" y="0"/>
                <wp:positionH relativeFrom="page">
                  <wp:posOffset>950112</wp:posOffset>
                </wp:positionH>
                <wp:positionV relativeFrom="paragraph">
                  <wp:posOffset>85436</wp:posOffset>
                </wp:positionV>
                <wp:extent cx="5505450" cy="5661025"/>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6.727295pt;width:433.5pt;height:445.75pt;mso-position-horizontal-relative:page;mso-position-vertical-relative:paragraph;z-index:-25224192" id="docshape179" coordorigin="1496,135" coordsize="8670,8915" path="m2562,8854l1691,7983,1496,8178,2367,9049,2562,8854xm3154,8178l3153,8139,3148,8096,3139,8052,3125,8008,3106,7965,3083,7921,3055,7879,3025,7838,2991,7798,2954,7759,2435,7239,2241,7434,2772,7965,2805,8001,2829,8037,2846,8071,2856,8106,2858,8138,2851,8169,2837,8197,2816,8224,2790,8245,2761,8259,2730,8265,2697,8263,2663,8253,2628,8237,2593,8212,2557,8181,2026,7649,1831,7843,2351,8362,2385,8395,2424,8427,2468,8459,2516,8492,2548,8511,2583,8526,2620,8540,2658,8550,2697,8558,2733,8562,2767,8562,2800,8559,2831,8552,2863,8540,2895,8524,2926,8503,2957,8480,2985,8457,3011,8434,3035,8412,3071,8371,3102,8331,3125,8289,3142,8247,3150,8214,3154,8178xm3882,7395l3876,7331,3860,7265,3834,7199,3806,7144,3771,7088,3728,7031,3678,6972,3661,6953,3621,6911,3597,6889,3597,7383,3592,7423,3577,7460,3551,7493,3518,7518,3481,7533,3441,7538,3396,7532,3347,7513,3294,7482,3235,7437,3171,7378,3112,7314,3066,7255,3035,7200,3016,7151,3010,7107,3014,7067,3029,7031,3053,6999,3086,6973,3122,6958,3163,6953,3207,6958,3255,6975,3307,7005,3363,7047,3423,7102,3488,7172,3538,7235,3572,7291,3591,7339,3597,7383,3597,6889,3551,6846,3482,6791,3413,6746,3344,6711,3276,6685,3209,6669,3130,6663,3055,6673,2983,6699,2914,6739,2850,6795,2796,6858,2756,6926,2732,6998,2723,7073,2729,7153,2746,7221,2772,7290,2808,7360,2854,7430,2910,7500,2976,7571,3036,7628,3096,7678,3156,7720,3215,7755,3273,7782,3344,7806,3411,7820,3475,7823,3535,7817,3593,7801,3649,7774,3705,7736,3758,7688,3805,7634,3841,7578,3858,7538,3866,7519,3879,7458,3882,7395xm4153,6815l3966,6628,3712,6883,3899,7070,4153,6815xm4664,6753l3793,5882,3598,6077,4469,6948,4664,6753xm4998,6419l4675,6095,4781,5989,4832,5929,4837,5919,4866,5867,4883,5804,4882,5739,4866,5674,4843,5623,4836,5608,4792,5542,4733,5476,4670,5419,4607,5376,4598,5371,4598,5765,4597,5790,4587,5816,4570,5843,4546,5871,4498,5919,4304,5724,4359,5669,4386,5646,4412,5630,4438,5623,4462,5623,4486,5630,4509,5640,4531,5654,4552,5673,4570,5694,4584,5717,4593,5740,4598,5765,4598,5371,4544,5346,4483,5330,4423,5329,4365,5344,4309,5374,4255,5419,3931,5743,4803,6614,4998,6419xm5788,5629l5132,4973,5330,4774,5115,4559,4524,5151,4739,5366,4937,5167,5593,5823,5788,5629xm6423,4993l5767,4337,5966,4139,5751,3924,5159,4515,5374,4730,5573,4532,6229,5188,6423,4993xm7157,4120l7151,4056,7135,3990,7109,3924,7081,3869,7046,3813,7003,3756,6953,3697,6935,3678,6896,3637,6872,3614,6872,4108,6867,4148,6851,4185,6825,4218,6793,4244,6756,4259,6716,4263,6671,4257,6622,4238,6569,4207,6510,4162,6446,4103,6387,4039,6341,3980,6309,3925,6291,3876,6285,3832,6289,3792,6304,3756,6328,3724,6361,3699,6397,3683,6438,3678,6482,3683,6530,3701,6582,3730,6638,3773,6698,3828,6763,3897,6813,3960,6847,4016,6866,4065,6872,4108,6872,3614,6826,3571,6756,3516,6687,3471,6619,3436,6551,3410,6483,3394,6405,3389,6329,3399,6258,3424,6189,3464,6125,3520,6071,3583,6031,3651,6007,3723,5998,3798,6004,3878,6021,3946,6047,4015,6083,4085,6129,4155,6184,4225,6250,4296,6311,4353,6371,4403,6431,4445,6490,4480,6548,4507,6619,4531,6686,4545,6750,4549,6810,4542,6868,4526,6924,4499,6979,4461,7033,4413,7080,4359,7116,4303,7133,4263,7141,4244,7154,4183,7157,4120xm8170,3125l8165,3076,8153,3025,8134,2973,8109,2918,8079,2862,8041,2805,7980,2830,7799,2904,7831,2951,7855,2994,7873,3034,7884,3072,7887,3107,7881,3140,7866,3171,7843,3200,7812,3224,7778,3238,7740,3242,7700,3236,7653,3217,7600,3183,7538,3134,7469,3069,7417,3013,7375,2961,7344,2913,7324,2870,7311,2819,7312,2772,7325,2731,7352,2695,7367,2682,7384,2672,7402,2664,7422,2659,7442,2657,7464,2658,7486,2661,7509,2667,7524,2673,7542,2681,7563,2692,7586,2706,7705,2481,7622,2435,7543,2403,7469,2384,7400,2378,7333,2386,7269,2408,7206,2446,7146,2499,7092,2561,7054,2628,7030,2698,7021,2772,7027,2850,7044,2917,7070,2984,7106,3053,7153,3123,7209,3194,7276,3266,7341,3326,7404,3378,7467,3422,7529,3457,7590,3485,7662,3508,7730,3521,7791,3524,7847,3517,7900,3500,7952,3474,8004,3437,8056,3391,8094,3348,8125,3305,8147,3261,8161,3217,8169,3172,8170,3125xm8868,2409l8861,2345,8846,2280,8820,2213,8792,2158,8757,2102,8714,2045,8664,1986,8646,1967,8607,1926,8583,1903,8583,2397,8578,2437,8562,2474,8536,2507,8504,2533,8467,2548,8427,2552,8382,2546,8333,2528,8279,2496,8221,2451,8157,2392,8098,2328,8052,2269,8020,2215,8002,2166,7996,2121,8000,2081,8014,2045,8039,2013,8071,1988,8108,1972,8149,1967,8193,1972,8241,1990,8293,2019,8349,2062,8409,2117,8474,2186,8524,2249,8558,2305,8577,2354,8583,2397,8583,1903,8537,1860,8467,1805,8398,1760,8330,1725,8262,1699,8194,1683,8116,1678,8040,1688,7968,1713,7900,1754,7835,1809,7781,1873,7742,1940,7718,2012,7709,2088,7715,2167,7731,2236,7758,2305,7794,2374,7839,2444,7895,2515,7961,2585,8022,2643,8082,2692,8142,2734,8201,2769,8259,2796,8329,2821,8397,2834,8461,2838,8521,2831,8579,2815,8635,2788,8690,2750,8744,2702,8791,2648,8827,2592,8844,2552,8852,2533,8865,2472,8868,2409xm9348,2068l9025,1745,9132,1638,9182,1578,9188,1569,9216,1517,9233,1454,9233,1389,9217,1323,9194,1272,9187,1257,9142,1192,9084,1126,9020,1068,8957,1025,8948,1021,8948,1414,8947,1440,8938,1466,8921,1493,8896,1521,8849,1569,8654,1374,8710,1319,8737,1295,8763,1280,8788,1272,8812,1273,8836,1279,8859,1290,8881,1304,8902,1323,8920,1344,8934,1367,8943,1390,8948,1414,8948,1021,8895,996,8833,980,8773,979,8715,994,8659,1024,8605,1069,8282,1393,9153,2264,9348,2068xm10166,1251l9801,886,9748,736,9593,285,9540,135,9325,350,9353,420,9436,631,9492,771,9422,743,9211,660,9071,604,8854,820,9005,873,9456,1028,9606,1081,9971,1446,10166,1251xe" filled="true" fillcolor="#c0c0c0" stroked="false">
                <v:path arrowok="t"/>
                <v:fill opacity="32896f" type="solid"/>
                <w10:wrap type="none"/>
              </v:shape>
            </w:pict>
          </mc:Fallback>
        </mc:AlternateContent>
      </w:r>
      <w:r>
        <w:rPr>
          <w:b/>
        </w:rPr>
        <w:t>Multicolinearity Test: </w:t>
      </w:r>
      <w:r>
        <w:rPr/>
        <w:t>Multicollinearityis a type of disturbance in thedata because the presence of multicolinearity inthe data makes the OLSestimators impreciselyestimated (Ranjit, 2006). Presence of high multicollinearity, causesthe confidence intervalsof the coefficients tend tobecome very wideand the statistics tend to be very small, making the hypothesis testingto be misguided. Presenceof multicolinearity is tested using thecoefficients of correlationmatric. High degree ofcorrelation coefficient say above 0.9 indicatespossibility of multicolinearity. If multicolinearity ispresent, variance inflationfactor (VIF) will be done to identify the variablethat are correlated. One will be removedto give more acceptable result</w:t>
      </w:r>
    </w:p>
    <w:p>
      <w:pPr>
        <w:pStyle w:val="BodyText"/>
        <w:spacing w:line="480" w:lineRule="auto" w:before="163"/>
        <w:ind w:right="736"/>
        <w:jc w:val="both"/>
      </w:pPr>
      <w:r>
        <w:rPr>
          <w:b/>
        </w:rPr>
        <w:t>Normality Test: </w:t>
      </w:r>
      <w:r>
        <w:rPr/>
        <w:t>The models are examinedfor normal distribution. The Jarque-Bera (JB) statistics is used to testfor the normality ofthe models. The null hypothesis is that themodels are normallydistributed. The decision rule is to reject the nullhypothesis if the p.value is less than 0.05 level of significance.</w:t>
      </w:r>
    </w:p>
    <w:p>
      <w:pPr>
        <w:pStyle w:val="BodyText"/>
        <w:spacing w:line="480" w:lineRule="auto" w:before="158"/>
        <w:ind w:right="734"/>
        <w:jc w:val="both"/>
      </w:pPr>
      <w:r>
        <w:rPr>
          <w:b/>
        </w:rPr>
        <w:t>Serial Correlation Test: </w:t>
      </w:r>
      <w:r>
        <w:rPr/>
        <w:t>The correlationof time periods in a time seriesanalyses has a huge effecton the reliability of modelestimation. It may lead to highsignificant value, inefficient estimation, exaggeratedgoodness of fit and falsecoefficient of regressionsign (positive or negative).</w:t>
      </w:r>
      <w:r>
        <w:rPr>
          <w:spacing w:val="40"/>
        </w:rPr>
        <w:t> </w:t>
      </w:r>
      <w:r>
        <w:rPr/>
        <w:t>The presence of serialcorrelation is tested using theBreusch-Godfrey Serial CorrelationLM</w:t>
      </w:r>
      <w:r>
        <w:rPr>
          <w:spacing w:val="-1"/>
        </w:rPr>
        <w:t> </w:t>
      </w:r>
      <w:r>
        <w:rPr/>
        <w:t>Test.</w:t>
      </w:r>
      <w:r>
        <w:rPr>
          <w:spacing w:val="-2"/>
        </w:rPr>
        <w:t> </w:t>
      </w:r>
      <w:r>
        <w:rPr/>
        <w:t>The</w:t>
      </w:r>
      <w:r>
        <w:rPr>
          <w:spacing w:val="-3"/>
        </w:rPr>
        <w:t> </w:t>
      </w:r>
      <w:r>
        <w:rPr/>
        <w:t>nullhypothesis</w:t>
      </w:r>
      <w:r>
        <w:rPr>
          <w:spacing w:val="-1"/>
        </w:rPr>
        <w:t> </w:t>
      </w:r>
      <w:r>
        <w:rPr/>
        <w:t>is</w:t>
      </w:r>
      <w:r>
        <w:rPr>
          <w:spacing w:val="-1"/>
        </w:rPr>
        <w:t> </w:t>
      </w:r>
      <w:r>
        <w:rPr/>
        <w:t>no</w:t>
      </w:r>
      <w:r>
        <w:rPr>
          <w:spacing w:val="-2"/>
        </w:rPr>
        <w:t> </w:t>
      </w:r>
      <w:r>
        <w:rPr/>
        <w:t>presenceof</w:t>
      </w:r>
      <w:r>
        <w:rPr>
          <w:spacing w:val="-2"/>
        </w:rPr>
        <w:t> </w:t>
      </w:r>
      <w:r>
        <w:rPr/>
        <w:t>serial</w:t>
      </w:r>
      <w:r>
        <w:rPr>
          <w:spacing w:val="-2"/>
        </w:rPr>
        <w:t> </w:t>
      </w:r>
      <w:r>
        <w:rPr/>
        <w:t>correlation.</w:t>
      </w:r>
      <w:r>
        <w:rPr>
          <w:spacing w:val="-3"/>
        </w:rPr>
        <w:t> </w:t>
      </w:r>
      <w:r>
        <w:rPr/>
        <w:t>The</w:t>
      </w:r>
      <w:r>
        <w:rPr>
          <w:spacing w:val="-3"/>
        </w:rPr>
        <w:t> </w:t>
      </w:r>
      <w:r>
        <w:rPr/>
        <w:t>decision</w:t>
      </w:r>
      <w:r>
        <w:rPr>
          <w:spacing w:val="-2"/>
        </w:rPr>
        <w:t> </w:t>
      </w:r>
      <w:r>
        <w:rPr/>
        <w:t>rule is to reject the nullhypothesis if the p. value is lessthan 0.05 level ofsignificance.</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92800">
                <wp:simplePos x="0" y="0"/>
                <wp:positionH relativeFrom="page">
                  <wp:posOffset>950112</wp:posOffset>
                </wp:positionH>
                <wp:positionV relativeFrom="paragraph">
                  <wp:posOffset>1321053</wp:posOffset>
                </wp:positionV>
                <wp:extent cx="5505450" cy="5661025"/>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23680" id="docshape180"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b/>
        </w:rPr>
        <w:t>Heteroskedacity Test: </w:t>
      </w:r>
      <w:r>
        <w:rPr/>
        <w:t>Presence ofheteroskedasticity in linearregression analysis, implies that the modelcoefficients estimatedusing ordinary least squares (OLS) are biased. This occurs when the varianceof errors or the model is not thesame for all observations. The null hypothesis is thatthe residuals are homoscedasticand the alternatehypotheses are that the residuals areheteroscedastic. The decision rule is to reject the nullhypothesis if the p.value is less than 0.05 level ofsignificance.</w:t>
      </w:r>
    </w:p>
    <w:p>
      <w:pPr>
        <w:pStyle w:val="BodyText"/>
        <w:spacing w:before="160"/>
        <w:ind w:left="0"/>
      </w:pPr>
    </w:p>
    <w:p>
      <w:pPr>
        <w:pStyle w:val="Heading2"/>
        <w:numPr>
          <w:ilvl w:val="2"/>
          <w:numId w:val="22"/>
        </w:numPr>
        <w:tabs>
          <w:tab w:pos="780" w:val="left" w:leader="none"/>
        </w:tabs>
        <w:spacing w:line="240" w:lineRule="auto" w:before="1" w:after="0"/>
        <w:ind w:left="780" w:right="0" w:hanging="560"/>
        <w:jc w:val="left"/>
      </w:pPr>
      <w:bookmarkStart w:name="_TOC_250025" w:id="50"/>
      <w:r>
        <w:rPr/>
        <w:t>Test</w:t>
      </w:r>
      <w:r>
        <w:rPr>
          <w:spacing w:val="-6"/>
        </w:rPr>
        <w:t> </w:t>
      </w:r>
      <w:r>
        <w:rPr/>
        <w:t>of</w:t>
      </w:r>
      <w:r>
        <w:rPr>
          <w:spacing w:val="-6"/>
        </w:rPr>
        <w:t> </w:t>
      </w:r>
      <w:r>
        <w:rPr/>
        <w:t>Research</w:t>
      </w:r>
      <w:r>
        <w:rPr>
          <w:spacing w:val="-5"/>
        </w:rPr>
        <w:t> </w:t>
      </w:r>
      <w:bookmarkEnd w:id="50"/>
      <w:r>
        <w:rPr>
          <w:spacing w:val="-2"/>
        </w:rPr>
        <w:t>Hypotheses</w:t>
      </w:r>
    </w:p>
    <w:p>
      <w:pPr>
        <w:pStyle w:val="BodyText"/>
        <w:spacing w:before="159"/>
        <w:ind w:left="0"/>
        <w:rPr>
          <w:b/>
        </w:rPr>
      </w:pPr>
    </w:p>
    <w:p>
      <w:pPr>
        <w:pStyle w:val="BodyText"/>
        <w:spacing w:line="480" w:lineRule="auto"/>
        <w:ind w:right="734"/>
        <w:jc w:val="both"/>
      </w:pPr>
      <w:r>
        <w:rPr/>
        <w:t>A statistical hypothesis is astatement or assumptionabout an unknown populationparameter which is yet to beverified. A test performed in order toverify whether a hypothesisis true or false is called a test ofhypothesis. The hypothesisabout any population parameter is tested using dataobtained from a sampledrawn from the population inquestion. If the resultobtained from the sample isinconsistent with thehypothesis being tested, we have toreject the hypothesisand vice versa.</w:t>
      </w:r>
    </w:p>
    <w:p>
      <w:pPr>
        <w:pStyle w:val="BodyText"/>
        <w:spacing w:line="480" w:lineRule="auto"/>
        <w:ind w:right="737"/>
        <w:jc w:val="both"/>
      </w:pPr>
      <w:r>
        <w:rPr/>
        <w:t>In testing the hypotheses, thet-statistics value in the ECMwas used. The t-statistics help to determine the individual significance of each of the parameter estimates at a given level of significance. The hypothesis is stated as follows:</w:t>
      </w:r>
    </w:p>
    <w:p>
      <w:pPr>
        <w:pStyle w:val="BodyText"/>
        <w:spacing w:before="161"/>
        <w:ind w:left="940"/>
        <w:jc w:val="both"/>
      </w:pPr>
      <w:r>
        <w:rPr>
          <w:b/>
          <w:position w:val="2"/>
        </w:rPr>
        <w:t>H</w:t>
      </w:r>
      <w:r>
        <w:rPr>
          <w:b/>
          <w:position w:val="1"/>
          <w:sz w:val="16"/>
        </w:rPr>
        <w:t>0</w:t>
      </w:r>
      <w:r>
        <w:rPr>
          <w:b/>
          <w:position w:val="2"/>
        </w:rPr>
        <w:t>:</w:t>
      </w:r>
      <w:r>
        <w:rPr>
          <w:b/>
          <w:spacing w:val="-5"/>
          <w:position w:val="2"/>
        </w:rPr>
        <w:t> </w:t>
      </w:r>
      <w:r>
        <w:rPr>
          <w:position w:val="2"/>
        </w:rPr>
        <w:t>β</w:t>
      </w:r>
      <w:r>
        <w:rPr>
          <w:sz w:val="16"/>
        </w:rPr>
        <w:t>i</w:t>
      </w:r>
      <w:r>
        <w:rPr>
          <w:spacing w:val="16"/>
          <w:sz w:val="16"/>
        </w:rPr>
        <w:t> </w:t>
      </w:r>
      <w:r>
        <w:rPr>
          <w:position w:val="2"/>
        </w:rPr>
        <w:t>=</w:t>
      </w:r>
      <w:r>
        <w:rPr>
          <w:spacing w:val="-5"/>
          <w:position w:val="2"/>
        </w:rPr>
        <w:t> </w:t>
      </w:r>
      <w:r>
        <w:rPr>
          <w:position w:val="2"/>
        </w:rPr>
        <w:t>0</w:t>
      </w:r>
      <w:r>
        <w:rPr>
          <w:spacing w:val="-5"/>
          <w:position w:val="2"/>
        </w:rPr>
        <w:t> </w:t>
      </w:r>
      <w:r>
        <w:rPr>
          <w:position w:val="2"/>
        </w:rPr>
        <w:t>(parameter</w:t>
      </w:r>
      <w:r>
        <w:rPr>
          <w:spacing w:val="-5"/>
          <w:position w:val="2"/>
        </w:rPr>
        <w:t> </w:t>
      </w:r>
      <w:r>
        <w:rPr>
          <w:position w:val="2"/>
        </w:rPr>
        <w:t>estimate</w:t>
      </w:r>
      <w:r>
        <w:rPr>
          <w:spacing w:val="-6"/>
          <w:position w:val="2"/>
        </w:rPr>
        <w:t> </w:t>
      </w:r>
      <w:r>
        <w:rPr>
          <w:position w:val="2"/>
        </w:rPr>
        <w:t>is</w:t>
      </w:r>
      <w:r>
        <w:rPr>
          <w:spacing w:val="-3"/>
          <w:position w:val="2"/>
        </w:rPr>
        <w:t> </w:t>
      </w:r>
      <w:r>
        <w:rPr>
          <w:position w:val="2"/>
        </w:rPr>
        <w:t>statistically</w:t>
      </w:r>
      <w:r>
        <w:rPr>
          <w:spacing w:val="-5"/>
          <w:position w:val="2"/>
        </w:rPr>
        <w:t> </w:t>
      </w:r>
      <w:r>
        <w:rPr>
          <w:spacing w:val="-2"/>
          <w:position w:val="2"/>
        </w:rPr>
        <w:t>insignificant)</w:t>
      </w:r>
    </w:p>
    <w:p>
      <w:pPr>
        <w:pStyle w:val="BodyText"/>
        <w:spacing w:before="141"/>
        <w:ind w:left="0"/>
      </w:pPr>
    </w:p>
    <w:p>
      <w:pPr>
        <w:pStyle w:val="BodyText"/>
        <w:ind w:left="940"/>
        <w:jc w:val="both"/>
      </w:pPr>
      <w:r>
        <w:rPr>
          <w:b/>
          <w:position w:val="2"/>
        </w:rPr>
        <w:t>H</w:t>
      </w:r>
      <w:r>
        <w:rPr>
          <w:b/>
          <w:position w:val="1"/>
          <w:sz w:val="16"/>
        </w:rPr>
        <w:t>1</w:t>
      </w:r>
      <w:r>
        <w:rPr>
          <w:b/>
          <w:position w:val="2"/>
        </w:rPr>
        <w:t>:</w:t>
      </w:r>
      <w:r>
        <w:rPr>
          <w:b/>
          <w:spacing w:val="-4"/>
          <w:position w:val="2"/>
        </w:rPr>
        <w:t> </w:t>
      </w:r>
      <w:r>
        <w:rPr>
          <w:position w:val="2"/>
        </w:rPr>
        <w:t>β</w:t>
      </w:r>
      <w:r>
        <w:rPr>
          <w:sz w:val="16"/>
        </w:rPr>
        <w:t>i</w:t>
      </w:r>
      <w:r>
        <w:rPr>
          <w:spacing w:val="52"/>
          <w:sz w:val="16"/>
        </w:rPr>
        <w:t> </w:t>
      </w:r>
      <w:r>
        <w:rPr>
          <w:rFonts w:ascii="Symbol" w:hAnsi="Symbol"/>
          <w:position w:val="2"/>
        </w:rPr>
        <w:t></w:t>
      </w:r>
      <w:r>
        <w:rPr>
          <w:spacing w:val="-11"/>
          <w:position w:val="2"/>
        </w:rPr>
        <w:t> </w:t>
      </w:r>
      <w:r>
        <w:rPr>
          <w:position w:val="2"/>
        </w:rPr>
        <w:t>0</w:t>
      </w:r>
      <w:r>
        <w:rPr>
          <w:spacing w:val="-5"/>
          <w:position w:val="2"/>
        </w:rPr>
        <w:t> </w:t>
      </w:r>
      <w:r>
        <w:rPr>
          <w:position w:val="2"/>
        </w:rPr>
        <w:t>(parameter</w:t>
      </w:r>
      <w:r>
        <w:rPr>
          <w:spacing w:val="-5"/>
          <w:position w:val="2"/>
        </w:rPr>
        <w:t> </w:t>
      </w:r>
      <w:r>
        <w:rPr>
          <w:position w:val="2"/>
        </w:rPr>
        <w:t>estimate</w:t>
      </w:r>
      <w:r>
        <w:rPr>
          <w:spacing w:val="-5"/>
          <w:position w:val="2"/>
        </w:rPr>
        <w:t> </w:t>
      </w:r>
      <w:r>
        <w:rPr>
          <w:position w:val="2"/>
        </w:rPr>
        <w:t>is</w:t>
      </w:r>
      <w:r>
        <w:rPr>
          <w:spacing w:val="-3"/>
          <w:position w:val="2"/>
        </w:rPr>
        <w:t> </w:t>
      </w:r>
      <w:r>
        <w:rPr>
          <w:position w:val="2"/>
        </w:rPr>
        <w:t>statistically</w:t>
      </w:r>
      <w:r>
        <w:rPr>
          <w:spacing w:val="-5"/>
          <w:position w:val="2"/>
        </w:rPr>
        <w:t> </w:t>
      </w:r>
      <w:r>
        <w:rPr>
          <w:spacing w:val="-2"/>
          <w:position w:val="2"/>
        </w:rPr>
        <w:t>significant).</w:t>
      </w:r>
    </w:p>
    <w:p>
      <w:pPr>
        <w:pStyle w:val="BodyText"/>
        <w:spacing w:before="91"/>
        <w:ind w:left="0"/>
        <w:rPr>
          <w:sz w:val="20"/>
        </w:rPr>
      </w:pPr>
    </w:p>
    <w:p>
      <w:pPr>
        <w:spacing w:after="0"/>
        <w:rPr>
          <w:sz w:val="20"/>
        </w:rPr>
        <w:sectPr>
          <w:pgSz w:w="12240" w:h="15840"/>
          <w:pgMar w:header="0" w:footer="1012" w:top="1380" w:bottom="1200" w:left="1220" w:right="700"/>
        </w:sectPr>
      </w:pPr>
    </w:p>
    <w:p>
      <w:pPr>
        <w:pStyle w:val="BodyText"/>
        <w:spacing w:before="128"/>
      </w:pPr>
      <w:r>
        <w:rPr/>
        <w:t>The</w:t>
      </w:r>
      <w:r>
        <w:rPr>
          <w:spacing w:val="65"/>
        </w:rPr>
        <w:t> </w:t>
      </w:r>
      <w:r>
        <w:rPr/>
        <w:t>critical</w:t>
      </w:r>
      <w:r>
        <w:rPr>
          <w:spacing w:val="65"/>
        </w:rPr>
        <w:t> </w:t>
      </w:r>
      <w:r>
        <w:rPr/>
        <w:t>value</w:t>
      </w:r>
      <w:r>
        <w:rPr>
          <w:spacing w:val="65"/>
        </w:rPr>
        <w:t> </w:t>
      </w:r>
      <w:r>
        <w:rPr/>
        <w:t>for</w:t>
      </w:r>
      <w:r>
        <w:rPr>
          <w:spacing w:val="62"/>
        </w:rPr>
        <w:t> </w:t>
      </w:r>
      <w:r>
        <w:rPr/>
        <w:t>a</w:t>
      </w:r>
      <w:r>
        <w:rPr>
          <w:spacing w:val="65"/>
        </w:rPr>
        <w:t> </w:t>
      </w:r>
      <w:r>
        <w:rPr/>
        <w:t>two-tailed</w:t>
      </w:r>
      <w:r>
        <w:rPr>
          <w:spacing w:val="66"/>
        </w:rPr>
        <w:t> </w:t>
      </w:r>
      <w:r>
        <w:rPr/>
        <w:t>test</w:t>
      </w:r>
      <w:r>
        <w:rPr>
          <w:spacing w:val="66"/>
        </w:rPr>
        <w:t> </w:t>
      </w:r>
      <w:r>
        <w:rPr/>
        <w:t>is</w:t>
      </w:r>
      <w:r>
        <w:rPr>
          <w:spacing w:val="67"/>
        </w:rPr>
        <w:t> </w:t>
      </w:r>
      <w:r>
        <w:rPr/>
        <w:t>obtained</w:t>
      </w:r>
      <w:r>
        <w:rPr>
          <w:spacing w:val="65"/>
        </w:rPr>
        <w:t> </w:t>
      </w:r>
      <w:r>
        <w:rPr/>
        <w:t>from</w:t>
      </w:r>
      <w:r>
        <w:rPr>
          <w:spacing w:val="66"/>
        </w:rPr>
        <w:t> </w:t>
      </w:r>
      <w:r>
        <w:rPr/>
        <w:t>the</w:t>
      </w:r>
      <w:r>
        <w:rPr>
          <w:spacing w:val="66"/>
        </w:rPr>
        <w:t> </w:t>
      </w:r>
      <w:r>
        <w:rPr/>
        <w:t>t-table</w:t>
      </w:r>
      <w:r>
        <w:rPr>
          <w:spacing w:val="63"/>
        </w:rPr>
        <w:t> </w:t>
      </w:r>
      <w:r>
        <w:rPr>
          <w:spacing w:val="-5"/>
        </w:rPr>
        <w:t>for</w:t>
      </w:r>
    </w:p>
    <w:p>
      <w:pPr>
        <w:spacing w:before="99"/>
        <w:ind w:left="111" w:right="0" w:firstLine="0"/>
        <w:jc w:val="left"/>
        <w:rPr>
          <w:sz w:val="24"/>
        </w:rPr>
      </w:pPr>
      <w:r>
        <w:rPr/>
        <w:br w:type="column"/>
      </w:r>
      <w:r>
        <w:rPr>
          <w:rFonts w:ascii="Symbol" w:hAnsi="Symbol"/>
          <w:sz w:val="26"/>
        </w:rPr>
        <w:t></w:t>
      </w:r>
      <w:r>
        <w:rPr>
          <w:spacing w:val="3"/>
          <w:sz w:val="26"/>
        </w:rPr>
        <w:t> </w:t>
      </w:r>
      <w:r>
        <w:rPr>
          <w:spacing w:val="23"/>
          <w:sz w:val="24"/>
        </w:rPr>
        <w:t>/2 </w:t>
      </w:r>
    </w:p>
    <w:p>
      <w:pPr>
        <w:pStyle w:val="BodyText"/>
        <w:spacing w:before="128"/>
        <w:ind w:left="66"/>
      </w:pPr>
      <w:r>
        <w:rPr/>
        <w:br w:type="column"/>
      </w:r>
      <w:r>
        <w:rPr/>
        <w:t>level</w:t>
      </w:r>
      <w:r>
        <w:rPr>
          <w:spacing w:val="65"/>
        </w:rPr>
        <w:t> </w:t>
      </w:r>
      <w:r>
        <w:rPr>
          <w:spacing w:val="-5"/>
        </w:rPr>
        <w:t>of</w:t>
      </w:r>
    </w:p>
    <w:p>
      <w:pPr>
        <w:spacing w:after="0"/>
        <w:sectPr>
          <w:type w:val="continuous"/>
          <w:pgSz w:w="12240" w:h="15840"/>
          <w:pgMar w:header="0" w:footer="1012" w:top="1440" w:bottom="1200" w:left="1220" w:right="700"/>
          <w:cols w:num="3" w:equalWidth="0">
            <w:col w:w="7958" w:space="40"/>
            <w:col w:w="653" w:space="39"/>
            <w:col w:w="1630"/>
          </w:cols>
        </w:sectPr>
      </w:pPr>
    </w:p>
    <w:p>
      <w:pPr>
        <w:pStyle w:val="BodyText"/>
        <w:spacing w:before="11"/>
        <w:ind w:left="0"/>
        <w:rPr>
          <w:sz w:val="13"/>
        </w:rPr>
      </w:pPr>
    </w:p>
    <w:p>
      <w:pPr>
        <w:spacing w:after="0"/>
        <w:rPr>
          <w:sz w:val="13"/>
        </w:rPr>
        <w:sectPr>
          <w:type w:val="continuous"/>
          <w:pgSz w:w="12240" w:h="15840"/>
          <w:pgMar w:header="0" w:footer="1012" w:top="1440" w:bottom="1200" w:left="1220" w:right="700"/>
        </w:sectPr>
      </w:pPr>
    </w:p>
    <w:p>
      <w:pPr>
        <w:pStyle w:val="BodyText"/>
        <w:spacing w:before="128"/>
      </w:pPr>
      <w:r>
        <w:rPr/>
        <w:t>significance</w:t>
      </w:r>
      <w:r>
        <w:rPr>
          <w:spacing w:val="25"/>
        </w:rPr>
        <w:t> </w:t>
      </w:r>
      <w:r>
        <w:rPr/>
        <w:t>with</w:t>
      </w:r>
      <w:r>
        <w:rPr>
          <w:spacing w:val="26"/>
        </w:rPr>
        <w:t> </w:t>
      </w:r>
      <w:r>
        <w:rPr/>
        <w:t>(n-k)</w:t>
      </w:r>
      <w:r>
        <w:rPr>
          <w:spacing w:val="24"/>
        </w:rPr>
        <w:t> </w:t>
      </w:r>
      <w:r>
        <w:rPr/>
        <w:t>degree</w:t>
      </w:r>
      <w:r>
        <w:rPr>
          <w:spacing w:val="25"/>
        </w:rPr>
        <w:t> </w:t>
      </w:r>
      <w:r>
        <w:rPr/>
        <w:t>of</w:t>
      </w:r>
      <w:r>
        <w:rPr>
          <w:spacing w:val="27"/>
        </w:rPr>
        <w:t> </w:t>
      </w:r>
      <w:r>
        <w:rPr/>
        <w:t>freedom</w:t>
      </w:r>
      <w:r>
        <w:rPr>
          <w:spacing w:val="26"/>
        </w:rPr>
        <w:t> </w:t>
      </w:r>
      <w:r>
        <w:rPr/>
        <w:t>(df).</w:t>
      </w:r>
      <w:r>
        <w:rPr>
          <w:spacing w:val="23"/>
        </w:rPr>
        <w:t> </w:t>
      </w:r>
      <w:r>
        <w:rPr/>
        <w:t>Where</w:t>
      </w:r>
      <w:r>
        <w:rPr>
          <w:spacing w:val="25"/>
        </w:rPr>
        <w:t> </w:t>
      </w:r>
      <w:r>
        <w:rPr/>
        <w:t>α</w:t>
      </w:r>
      <w:r>
        <w:rPr>
          <w:spacing w:val="27"/>
        </w:rPr>
        <w:t> </w:t>
      </w:r>
      <w:r>
        <w:rPr/>
        <w:t>=</w:t>
      </w:r>
      <w:r>
        <w:rPr>
          <w:spacing w:val="25"/>
        </w:rPr>
        <w:t> </w:t>
      </w:r>
      <w:r>
        <w:rPr/>
        <w:t>5%</w:t>
      </w:r>
      <w:r>
        <w:rPr>
          <w:spacing w:val="24"/>
        </w:rPr>
        <w:t> </w:t>
      </w:r>
      <w:r>
        <w:rPr/>
        <w:t>=</w:t>
      </w:r>
      <w:r>
        <w:rPr>
          <w:spacing w:val="25"/>
        </w:rPr>
        <w:t> </w:t>
      </w:r>
      <w:r>
        <w:rPr>
          <w:spacing w:val="-2"/>
        </w:rPr>
        <w:t>0.05;</w:t>
      </w:r>
    </w:p>
    <w:p>
      <w:pPr>
        <w:spacing w:before="100"/>
        <w:ind w:left="76" w:right="0" w:firstLine="0"/>
        <w:jc w:val="left"/>
        <w:rPr>
          <w:sz w:val="25"/>
        </w:rPr>
      </w:pPr>
      <w:r>
        <w:rPr/>
        <w:br w:type="column"/>
      </w:r>
      <w:r>
        <w:rPr>
          <w:rFonts w:ascii="Symbol" w:hAnsi="Symbol"/>
          <w:sz w:val="26"/>
        </w:rPr>
        <w:t></w:t>
      </w:r>
      <w:r>
        <w:rPr>
          <w:spacing w:val="6"/>
          <w:sz w:val="26"/>
        </w:rPr>
        <w:t> </w:t>
      </w:r>
      <w:r>
        <w:rPr>
          <w:spacing w:val="28"/>
          <w:sz w:val="24"/>
        </w:rPr>
        <w:t>/2</w:t>
      </w:r>
      <w:r>
        <w:rPr>
          <w:spacing w:val="60"/>
          <w:sz w:val="24"/>
        </w:rPr>
        <w:t> </w:t>
      </w:r>
      <w:r>
        <w:rPr>
          <w:sz w:val="25"/>
        </w:rPr>
        <w:t>=</w:t>
      </w:r>
      <w:r>
        <w:rPr>
          <w:spacing w:val="29"/>
          <w:sz w:val="25"/>
        </w:rPr>
        <w:t> </w:t>
      </w:r>
      <w:r>
        <w:rPr>
          <w:sz w:val="25"/>
        </w:rPr>
        <w:t>0.025,</w:t>
      </w:r>
      <w:r>
        <w:rPr>
          <w:spacing w:val="28"/>
          <w:sz w:val="25"/>
        </w:rPr>
        <w:t> </w:t>
      </w:r>
      <w:r>
        <w:rPr>
          <w:sz w:val="25"/>
        </w:rPr>
        <w:t>k</w:t>
      </w:r>
      <w:r>
        <w:rPr>
          <w:spacing w:val="27"/>
          <w:sz w:val="25"/>
        </w:rPr>
        <w:t> </w:t>
      </w:r>
      <w:r>
        <w:rPr>
          <w:spacing w:val="-10"/>
          <w:sz w:val="25"/>
        </w:rPr>
        <w:t>=</w:t>
      </w:r>
    </w:p>
    <w:p>
      <w:pPr>
        <w:spacing w:after="0"/>
        <w:jc w:val="left"/>
        <w:rPr>
          <w:sz w:val="25"/>
        </w:rPr>
        <w:sectPr>
          <w:type w:val="continuous"/>
          <w:pgSz w:w="12240" w:h="15840"/>
          <w:pgMar w:header="0" w:footer="1012" w:top="1440" w:bottom="1200" w:left="1220" w:right="700"/>
          <w:cols w:num="2" w:equalWidth="0">
            <w:col w:w="7551" w:space="40"/>
            <w:col w:w="2729"/>
          </w:cols>
        </w:sectPr>
      </w:pPr>
    </w:p>
    <w:p>
      <w:pPr>
        <w:pStyle w:val="BodyText"/>
        <w:spacing w:line="480" w:lineRule="auto" w:before="60"/>
        <w:ind w:right="740"/>
        <w:jc w:val="both"/>
      </w:pPr>
      <w:r>
        <w:rPr/>
        <w:t>number of parameters including the intercept in the regression, n = number of observation. </w:t>
      </w:r>
      <w:r>
        <w:rPr>
          <w:position w:val="2"/>
        </w:rPr>
        <w:t>Decision Rule: if /t</w:t>
      </w:r>
      <w:r>
        <w:rPr>
          <w:sz w:val="16"/>
        </w:rPr>
        <w:t>cal</w:t>
      </w:r>
      <w:r>
        <w:rPr>
          <w:position w:val="2"/>
        </w:rPr>
        <w:t>/ &gt; t</w:t>
      </w:r>
      <w:r>
        <w:rPr>
          <w:sz w:val="16"/>
        </w:rPr>
        <w:t>0.025</w:t>
      </w:r>
      <w:r>
        <w:rPr>
          <w:spacing w:val="34"/>
          <w:sz w:val="16"/>
        </w:rPr>
        <w:t> </w:t>
      </w:r>
      <w:r>
        <w:rPr>
          <w:position w:val="2"/>
        </w:rPr>
        <w:t>(n-k), we reject H</w:t>
      </w:r>
      <w:r>
        <w:rPr>
          <w:sz w:val="16"/>
        </w:rPr>
        <w:t>0</w:t>
      </w:r>
      <w:r>
        <w:rPr>
          <w:position w:val="2"/>
        </w:rPr>
        <w:t>, otherwise we accept it.</w:t>
      </w:r>
    </w:p>
    <w:p>
      <w:pPr>
        <w:pStyle w:val="BodyText"/>
        <w:spacing w:before="160"/>
        <w:ind w:left="0"/>
      </w:pPr>
    </w:p>
    <w:p>
      <w:pPr>
        <w:pStyle w:val="Heading2"/>
        <w:numPr>
          <w:ilvl w:val="1"/>
          <w:numId w:val="22"/>
        </w:numPr>
        <w:tabs>
          <w:tab w:pos="593" w:val="left" w:leader="none"/>
        </w:tabs>
        <w:spacing w:line="240" w:lineRule="auto" w:before="0" w:after="0"/>
        <w:ind w:left="593" w:right="0" w:hanging="373"/>
        <w:jc w:val="left"/>
      </w:pPr>
      <w:r>
        <w:rPr/>
        <mc:AlternateContent>
          <mc:Choice Requires="wps">
            <w:drawing>
              <wp:anchor distT="0" distB="0" distL="0" distR="0" allowOverlap="1" layoutInCell="1" locked="0" behindDoc="1" simplePos="0" relativeHeight="478093312">
                <wp:simplePos x="0" y="0"/>
                <wp:positionH relativeFrom="page">
                  <wp:posOffset>950112</wp:posOffset>
                </wp:positionH>
                <wp:positionV relativeFrom="paragraph">
                  <wp:posOffset>268280</wp:posOffset>
                </wp:positionV>
                <wp:extent cx="5505450" cy="5661025"/>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21.124462pt;width:433.5pt;height:445.75pt;mso-position-horizontal-relative:page;mso-position-vertical-relative:paragraph;z-index:-25223168" id="docshape181" coordorigin="1496,422" coordsize="8670,8915" path="m2562,9142l1691,8271,1496,8466,2367,9337,2562,9142xm3154,8466l3153,8427,3148,8384,3139,8340,3125,8296,3106,8253,3083,8209,3055,8167,3025,8126,2991,8086,2954,8047,2435,7527,2241,7721,2772,8253,2805,8289,2829,8325,2846,8359,2856,8393,2858,8426,2851,8457,2837,8485,2816,8511,2790,8533,2761,8547,2730,8553,2697,8551,2663,8541,2628,8525,2593,8500,2557,8468,2026,7937,1831,8131,2351,8650,2385,8682,2424,8715,2468,8747,2516,8780,2548,8799,2583,8814,2620,8827,2658,8838,2697,8846,2733,8850,2767,8850,2800,8847,2831,8840,2863,8828,2895,8812,2926,8791,2957,8768,2985,8745,3011,8722,3035,8699,3071,8659,3102,8619,3125,8577,3142,8535,3150,8502,3154,8466xm3882,7683l3876,7619,3860,7553,3834,7486,3806,7432,3771,7376,3728,7319,3678,7260,3661,7241,3621,7199,3597,7177,3597,7671,3592,7711,3577,7748,3551,7781,3518,7806,3481,7821,3441,7826,3396,7819,3347,7801,3294,7770,3235,7725,3171,7666,3112,7602,3066,7543,3035,7488,3016,7439,3010,7395,3014,7354,3029,7319,3053,7287,3086,7261,3122,7246,3163,7241,3207,7246,3255,7263,3307,7293,3363,7335,3423,7390,3488,7460,3538,7523,3572,7579,3591,7627,3597,7671,3597,7177,3551,7134,3482,7079,3413,7034,3344,6998,3276,6973,3209,6957,3130,6951,3055,6961,2983,6987,2914,7027,2850,7083,2796,7146,2756,7214,2732,7286,2723,7361,2729,7441,2746,7509,2772,7578,2808,7648,2854,7718,2910,7788,2976,7859,3036,7916,3096,7966,3156,8008,3215,8043,3273,8070,3344,8094,3411,8108,3475,8111,3535,8105,3593,8089,3649,8062,3705,8024,3758,7976,3805,7922,3841,7866,3858,7826,3866,7807,3879,7746,3882,7683xm4153,7103l3966,6916,3712,7170,3899,7357,4153,7103xm4664,7041l3793,6169,3598,6364,4469,7236,4664,7041xm4998,6706l4675,6383,4781,6276,4832,6217,4837,6207,4866,6155,4883,6092,4882,6027,4866,5961,4843,5911,4836,5896,4792,5830,4733,5764,4670,5707,4607,5664,4598,5659,4598,6052,4597,6078,4587,6104,4570,6131,4546,6159,4498,6207,4304,6012,4359,5957,4386,5933,4412,5918,4438,5911,4462,5911,4486,5918,4509,5928,4531,5942,4552,5961,4570,5982,4584,6005,4593,6028,4598,6052,4598,5659,4544,5634,4483,5618,4423,5617,4365,5632,4309,5662,4255,5707,3931,6031,4803,6902,4998,6706xm5788,5917l5132,5261,5330,5062,5115,4847,4524,5439,4739,5654,4937,5455,5593,6111,5788,5917xm6423,5281l5767,4625,5966,4427,5751,4212,5159,4803,5374,5018,5573,4820,6229,5476,6423,5281xm7157,4408l7151,4344,7135,4278,7109,4211,7081,4157,7046,4101,7003,4044,6953,3985,6935,3966,6896,3924,6872,3902,6872,4396,6867,4436,6851,4473,6825,4506,6793,4532,6756,4546,6716,4551,6671,4544,6622,4526,6569,4495,6510,4450,6446,4391,6387,4327,6341,4268,6309,4213,6291,4164,6285,4120,6289,4080,6304,4044,6328,4012,6361,3987,6397,3971,6438,3966,6482,3971,6530,3988,6582,4018,6638,4060,6698,4115,6763,4185,6813,4248,6847,4304,6866,4352,6872,4396,6872,3902,6826,3859,6756,3804,6687,3759,6619,3724,6551,3698,6483,3682,6405,3677,6329,3687,6258,3712,6189,3752,6125,3808,6071,3871,6031,3939,6007,4011,5998,4086,6004,4166,6021,4234,6047,4303,6083,4373,6129,4443,6184,4513,6250,4584,6311,4641,6371,4691,6431,4733,6490,4768,6548,4795,6619,4819,6686,4833,6750,4837,6810,4830,6868,4814,6924,4787,6979,4749,7033,4701,7080,4647,7116,4591,7133,4551,7141,4532,7154,4471,7157,4408xm8170,3413l8165,3364,8153,3313,8134,3260,8109,3206,8079,3150,8041,3093,7980,3118,7799,3192,7831,3239,7855,3282,7873,3322,7884,3359,7887,3395,7881,3428,7866,3459,7843,3488,7812,3512,7778,3526,7740,3530,7700,3523,7653,3505,7600,3471,7538,3421,7469,3357,7417,3300,7375,3248,7344,3201,7324,3158,7311,3107,7312,3060,7325,3019,7352,2983,7367,2970,7384,2960,7402,2952,7422,2947,7442,2945,7464,2945,7486,2949,7509,2955,7524,2961,7542,2969,7563,2980,7586,2994,7705,2769,7622,2723,7543,2691,7469,2672,7400,2666,7333,2673,7269,2696,7206,2734,7146,2786,7092,2849,7054,2916,7030,2986,7021,3060,7027,3137,7044,3204,7070,3272,7106,3341,7153,3411,7209,3482,7276,3553,7341,3614,7404,3666,7467,3710,7529,3745,7590,3773,7662,3796,7730,3809,7791,3812,7847,3805,7900,3788,7952,3762,8004,3725,8056,3678,8094,3636,8125,3593,8147,3549,8161,3505,8169,3460,8170,3413xm8868,2697l8861,2633,8846,2568,8820,2501,8792,2446,8757,2390,8714,2333,8664,2274,8646,2255,8607,2213,8583,2191,8583,2685,8578,2725,8562,2762,8536,2795,8504,2821,8467,2836,8427,2840,8382,2834,8333,2816,8279,2784,8221,2739,8157,2680,8098,2616,8052,2557,8020,2503,8002,2454,7996,2409,8000,2369,8014,2333,8039,2301,8071,2276,8108,2260,8149,2255,8193,2260,8241,2277,8293,2307,8349,2349,8409,2404,8474,2474,8524,2537,8558,2593,8577,2642,8583,2685,8583,2191,8537,2148,8467,2093,8398,2048,8330,2013,8262,1987,8194,1971,8116,1966,8040,1976,7968,2001,7900,2042,7835,2097,7781,2161,7742,2228,7718,2300,7709,2376,7715,2455,7731,2524,7758,2593,7794,2662,7839,2732,7895,2802,7961,2873,8022,2930,8082,2980,8142,3022,8201,3057,8259,3084,8329,3109,8397,3122,8461,3126,8521,3119,8579,3103,8635,3076,8690,3038,8744,2990,8791,2936,8827,2880,8844,2840,8852,2821,8865,2760,8868,2697xm9348,2356l9025,2033,9132,1926,9182,1866,9188,1856,9216,1805,9233,1742,9233,1677,9217,1611,9194,1560,9187,1545,9142,1479,9084,1413,9020,1356,8957,1313,8948,1309,8948,1702,8947,1728,8938,1754,8921,1781,8896,1809,8849,1856,8654,1662,8710,1607,8737,1583,8763,1568,8788,1560,8812,1561,8836,1567,8859,1578,8881,1592,8902,1611,8920,1632,8934,1655,8943,1678,8948,1702,8948,1309,8895,1284,8833,1268,8773,1267,8715,1282,8659,1312,8605,1357,8282,1680,9153,2552,9348,2356xm10166,1538l9801,1174,9748,1024,9593,572,9540,422,9325,638,9353,708,9436,919,9492,1059,9422,1031,9211,948,9071,892,8854,1108,9005,1161,9456,1316,9606,1369,9971,1733,10166,1538xe" filled="true" fillcolor="#c0c0c0" stroked="false">
                <v:path arrowok="t"/>
                <v:fill opacity="32896f" type="solid"/>
                <w10:wrap type="none"/>
              </v:shape>
            </w:pict>
          </mc:Fallback>
        </mc:AlternateContent>
      </w:r>
      <w:bookmarkStart w:name="_TOC_250024" w:id="51"/>
      <w:r>
        <w:rPr/>
        <w:t>Model</w:t>
      </w:r>
      <w:r>
        <w:rPr>
          <w:spacing w:val="-8"/>
        </w:rPr>
        <w:t> </w:t>
      </w:r>
      <w:bookmarkEnd w:id="51"/>
      <w:r>
        <w:rPr>
          <w:spacing w:val="-2"/>
        </w:rPr>
        <w:t>Specification</w:t>
      </w:r>
    </w:p>
    <w:p>
      <w:pPr>
        <w:pStyle w:val="BodyText"/>
        <w:spacing w:before="159"/>
        <w:ind w:left="0"/>
        <w:rPr>
          <w:b/>
        </w:rPr>
      </w:pPr>
    </w:p>
    <w:p>
      <w:pPr>
        <w:pStyle w:val="BodyText"/>
        <w:spacing w:line="480" w:lineRule="auto"/>
        <w:ind w:right="737"/>
        <w:jc w:val="both"/>
      </w:pPr>
      <w:r>
        <w:rPr/>
        <w:t>The</w:t>
      </w:r>
      <w:r>
        <w:rPr>
          <w:spacing w:val="-3"/>
        </w:rPr>
        <w:t> </w:t>
      </w:r>
      <w:r>
        <w:rPr/>
        <w:t>specificationof</w:t>
      </w:r>
      <w:r>
        <w:rPr>
          <w:spacing w:val="-3"/>
        </w:rPr>
        <w:t> </w:t>
      </w:r>
      <w:r>
        <w:rPr/>
        <w:t>the models</w:t>
      </w:r>
      <w:r>
        <w:rPr>
          <w:spacing w:val="-2"/>
        </w:rPr>
        <w:t> </w:t>
      </w:r>
      <w:r>
        <w:rPr/>
        <w:t>for</w:t>
      </w:r>
      <w:r>
        <w:rPr>
          <w:spacing w:val="-2"/>
        </w:rPr>
        <w:t> </w:t>
      </w:r>
      <w:r>
        <w:rPr/>
        <w:t>thiswork</w:t>
      </w:r>
      <w:r>
        <w:rPr>
          <w:spacing w:val="-3"/>
        </w:rPr>
        <w:t> </w:t>
      </w:r>
      <w:r>
        <w:rPr/>
        <w:t>is</w:t>
      </w:r>
      <w:r>
        <w:rPr>
          <w:spacing w:val="-2"/>
        </w:rPr>
        <w:t> </w:t>
      </w:r>
      <w:r>
        <w:rPr/>
        <w:t>based</w:t>
      </w:r>
      <w:r>
        <w:rPr>
          <w:spacing w:val="-3"/>
        </w:rPr>
        <w:t> </w:t>
      </w:r>
      <w:r>
        <w:rPr/>
        <w:t>on</w:t>
      </w:r>
      <w:r>
        <w:rPr>
          <w:spacing w:val="-3"/>
        </w:rPr>
        <w:t> </w:t>
      </w:r>
      <w:r>
        <w:rPr/>
        <w:t>the</w:t>
      </w:r>
      <w:r>
        <w:rPr>
          <w:spacing w:val="-1"/>
        </w:rPr>
        <w:t> </w:t>
      </w:r>
      <w:r>
        <w:rPr/>
        <w:t>objective</w:t>
      </w:r>
      <w:r>
        <w:rPr>
          <w:spacing w:val="-3"/>
        </w:rPr>
        <w:t> </w:t>
      </w:r>
      <w:r>
        <w:rPr/>
        <w:t>of the</w:t>
      </w:r>
      <w:r>
        <w:rPr>
          <w:spacing w:val="-3"/>
        </w:rPr>
        <w:t> </w:t>
      </w:r>
      <w:r>
        <w:rPr/>
        <w:t>study.</w:t>
      </w:r>
      <w:r>
        <w:rPr>
          <w:spacing w:val="-3"/>
        </w:rPr>
        <w:t> </w:t>
      </w:r>
      <w:r>
        <w:rPr/>
        <w:t>The</w:t>
      </w:r>
      <w:r>
        <w:rPr>
          <w:spacing w:val="-3"/>
        </w:rPr>
        <w:t> </w:t>
      </w:r>
      <w:r>
        <w:rPr/>
        <w:t>model measures the effect of</w:t>
      </w:r>
      <w:r>
        <w:rPr>
          <w:spacing w:val="-2"/>
        </w:rPr>
        <w:t> </w:t>
      </w:r>
      <w:r>
        <w:rPr/>
        <w:t>financialintegration on economic growth inNigeria. The study adopted the model of Olaniyi (2013). Theirmodel is stated below:</w:t>
      </w:r>
    </w:p>
    <w:p>
      <w:pPr>
        <w:pStyle w:val="BodyText"/>
        <w:spacing w:line="293" w:lineRule="exact"/>
        <w:jc w:val="both"/>
      </w:pPr>
      <w:r>
        <w:rPr/>
        <w:t>GDPC</w:t>
      </w:r>
      <w:r>
        <w:rPr>
          <w:spacing w:val="-5"/>
        </w:rPr>
        <w:t> </w:t>
      </w:r>
      <w:r>
        <w:rPr/>
        <w:t>=</w:t>
      </w:r>
      <w:r>
        <w:rPr>
          <w:spacing w:val="-3"/>
        </w:rPr>
        <w:t> </w:t>
      </w:r>
      <w:r>
        <w:rPr>
          <w:rFonts w:ascii="Cambria Math" w:hAnsi="Cambria Math" w:cs="Cambria Math" w:eastAsia="Cambria Math"/>
        </w:rPr>
        <w:t>ϰ</w:t>
      </w:r>
      <w:r>
        <w:rPr/>
        <w:t>0</w:t>
      </w:r>
      <w:r>
        <w:rPr>
          <w:spacing w:val="-4"/>
        </w:rPr>
        <w:t> </w:t>
      </w:r>
      <w:r>
        <w:rPr/>
        <w:t>+</w:t>
      </w:r>
      <w:r>
        <w:rPr>
          <w:spacing w:val="-3"/>
        </w:rPr>
        <w:t> </w:t>
      </w:r>
      <w:r>
        <w:rPr>
          <w:rFonts w:ascii="Cambria Math" w:hAnsi="Cambria Math" w:cs="Cambria Math" w:eastAsia="Cambria Math"/>
        </w:rPr>
        <w:t>ϰ</w:t>
      </w:r>
      <w:r>
        <w:rPr/>
        <w:t>1</w:t>
      </w:r>
      <w:r>
        <w:rPr>
          <w:spacing w:val="-1"/>
        </w:rPr>
        <w:t> </w:t>
      </w:r>
      <w:r>
        <w:rPr/>
        <w:t>FI1</w:t>
      </w:r>
      <w:r>
        <w:rPr>
          <w:spacing w:val="-4"/>
        </w:rPr>
        <w:t> </w:t>
      </w:r>
      <w:r>
        <w:rPr/>
        <w:t>+</w:t>
      </w:r>
      <w:r>
        <w:rPr>
          <w:spacing w:val="-2"/>
        </w:rPr>
        <w:t> </w:t>
      </w:r>
      <w:r>
        <w:rPr>
          <w:rFonts w:ascii="Cambria Math" w:hAnsi="Cambria Math" w:cs="Cambria Math" w:eastAsia="Cambria Math"/>
        </w:rPr>
        <w:t>ϰ</w:t>
      </w:r>
      <w:r>
        <w:rPr/>
        <w:t>2</w:t>
      </w:r>
      <w:r>
        <w:rPr>
          <w:spacing w:val="-4"/>
        </w:rPr>
        <w:t> </w:t>
      </w:r>
      <w:r>
        <w:rPr/>
        <w:t>FI2</w:t>
      </w:r>
      <w:r>
        <w:rPr>
          <w:spacing w:val="-4"/>
        </w:rPr>
        <w:t> </w:t>
      </w:r>
      <w:r>
        <w:rPr/>
        <w:t>+</w:t>
      </w:r>
      <w:r>
        <w:rPr>
          <w:spacing w:val="-2"/>
        </w:rPr>
        <w:t> </w:t>
      </w:r>
      <w:r>
        <w:rPr>
          <w:rFonts w:ascii="Cambria Math" w:hAnsi="Cambria Math" w:cs="Cambria Math" w:eastAsia="Cambria Math"/>
        </w:rPr>
        <w:t>ϰ</w:t>
      </w:r>
      <w:r>
        <w:rPr/>
        <w:t>3</w:t>
      </w:r>
      <w:r>
        <w:rPr>
          <w:spacing w:val="-3"/>
        </w:rPr>
        <w:t> </w:t>
      </w:r>
      <w:r>
        <w:rPr>
          <w:spacing w:val="-5"/>
        </w:rPr>
        <w:t>TD</w:t>
      </w:r>
    </w:p>
    <w:p>
      <w:pPr>
        <w:pStyle w:val="BodyText"/>
        <w:spacing w:before="7"/>
        <w:ind w:left="0"/>
      </w:pPr>
    </w:p>
    <w:p>
      <w:pPr>
        <w:pStyle w:val="BodyText"/>
        <w:spacing w:line="480" w:lineRule="auto"/>
        <w:ind w:right="3626"/>
      </w:pPr>
      <w:r>
        <w:rPr/>
        <w:t>FI1</w:t>
      </w:r>
      <w:r>
        <w:rPr>
          <w:spacing w:val="-5"/>
        </w:rPr>
        <w:t> </w:t>
      </w:r>
      <w:r>
        <w:rPr/>
        <w:t>=</w:t>
      </w:r>
      <w:r>
        <w:rPr>
          <w:spacing w:val="-4"/>
        </w:rPr>
        <w:t> </w:t>
      </w:r>
      <w:r>
        <w:rPr/>
        <w:t>Net</w:t>
      </w:r>
      <w:r>
        <w:rPr>
          <w:spacing w:val="-5"/>
        </w:rPr>
        <w:t> </w:t>
      </w:r>
      <w:r>
        <w:rPr/>
        <w:t>capital</w:t>
      </w:r>
      <w:r>
        <w:rPr>
          <w:spacing w:val="-5"/>
        </w:rPr>
        <w:t> </w:t>
      </w:r>
      <w:r>
        <w:rPr/>
        <w:t>inflow</w:t>
      </w:r>
      <w:r>
        <w:rPr>
          <w:spacing w:val="-2"/>
        </w:rPr>
        <w:t> </w:t>
      </w:r>
      <w:r>
        <w:rPr/>
        <w:t>to</w:t>
      </w:r>
      <w:r>
        <w:rPr>
          <w:spacing w:val="-5"/>
        </w:rPr>
        <w:t> </w:t>
      </w:r>
      <w:r>
        <w:rPr/>
        <w:t>GDP</w:t>
      </w:r>
      <w:r>
        <w:rPr>
          <w:spacing w:val="-5"/>
        </w:rPr>
        <w:t> </w:t>
      </w:r>
      <w:r>
        <w:rPr/>
        <w:t>(proxy</w:t>
      </w:r>
      <w:r>
        <w:rPr>
          <w:spacing w:val="-5"/>
        </w:rPr>
        <w:t> </w:t>
      </w:r>
      <w:r>
        <w:rPr/>
        <w:t>forfinancial</w:t>
      </w:r>
      <w:r>
        <w:rPr>
          <w:spacing w:val="-5"/>
        </w:rPr>
        <w:t> </w:t>
      </w:r>
      <w:r>
        <w:rPr/>
        <w:t>integration) FI2 = Net FDI inflow to GDP (proxy forfinancial integration) TD = Trade openness</w:t>
      </w:r>
    </w:p>
    <w:p>
      <w:pPr>
        <w:spacing w:line="482" w:lineRule="auto" w:before="0"/>
        <w:ind w:left="220" w:right="804" w:firstLine="0"/>
        <w:jc w:val="left"/>
        <w:rPr>
          <w:sz w:val="25"/>
        </w:rPr>
      </w:pPr>
      <w:r>
        <w:rPr>
          <w:b/>
          <w:sz w:val="25"/>
        </w:rPr>
        <w:t>The model was adopted and modified. </w:t>
      </w:r>
      <w:r>
        <w:rPr>
          <w:sz w:val="25"/>
        </w:rPr>
        <w:t>Thefunctional form of the modelused in this study</w:t>
      </w:r>
      <w:r>
        <w:rPr>
          <w:spacing w:val="40"/>
          <w:sz w:val="25"/>
        </w:rPr>
        <w:t> </w:t>
      </w:r>
      <w:r>
        <w:rPr>
          <w:sz w:val="25"/>
        </w:rPr>
        <w:t>is specified asfollows:</w:t>
      </w:r>
    </w:p>
    <w:p>
      <w:pPr>
        <w:pStyle w:val="BodyText"/>
        <w:spacing w:line="284" w:lineRule="exact"/>
      </w:pPr>
      <w:r>
        <w:rPr/>
        <w:t>RGDP</w:t>
      </w:r>
      <w:r>
        <w:rPr>
          <w:spacing w:val="-8"/>
        </w:rPr>
        <w:t> </w:t>
      </w:r>
      <w:r>
        <w:rPr/>
        <w:t>=</w:t>
      </w:r>
      <w:r>
        <w:rPr>
          <w:spacing w:val="-7"/>
        </w:rPr>
        <w:t> </w:t>
      </w:r>
      <w:r>
        <w:rPr/>
        <w:t>ƒ(FDI,</w:t>
      </w:r>
      <w:r>
        <w:rPr>
          <w:spacing w:val="-8"/>
        </w:rPr>
        <w:t> </w:t>
      </w:r>
      <w:r>
        <w:rPr/>
        <w:t>FPI,TOP,</w:t>
      </w:r>
      <w:r>
        <w:rPr>
          <w:spacing w:val="-8"/>
        </w:rPr>
        <w:t> </w:t>
      </w:r>
      <w:r>
        <w:rPr/>
        <w:t>REM,</w:t>
      </w:r>
      <w:r>
        <w:rPr>
          <w:spacing w:val="-8"/>
        </w:rPr>
        <w:t> </w:t>
      </w:r>
      <w:r>
        <w:rPr/>
        <w:t>ODA,</w:t>
      </w:r>
      <w:r>
        <w:rPr>
          <w:spacing w:val="-7"/>
        </w:rPr>
        <w:t> </w:t>
      </w:r>
      <w:r>
        <w:rPr/>
        <w:t>EXCH,</w:t>
      </w:r>
      <w:r>
        <w:rPr>
          <w:spacing w:val="-5"/>
        </w:rPr>
        <w:t> </w:t>
      </w:r>
      <w:r>
        <w:rPr/>
        <w:t>INT,</w:t>
      </w:r>
      <w:r>
        <w:rPr>
          <w:spacing w:val="-8"/>
        </w:rPr>
        <w:t> </w:t>
      </w:r>
      <w:r>
        <w:rPr>
          <w:spacing w:val="-2"/>
        </w:rPr>
        <w:t>CPS/GDP)</w:t>
      </w:r>
    </w:p>
    <w:p>
      <w:pPr>
        <w:pStyle w:val="BodyText"/>
        <w:spacing w:before="66"/>
        <w:ind w:left="0"/>
        <w:rPr>
          <w:sz w:val="20"/>
        </w:rPr>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0"/>
        <w:gridCol w:w="430"/>
        <w:gridCol w:w="3908"/>
      </w:tblGrid>
      <w:tr>
        <w:trPr>
          <w:trHeight w:val="426" w:hRule="atLeast"/>
        </w:trPr>
        <w:tc>
          <w:tcPr>
            <w:tcW w:w="770" w:type="dxa"/>
          </w:tcPr>
          <w:p>
            <w:pPr>
              <w:pStyle w:val="TableParagraph"/>
              <w:spacing w:line="276" w:lineRule="exact" w:before="0"/>
              <w:ind w:left="50"/>
              <w:rPr>
                <w:rFonts w:ascii="Times New Roman"/>
                <w:sz w:val="25"/>
              </w:rPr>
            </w:pPr>
            <w:r>
              <w:rPr>
                <w:rFonts w:ascii="Times New Roman"/>
                <w:spacing w:val="-2"/>
                <w:sz w:val="25"/>
              </w:rPr>
              <w:t>Where</w:t>
            </w:r>
          </w:p>
        </w:tc>
        <w:tc>
          <w:tcPr>
            <w:tcW w:w="4338" w:type="dxa"/>
            <w:gridSpan w:val="2"/>
          </w:tcPr>
          <w:p>
            <w:pPr>
              <w:pStyle w:val="TableParagraph"/>
              <w:spacing w:line="240" w:lineRule="auto" w:before="0"/>
              <w:rPr>
                <w:rFonts w:ascii="Times New Roman"/>
                <w:sz w:val="24"/>
              </w:rPr>
            </w:pPr>
          </w:p>
        </w:tc>
      </w:tr>
      <w:tr>
        <w:trPr>
          <w:trHeight w:val="574" w:hRule="atLeast"/>
        </w:trPr>
        <w:tc>
          <w:tcPr>
            <w:tcW w:w="770" w:type="dxa"/>
          </w:tcPr>
          <w:p>
            <w:pPr>
              <w:pStyle w:val="TableParagraph"/>
              <w:spacing w:line="240" w:lineRule="auto" w:before="139"/>
              <w:ind w:left="50"/>
              <w:rPr>
                <w:rFonts w:ascii="Times New Roman"/>
                <w:sz w:val="25"/>
              </w:rPr>
            </w:pPr>
            <w:r>
              <w:rPr>
                <w:rFonts w:ascii="Times New Roman"/>
                <w:spacing w:val="-4"/>
                <w:sz w:val="25"/>
              </w:rPr>
              <w:t>RGDP</w:t>
            </w:r>
          </w:p>
        </w:tc>
        <w:tc>
          <w:tcPr>
            <w:tcW w:w="430" w:type="dxa"/>
          </w:tcPr>
          <w:p>
            <w:pPr>
              <w:pStyle w:val="TableParagraph"/>
              <w:spacing w:line="240" w:lineRule="auto" w:before="139"/>
              <w:ind w:left="-1"/>
              <w:rPr>
                <w:rFonts w:ascii="Times New Roman"/>
                <w:sz w:val="25"/>
              </w:rPr>
            </w:pPr>
            <w:r>
              <w:rPr>
                <w:rFonts w:ascii="Times New Roman"/>
                <w:spacing w:val="-10"/>
                <w:sz w:val="25"/>
              </w:rPr>
              <w:t>=</w:t>
            </w:r>
          </w:p>
        </w:tc>
        <w:tc>
          <w:tcPr>
            <w:tcW w:w="3908" w:type="dxa"/>
          </w:tcPr>
          <w:p>
            <w:pPr>
              <w:pStyle w:val="TableParagraph"/>
              <w:spacing w:line="240" w:lineRule="auto" w:before="139"/>
              <w:ind w:left="289"/>
              <w:rPr>
                <w:rFonts w:ascii="Times New Roman"/>
                <w:sz w:val="25"/>
              </w:rPr>
            </w:pPr>
            <w:r>
              <w:rPr>
                <w:rFonts w:ascii="Times New Roman"/>
                <w:sz w:val="25"/>
              </w:rPr>
              <w:t>Real</w:t>
            </w:r>
            <w:r>
              <w:rPr>
                <w:rFonts w:ascii="Times New Roman"/>
                <w:spacing w:val="-11"/>
                <w:sz w:val="25"/>
              </w:rPr>
              <w:t> </w:t>
            </w:r>
            <w:r>
              <w:rPr>
                <w:rFonts w:ascii="Times New Roman"/>
                <w:sz w:val="25"/>
              </w:rPr>
              <w:t>GrossDomestic</w:t>
            </w:r>
            <w:r>
              <w:rPr>
                <w:rFonts w:ascii="Times New Roman"/>
                <w:spacing w:val="-10"/>
                <w:sz w:val="25"/>
              </w:rPr>
              <w:t> </w:t>
            </w:r>
            <w:r>
              <w:rPr>
                <w:rFonts w:ascii="Times New Roman"/>
                <w:spacing w:val="-2"/>
                <w:sz w:val="25"/>
              </w:rPr>
              <w:t>Product</w:t>
            </w:r>
          </w:p>
        </w:tc>
      </w:tr>
      <w:tr>
        <w:trPr>
          <w:trHeight w:val="574" w:hRule="atLeast"/>
        </w:trPr>
        <w:tc>
          <w:tcPr>
            <w:tcW w:w="770" w:type="dxa"/>
          </w:tcPr>
          <w:p>
            <w:pPr>
              <w:pStyle w:val="TableParagraph"/>
              <w:spacing w:line="240" w:lineRule="auto" w:before="137"/>
              <w:ind w:left="50"/>
              <w:rPr>
                <w:rFonts w:ascii="Times New Roman"/>
                <w:sz w:val="25"/>
              </w:rPr>
            </w:pPr>
            <w:r>
              <w:rPr>
                <w:rFonts w:ascii="Times New Roman"/>
                <w:spacing w:val="-5"/>
                <w:sz w:val="25"/>
              </w:rPr>
              <w:t>FPI</w:t>
            </w:r>
          </w:p>
        </w:tc>
        <w:tc>
          <w:tcPr>
            <w:tcW w:w="430" w:type="dxa"/>
          </w:tcPr>
          <w:p>
            <w:pPr>
              <w:pStyle w:val="TableParagraph"/>
              <w:spacing w:line="240" w:lineRule="auto" w:before="137"/>
              <w:ind w:left="-1"/>
              <w:rPr>
                <w:rFonts w:ascii="Times New Roman"/>
                <w:sz w:val="25"/>
              </w:rPr>
            </w:pPr>
            <w:r>
              <w:rPr>
                <w:rFonts w:ascii="Times New Roman"/>
                <w:spacing w:val="-10"/>
                <w:sz w:val="25"/>
              </w:rPr>
              <w:t>=</w:t>
            </w:r>
          </w:p>
        </w:tc>
        <w:tc>
          <w:tcPr>
            <w:tcW w:w="3908" w:type="dxa"/>
          </w:tcPr>
          <w:p>
            <w:pPr>
              <w:pStyle w:val="TableParagraph"/>
              <w:spacing w:line="240" w:lineRule="auto" w:before="137"/>
              <w:ind w:left="289"/>
              <w:rPr>
                <w:rFonts w:ascii="Times New Roman"/>
                <w:sz w:val="25"/>
              </w:rPr>
            </w:pPr>
            <w:r>
              <w:rPr>
                <w:rFonts w:ascii="Times New Roman"/>
                <w:sz w:val="25"/>
              </w:rPr>
              <w:t>Foreign</w:t>
            </w:r>
            <w:r>
              <w:rPr>
                <w:rFonts w:ascii="Times New Roman"/>
                <w:spacing w:val="-15"/>
                <w:sz w:val="25"/>
              </w:rPr>
              <w:t> </w:t>
            </w:r>
            <w:r>
              <w:rPr>
                <w:rFonts w:ascii="Times New Roman"/>
                <w:sz w:val="25"/>
              </w:rPr>
              <w:t>PortfolioInvestment</w:t>
            </w:r>
            <w:r>
              <w:rPr>
                <w:rFonts w:ascii="Times New Roman"/>
                <w:spacing w:val="-15"/>
                <w:sz w:val="25"/>
              </w:rPr>
              <w:t> </w:t>
            </w:r>
            <w:r>
              <w:rPr>
                <w:rFonts w:ascii="Times New Roman"/>
                <w:spacing w:val="-2"/>
                <w:sz w:val="25"/>
              </w:rPr>
              <w:t>Inflow</w:t>
            </w:r>
          </w:p>
        </w:tc>
      </w:tr>
      <w:tr>
        <w:trPr>
          <w:trHeight w:val="575" w:hRule="atLeast"/>
        </w:trPr>
        <w:tc>
          <w:tcPr>
            <w:tcW w:w="770" w:type="dxa"/>
          </w:tcPr>
          <w:p>
            <w:pPr>
              <w:pStyle w:val="TableParagraph"/>
              <w:spacing w:line="240" w:lineRule="auto" w:before="139"/>
              <w:ind w:left="50"/>
              <w:rPr>
                <w:rFonts w:ascii="Times New Roman"/>
                <w:sz w:val="25"/>
              </w:rPr>
            </w:pPr>
            <w:r>
              <w:rPr>
                <w:rFonts w:ascii="Times New Roman"/>
                <w:sz w:val="25"/>
              </w:rPr>
              <w:t>FDI</w:t>
            </w:r>
            <w:r>
              <w:rPr>
                <w:rFonts w:ascii="Times New Roman"/>
                <w:spacing w:val="-5"/>
                <w:sz w:val="25"/>
              </w:rPr>
              <w:t> </w:t>
            </w:r>
            <w:r>
              <w:rPr>
                <w:rFonts w:ascii="Times New Roman"/>
                <w:spacing w:val="-10"/>
                <w:sz w:val="25"/>
              </w:rPr>
              <w:t>=</w:t>
            </w:r>
          </w:p>
        </w:tc>
        <w:tc>
          <w:tcPr>
            <w:tcW w:w="430" w:type="dxa"/>
          </w:tcPr>
          <w:p>
            <w:pPr>
              <w:pStyle w:val="TableParagraph"/>
              <w:spacing w:line="240" w:lineRule="auto" w:before="0"/>
              <w:rPr>
                <w:rFonts w:ascii="Times New Roman"/>
                <w:sz w:val="24"/>
              </w:rPr>
            </w:pPr>
          </w:p>
        </w:tc>
        <w:tc>
          <w:tcPr>
            <w:tcW w:w="3908" w:type="dxa"/>
          </w:tcPr>
          <w:p>
            <w:pPr>
              <w:pStyle w:val="TableParagraph"/>
              <w:spacing w:line="240" w:lineRule="auto" w:before="139"/>
              <w:ind w:left="289"/>
              <w:rPr>
                <w:rFonts w:ascii="Times New Roman"/>
                <w:sz w:val="25"/>
              </w:rPr>
            </w:pPr>
            <w:r>
              <w:rPr>
                <w:rFonts w:ascii="Times New Roman"/>
                <w:sz w:val="25"/>
              </w:rPr>
              <w:t>Foreign</w:t>
            </w:r>
            <w:r>
              <w:rPr>
                <w:rFonts w:ascii="Times New Roman"/>
                <w:spacing w:val="-10"/>
                <w:sz w:val="25"/>
              </w:rPr>
              <w:t> </w:t>
            </w:r>
            <w:r>
              <w:rPr>
                <w:rFonts w:ascii="Times New Roman"/>
                <w:sz w:val="25"/>
              </w:rPr>
              <w:t>Direct</w:t>
            </w:r>
            <w:r>
              <w:rPr>
                <w:rFonts w:ascii="Times New Roman"/>
                <w:spacing w:val="-9"/>
                <w:sz w:val="25"/>
              </w:rPr>
              <w:t> </w:t>
            </w:r>
            <w:r>
              <w:rPr>
                <w:rFonts w:ascii="Times New Roman"/>
                <w:sz w:val="25"/>
              </w:rPr>
              <w:t>Investment</w:t>
            </w:r>
            <w:r>
              <w:rPr>
                <w:rFonts w:ascii="Times New Roman"/>
                <w:spacing w:val="-9"/>
                <w:sz w:val="25"/>
              </w:rPr>
              <w:t> </w:t>
            </w:r>
            <w:r>
              <w:rPr>
                <w:rFonts w:ascii="Times New Roman"/>
                <w:spacing w:val="-2"/>
                <w:sz w:val="25"/>
              </w:rPr>
              <w:t>Inflow</w:t>
            </w:r>
          </w:p>
        </w:tc>
      </w:tr>
      <w:tr>
        <w:trPr>
          <w:trHeight w:val="575" w:hRule="atLeast"/>
        </w:trPr>
        <w:tc>
          <w:tcPr>
            <w:tcW w:w="770" w:type="dxa"/>
          </w:tcPr>
          <w:p>
            <w:pPr>
              <w:pStyle w:val="TableParagraph"/>
              <w:spacing w:line="240" w:lineRule="auto" w:before="138"/>
              <w:ind w:left="50"/>
              <w:rPr>
                <w:rFonts w:ascii="Times New Roman"/>
                <w:sz w:val="25"/>
              </w:rPr>
            </w:pPr>
            <w:r>
              <w:rPr>
                <w:rFonts w:ascii="Times New Roman"/>
                <w:spacing w:val="-5"/>
                <w:sz w:val="25"/>
              </w:rPr>
              <w:t>TOP</w:t>
            </w:r>
          </w:p>
        </w:tc>
        <w:tc>
          <w:tcPr>
            <w:tcW w:w="430" w:type="dxa"/>
          </w:tcPr>
          <w:p>
            <w:pPr>
              <w:pStyle w:val="TableParagraph"/>
              <w:spacing w:line="240" w:lineRule="auto" w:before="138"/>
              <w:ind w:left="-1"/>
              <w:rPr>
                <w:rFonts w:ascii="Times New Roman"/>
                <w:sz w:val="25"/>
              </w:rPr>
            </w:pPr>
            <w:r>
              <w:rPr>
                <w:rFonts w:ascii="Times New Roman"/>
                <w:spacing w:val="-10"/>
                <w:sz w:val="25"/>
              </w:rPr>
              <w:t>=</w:t>
            </w:r>
          </w:p>
        </w:tc>
        <w:tc>
          <w:tcPr>
            <w:tcW w:w="3908" w:type="dxa"/>
          </w:tcPr>
          <w:p>
            <w:pPr>
              <w:pStyle w:val="TableParagraph"/>
              <w:spacing w:line="240" w:lineRule="auto" w:before="138"/>
              <w:ind w:left="289"/>
              <w:rPr>
                <w:rFonts w:ascii="Times New Roman"/>
                <w:sz w:val="25"/>
              </w:rPr>
            </w:pPr>
            <w:r>
              <w:rPr>
                <w:rFonts w:ascii="Times New Roman"/>
                <w:spacing w:val="-2"/>
                <w:sz w:val="25"/>
              </w:rPr>
              <w:t>TradeOpenness</w:t>
            </w:r>
          </w:p>
        </w:tc>
      </w:tr>
      <w:tr>
        <w:trPr>
          <w:trHeight w:val="574" w:hRule="atLeast"/>
        </w:trPr>
        <w:tc>
          <w:tcPr>
            <w:tcW w:w="770" w:type="dxa"/>
          </w:tcPr>
          <w:p>
            <w:pPr>
              <w:pStyle w:val="TableParagraph"/>
              <w:spacing w:line="240" w:lineRule="auto" w:before="139"/>
              <w:ind w:left="50" w:right="-29"/>
              <w:rPr>
                <w:rFonts w:ascii="Times New Roman"/>
                <w:sz w:val="25"/>
              </w:rPr>
            </w:pPr>
            <w:r>
              <w:rPr>
                <w:rFonts w:ascii="Times New Roman"/>
                <w:sz w:val="25"/>
              </w:rPr>
              <w:t>REM</w:t>
            </w:r>
            <w:r>
              <w:rPr>
                <w:rFonts w:ascii="Times New Roman"/>
                <w:spacing w:val="-7"/>
                <w:sz w:val="25"/>
              </w:rPr>
              <w:t> </w:t>
            </w:r>
            <w:r>
              <w:rPr>
                <w:rFonts w:ascii="Times New Roman"/>
                <w:spacing w:val="-10"/>
                <w:sz w:val="25"/>
              </w:rPr>
              <w:t>=</w:t>
            </w:r>
          </w:p>
        </w:tc>
        <w:tc>
          <w:tcPr>
            <w:tcW w:w="430" w:type="dxa"/>
          </w:tcPr>
          <w:p>
            <w:pPr>
              <w:pStyle w:val="TableParagraph"/>
              <w:spacing w:line="240" w:lineRule="auto" w:before="0"/>
              <w:rPr>
                <w:rFonts w:ascii="Times New Roman"/>
                <w:sz w:val="24"/>
              </w:rPr>
            </w:pPr>
          </w:p>
        </w:tc>
        <w:tc>
          <w:tcPr>
            <w:tcW w:w="3908" w:type="dxa"/>
          </w:tcPr>
          <w:p>
            <w:pPr>
              <w:pStyle w:val="TableParagraph"/>
              <w:spacing w:line="240" w:lineRule="auto" w:before="139"/>
              <w:ind w:left="289"/>
              <w:rPr>
                <w:rFonts w:ascii="Times New Roman"/>
                <w:sz w:val="25"/>
              </w:rPr>
            </w:pPr>
            <w:r>
              <w:rPr>
                <w:rFonts w:ascii="Times New Roman"/>
                <w:spacing w:val="-2"/>
                <w:sz w:val="25"/>
              </w:rPr>
              <w:t>Remittances</w:t>
            </w:r>
          </w:p>
        </w:tc>
      </w:tr>
      <w:tr>
        <w:trPr>
          <w:trHeight w:val="425" w:hRule="atLeast"/>
        </w:trPr>
        <w:tc>
          <w:tcPr>
            <w:tcW w:w="770" w:type="dxa"/>
          </w:tcPr>
          <w:p>
            <w:pPr>
              <w:pStyle w:val="TableParagraph"/>
              <w:spacing w:line="267" w:lineRule="exact" w:before="137"/>
              <w:ind w:left="50" w:right="-29"/>
              <w:rPr>
                <w:rFonts w:ascii="Times New Roman"/>
                <w:sz w:val="25"/>
              </w:rPr>
            </w:pPr>
            <w:r>
              <w:rPr>
                <w:rFonts w:ascii="Times New Roman"/>
                <w:sz w:val="25"/>
              </w:rPr>
              <w:t>ODA</w:t>
            </w:r>
            <w:r>
              <w:rPr>
                <w:rFonts w:ascii="Times New Roman"/>
                <w:spacing w:val="-7"/>
                <w:sz w:val="25"/>
              </w:rPr>
              <w:t> </w:t>
            </w:r>
            <w:r>
              <w:rPr>
                <w:rFonts w:ascii="Times New Roman"/>
                <w:spacing w:val="-10"/>
                <w:sz w:val="25"/>
              </w:rPr>
              <w:t>=</w:t>
            </w:r>
          </w:p>
        </w:tc>
        <w:tc>
          <w:tcPr>
            <w:tcW w:w="430" w:type="dxa"/>
          </w:tcPr>
          <w:p>
            <w:pPr>
              <w:pStyle w:val="TableParagraph"/>
              <w:spacing w:line="240" w:lineRule="auto" w:before="0"/>
              <w:rPr>
                <w:rFonts w:ascii="Times New Roman"/>
                <w:sz w:val="24"/>
              </w:rPr>
            </w:pPr>
          </w:p>
        </w:tc>
        <w:tc>
          <w:tcPr>
            <w:tcW w:w="3908" w:type="dxa"/>
          </w:tcPr>
          <w:p>
            <w:pPr>
              <w:pStyle w:val="TableParagraph"/>
              <w:spacing w:line="267" w:lineRule="exact" w:before="137"/>
              <w:ind w:left="289"/>
              <w:rPr>
                <w:rFonts w:ascii="Times New Roman"/>
                <w:sz w:val="25"/>
              </w:rPr>
            </w:pPr>
            <w:r>
              <w:rPr>
                <w:rFonts w:ascii="Times New Roman"/>
                <w:sz w:val="25"/>
              </w:rPr>
              <w:t>Official</w:t>
            </w:r>
            <w:r>
              <w:rPr>
                <w:rFonts w:ascii="Times New Roman"/>
                <w:spacing w:val="-8"/>
                <w:sz w:val="25"/>
              </w:rPr>
              <w:t> </w:t>
            </w:r>
            <w:r>
              <w:rPr>
                <w:rFonts w:ascii="Times New Roman"/>
                <w:spacing w:val="-2"/>
                <w:sz w:val="25"/>
              </w:rPr>
              <w:t>DevelopmentAssistance</w:t>
            </w:r>
          </w:p>
        </w:tc>
      </w:tr>
    </w:tbl>
    <w:p>
      <w:pPr>
        <w:spacing w:after="0" w:line="267" w:lineRule="exact"/>
        <w:rPr>
          <w:rFonts w:ascii="Times New Roman"/>
          <w:sz w:val="25"/>
        </w:rPr>
        <w:sectPr>
          <w:pgSz w:w="12240" w:h="15840"/>
          <w:pgMar w:header="0" w:footer="1012" w:top="1380" w:bottom="1200" w:left="1220" w:right="700"/>
        </w:sectPr>
      </w:pPr>
    </w:p>
    <w:p>
      <w:pPr>
        <w:pStyle w:val="BodyText"/>
        <w:tabs>
          <w:tab w:pos="1660" w:val="left" w:leader="none"/>
        </w:tabs>
        <w:spacing w:line="480" w:lineRule="auto" w:before="60"/>
        <w:ind w:left="1660" w:right="2088" w:hanging="1440"/>
      </w:pPr>
      <w:r>
        <w:rPr/>
        <w:t>CPS/GDP =</w:t>
        <w:tab/>
        <w:t>Credit</w:t>
      </w:r>
      <w:r>
        <w:rPr>
          <w:spacing w:val="-5"/>
        </w:rPr>
        <w:t> </w:t>
      </w:r>
      <w:r>
        <w:rPr/>
        <w:t>to</w:t>
      </w:r>
      <w:r>
        <w:rPr>
          <w:spacing w:val="-5"/>
        </w:rPr>
        <w:t> </w:t>
      </w:r>
      <w:r>
        <w:rPr/>
        <w:t>private</w:t>
      </w:r>
      <w:r>
        <w:rPr>
          <w:spacing w:val="-3"/>
        </w:rPr>
        <w:t> </w:t>
      </w:r>
      <w:r>
        <w:rPr/>
        <w:t>sectoras</w:t>
      </w:r>
      <w:r>
        <w:rPr>
          <w:spacing w:val="-4"/>
        </w:rPr>
        <w:t> </w:t>
      </w:r>
      <w:r>
        <w:rPr/>
        <w:t>a</w:t>
      </w:r>
      <w:r>
        <w:rPr>
          <w:spacing w:val="-5"/>
        </w:rPr>
        <w:t> </w:t>
      </w:r>
      <w:r>
        <w:rPr/>
        <w:t>percentage</w:t>
      </w:r>
      <w:r>
        <w:rPr>
          <w:spacing w:val="-5"/>
        </w:rPr>
        <w:t> </w:t>
      </w:r>
      <w:r>
        <w:rPr/>
        <w:t>ofGDP</w:t>
      </w:r>
      <w:r>
        <w:rPr>
          <w:spacing w:val="-5"/>
        </w:rPr>
        <w:t> </w:t>
      </w:r>
      <w:r>
        <w:rPr/>
        <w:t>(Proxy</w:t>
      </w:r>
      <w:r>
        <w:rPr>
          <w:spacing w:val="-5"/>
        </w:rPr>
        <w:t> </w:t>
      </w:r>
      <w:r>
        <w:rPr/>
        <w:t>forfinancial </w:t>
      </w:r>
      <w:r>
        <w:rPr>
          <w:spacing w:val="-2"/>
        </w:rPr>
        <w:t>deepening)</w:t>
      </w:r>
    </w:p>
    <w:p>
      <w:pPr>
        <w:pStyle w:val="BodyText"/>
        <w:tabs>
          <w:tab w:pos="940" w:val="left" w:leader="none"/>
          <w:tab w:pos="1660" w:val="left" w:leader="none"/>
        </w:tabs>
        <w:spacing w:line="480" w:lineRule="auto"/>
        <w:ind w:right="5297"/>
      </w:pPr>
      <w:r>
        <w:rPr/>
        <mc:AlternateContent>
          <mc:Choice Requires="wps">
            <w:drawing>
              <wp:anchor distT="0" distB="0" distL="0" distR="0" allowOverlap="1" layoutInCell="1" locked="0" behindDoc="1" simplePos="0" relativeHeight="478093824">
                <wp:simplePos x="0" y="0"/>
                <wp:positionH relativeFrom="page">
                  <wp:posOffset>950112</wp:posOffset>
                </wp:positionH>
                <wp:positionV relativeFrom="paragraph">
                  <wp:posOffset>552765</wp:posOffset>
                </wp:positionV>
                <wp:extent cx="5505450" cy="5661025"/>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22656" id="docshape182"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spacing w:val="-4"/>
        </w:rPr>
        <w:t>INT</w:t>
      </w:r>
      <w:r>
        <w:rPr/>
        <w:tab/>
      </w:r>
      <w:r>
        <w:rPr>
          <w:spacing w:val="-10"/>
        </w:rPr>
        <w:t>=</w:t>
      </w:r>
      <w:r>
        <w:rPr/>
        <w:tab/>
        <w:t>Interest Rate</w:t>
      </w:r>
      <w:r>
        <w:rPr>
          <w:spacing w:val="40"/>
        </w:rPr>
        <w:t> </w:t>
      </w:r>
      <w:r>
        <w:rPr/>
        <w:t>(ControlVariable) EXCH =</w:t>
        <w:tab/>
        <w:t>Exchange</w:t>
      </w:r>
      <w:r>
        <w:rPr>
          <w:spacing w:val="-16"/>
        </w:rPr>
        <w:t> </w:t>
      </w:r>
      <w:r>
        <w:rPr/>
        <w:t>Rate</w:t>
      </w:r>
      <w:r>
        <w:rPr>
          <w:spacing w:val="-16"/>
        </w:rPr>
        <w:t> </w:t>
      </w:r>
      <w:r>
        <w:rPr/>
        <w:t>(ControlVariable)</w:t>
      </w:r>
    </w:p>
    <w:p>
      <w:pPr>
        <w:pStyle w:val="BodyText"/>
        <w:spacing w:line="287" w:lineRule="exact"/>
      </w:pPr>
      <w:r>
        <w:rPr/>
        <w:t>From</w:t>
      </w:r>
      <w:r>
        <w:rPr>
          <w:spacing w:val="-9"/>
        </w:rPr>
        <w:t> </w:t>
      </w:r>
      <w:r>
        <w:rPr/>
        <w:t>functionalform,</w:t>
      </w:r>
      <w:r>
        <w:rPr>
          <w:spacing w:val="-9"/>
        </w:rPr>
        <w:t> </w:t>
      </w:r>
      <w:r>
        <w:rPr/>
        <w:t>the</w:t>
      </w:r>
      <w:r>
        <w:rPr>
          <w:spacing w:val="-8"/>
        </w:rPr>
        <w:t> </w:t>
      </w:r>
      <w:r>
        <w:rPr/>
        <w:t>econometricform</w:t>
      </w:r>
      <w:r>
        <w:rPr>
          <w:spacing w:val="-9"/>
        </w:rPr>
        <w:t> </w:t>
      </w:r>
      <w:r>
        <w:rPr/>
        <w:t>is</w:t>
      </w:r>
      <w:r>
        <w:rPr>
          <w:spacing w:val="-7"/>
        </w:rPr>
        <w:t> </w:t>
      </w:r>
      <w:r>
        <w:rPr/>
        <w:t>stated</w:t>
      </w:r>
      <w:r>
        <w:rPr>
          <w:spacing w:val="-8"/>
        </w:rPr>
        <w:t> </w:t>
      </w:r>
      <w:r>
        <w:rPr>
          <w:spacing w:val="-2"/>
        </w:rPr>
        <w:t>thus:</w:t>
      </w:r>
    </w:p>
    <w:p>
      <w:pPr>
        <w:pStyle w:val="BodyText"/>
        <w:spacing w:before="287"/>
      </w:pPr>
      <w:r>
        <w:rPr>
          <w:position w:val="2"/>
        </w:rPr>
        <w:t>RGDP</w:t>
      </w:r>
      <w:r>
        <w:rPr>
          <w:spacing w:val="-6"/>
          <w:position w:val="2"/>
        </w:rPr>
        <w:t> </w:t>
      </w:r>
      <w:r>
        <w:rPr>
          <w:position w:val="2"/>
        </w:rPr>
        <w:t>=</w:t>
      </w:r>
      <w:r>
        <w:rPr>
          <w:spacing w:val="-4"/>
          <w:position w:val="2"/>
        </w:rPr>
        <w:t> </w:t>
      </w:r>
      <w:r>
        <w:rPr>
          <w:position w:val="2"/>
        </w:rPr>
        <w:t>βo</w:t>
      </w:r>
      <w:r>
        <w:rPr>
          <w:spacing w:val="-5"/>
          <w:position w:val="2"/>
        </w:rPr>
        <w:t> </w:t>
      </w:r>
      <w:r>
        <w:rPr>
          <w:position w:val="2"/>
        </w:rPr>
        <w:t>+</w:t>
      </w:r>
      <w:r>
        <w:rPr>
          <w:spacing w:val="-4"/>
          <w:position w:val="2"/>
        </w:rPr>
        <w:t> </w:t>
      </w:r>
      <w:r>
        <w:rPr>
          <w:position w:val="2"/>
        </w:rPr>
        <w:t>β</w:t>
      </w:r>
      <w:r>
        <w:rPr>
          <w:sz w:val="16"/>
        </w:rPr>
        <w:t>1</w:t>
      </w:r>
      <w:r>
        <w:rPr>
          <w:position w:val="2"/>
        </w:rPr>
        <w:t>FPI</w:t>
      </w:r>
      <w:r>
        <w:rPr>
          <w:spacing w:val="-5"/>
          <w:position w:val="2"/>
        </w:rPr>
        <w:t> </w:t>
      </w:r>
      <w:r>
        <w:rPr>
          <w:position w:val="2"/>
        </w:rPr>
        <w:t>+</w:t>
      </w:r>
      <w:r>
        <w:rPr>
          <w:spacing w:val="-3"/>
          <w:position w:val="2"/>
        </w:rPr>
        <w:t> </w:t>
      </w:r>
      <w:r>
        <w:rPr>
          <w:position w:val="2"/>
        </w:rPr>
        <w:t>β</w:t>
      </w:r>
      <w:r>
        <w:rPr>
          <w:sz w:val="16"/>
        </w:rPr>
        <w:t>2</w:t>
      </w:r>
      <w:r>
        <w:rPr>
          <w:position w:val="2"/>
        </w:rPr>
        <w:t>FDI</w:t>
      </w:r>
      <w:r>
        <w:rPr>
          <w:spacing w:val="-4"/>
          <w:position w:val="2"/>
        </w:rPr>
        <w:t> </w:t>
      </w:r>
      <w:r>
        <w:rPr>
          <w:position w:val="2"/>
        </w:rPr>
        <w:t>+</w:t>
      </w:r>
      <w:r>
        <w:rPr>
          <w:spacing w:val="-5"/>
          <w:position w:val="2"/>
        </w:rPr>
        <w:t> </w:t>
      </w:r>
      <w:r>
        <w:rPr>
          <w:position w:val="2"/>
        </w:rPr>
        <w:t>β</w:t>
      </w:r>
      <w:r>
        <w:rPr>
          <w:sz w:val="16"/>
        </w:rPr>
        <w:t>3</w:t>
      </w:r>
      <w:r>
        <w:rPr>
          <w:position w:val="2"/>
        </w:rPr>
        <w:t>TOP</w:t>
      </w:r>
      <w:r>
        <w:rPr>
          <w:spacing w:val="-5"/>
          <w:position w:val="2"/>
        </w:rPr>
        <w:t> </w:t>
      </w:r>
      <w:r>
        <w:rPr>
          <w:position w:val="2"/>
        </w:rPr>
        <w:t>+</w:t>
      </w:r>
      <w:r>
        <w:rPr>
          <w:spacing w:val="-3"/>
          <w:position w:val="2"/>
        </w:rPr>
        <w:t> </w:t>
      </w:r>
      <w:r>
        <w:rPr>
          <w:position w:val="2"/>
        </w:rPr>
        <w:t>β</w:t>
      </w:r>
      <w:r>
        <w:rPr>
          <w:sz w:val="16"/>
        </w:rPr>
        <w:t>4</w:t>
      </w:r>
      <w:r>
        <w:rPr>
          <w:position w:val="2"/>
        </w:rPr>
        <w:t>REM</w:t>
      </w:r>
      <w:r>
        <w:rPr>
          <w:spacing w:val="-5"/>
          <w:position w:val="2"/>
        </w:rPr>
        <w:t> </w:t>
      </w:r>
      <w:r>
        <w:rPr>
          <w:position w:val="2"/>
        </w:rPr>
        <w:t>+</w:t>
      </w:r>
      <w:r>
        <w:rPr>
          <w:spacing w:val="-4"/>
          <w:position w:val="2"/>
        </w:rPr>
        <w:t> </w:t>
      </w:r>
      <w:r>
        <w:rPr>
          <w:position w:val="2"/>
        </w:rPr>
        <w:t>β</w:t>
      </w:r>
      <w:r>
        <w:rPr>
          <w:sz w:val="16"/>
        </w:rPr>
        <w:t>5</w:t>
      </w:r>
      <w:r>
        <w:rPr>
          <w:position w:val="2"/>
        </w:rPr>
        <w:t>ODA</w:t>
      </w:r>
      <w:r>
        <w:rPr>
          <w:spacing w:val="-5"/>
          <w:position w:val="2"/>
        </w:rPr>
        <w:t> </w:t>
      </w:r>
      <w:r>
        <w:rPr>
          <w:position w:val="2"/>
        </w:rPr>
        <w:t>+</w:t>
      </w:r>
      <w:r>
        <w:rPr>
          <w:spacing w:val="-4"/>
          <w:position w:val="2"/>
        </w:rPr>
        <w:t> </w:t>
      </w:r>
      <w:r>
        <w:rPr>
          <w:position w:val="2"/>
        </w:rPr>
        <w:t>β</w:t>
      </w:r>
      <w:r>
        <w:rPr>
          <w:sz w:val="16"/>
        </w:rPr>
        <w:t>6</w:t>
      </w:r>
      <w:r>
        <w:rPr>
          <w:position w:val="2"/>
        </w:rPr>
        <w:t>CPS/GDP</w:t>
      </w:r>
      <w:r>
        <w:rPr>
          <w:spacing w:val="-5"/>
          <w:position w:val="2"/>
        </w:rPr>
        <w:t> </w:t>
      </w:r>
      <w:r>
        <w:rPr>
          <w:position w:val="2"/>
        </w:rPr>
        <w:t>+</w:t>
      </w:r>
      <w:r>
        <w:rPr>
          <w:spacing w:val="-3"/>
          <w:position w:val="2"/>
        </w:rPr>
        <w:t> </w:t>
      </w:r>
      <w:r>
        <w:rPr>
          <w:spacing w:val="-2"/>
          <w:position w:val="2"/>
        </w:rPr>
        <w:t>β</w:t>
      </w:r>
      <w:r>
        <w:rPr>
          <w:spacing w:val="-2"/>
          <w:sz w:val="16"/>
        </w:rPr>
        <w:t>7</w:t>
      </w:r>
      <w:r>
        <w:rPr>
          <w:spacing w:val="-2"/>
          <w:position w:val="2"/>
        </w:rPr>
        <w:t>INT</w:t>
      </w:r>
    </w:p>
    <w:p>
      <w:pPr>
        <w:pStyle w:val="BodyText"/>
        <w:tabs>
          <w:tab w:pos="8641" w:val="left" w:leader="none"/>
        </w:tabs>
        <w:spacing w:before="286"/>
        <w:ind w:left="0" w:right="444"/>
        <w:jc w:val="right"/>
      </w:pPr>
      <w:r>
        <w:rPr>
          <w:position w:val="2"/>
        </w:rPr>
        <w:t>+</w:t>
      </w:r>
      <w:r>
        <w:rPr>
          <w:spacing w:val="-4"/>
          <w:position w:val="2"/>
        </w:rPr>
        <w:t> </w:t>
      </w:r>
      <w:r>
        <w:rPr>
          <w:position w:val="2"/>
        </w:rPr>
        <w:t>β</w:t>
      </w:r>
      <w:r>
        <w:rPr>
          <w:sz w:val="16"/>
        </w:rPr>
        <w:t>8</w:t>
      </w:r>
      <w:r>
        <w:rPr>
          <w:position w:val="2"/>
        </w:rPr>
        <w:t>EXCH</w:t>
      </w:r>
      <w:r>
        <w:rPr>
          <w:spacing w:val="-5"/>
          <w:position w:val="2"/>
        </w:rPr>
        <w:t> </w:t>
      </w:r>
      <w:r>
        <w:rPr>
          <w:position w:val="2"/>
        </w:rPr>
        <w:t>+</w:t>
      </w:r>
      <w:r>
        <w:rPr>
          <w:spacing w:val="-3"/>
          <w:position w:val="2"/>
        </w:rPr>
        <w:t> </w:t>
      </w:r>
      <w:r>
        <w:rPr>
          <w:spacing w:val="-10"/>
          <w:position w:val="2"/>
        </w:rPr>
        <w:t>µ</w:t>
      </w:r>
      <w:r>
        <w:rPr>
          <w:position w:val="2"/>
        </w:rPr>
        <w:tab/>
      </w:r>
      <w:r>
        <w:rPr>
          <w:spacing w:val="-5"/>
          <w:position w:val="2"/>
        </w:rPr>
        <w:t>(1)</w:t>
      </w:r>
    </w:p>
    <w:p>
      <w:pPr>
        <w:pStyle w:val="BodyText"/>
        <w:spacing w:before="1"/>
        <w:ind w:left="0"/>
      </w:pPr>
    </w:p>
    <w:p>
      <w:pPr>
        <w:pStyle w:val="BodyText"/>
      </w:pPr>
      <w:r>
        <w:rPr>
          <w:spacing w:val="-2"/>
        </w:rPr>
        <w:t>Where</w:t>
      </w:r>
    </w:p>
    <w:p>
      <w:pPr>
        <w:pStyle w:val="BodyText"/>
        <w:spacing w:before="1"/>
        <w:ind w:left="0"/>
      </w:pPr>
    </w:p>
    <w:p>
      <w:pPr>
        <w:pStyle w:val="BodyText"/>
        <w:tabs>
          <w:tab w:pos="1660" w:val="left" w:leader="none"/>
        </w:tabs>
        <w:spacing w:line="477" w:lineRule="auto"/>
        <w:ind w:right="6150"/>
      </w:pPr>
      <w:r>
        <w:rPr/>
        <w:t>βo =</w:t>
        <w:tab/>
        <w:t>Autonomous orintercept </w:t>
      </w:r>
      <w:r>
        <w:rPr>
          <w:position w:val="2"/>
        </w:rPr>
        <w:t>β</w:t>
      </w:r>
      <w:r>
        <w:rPr>
          <w:sz w:val="16"/>
        </w:rPr>
        <w:t>1</w:t>
      </w:r>
      <w:r>
        <w:rPr>
          <w:spacing w:val="40"/>
          <w:sz w:val="16"/>
        </w:rPr>
        <w:t> </w:t>
      </w:r>
      <w:r>
        <w:rPr>
          <w:position w:val="2"/>
        </w:rPr>
        <w:t>to β</w:t>
      </w:r>
      <w:r>
        <w:rPr>
          <w:sz w:val="16"/>
        </w:rPr>
        <w:t>7</w:t>
      </w:r>
      <w:r>
        <w:rPr>
          <w:position w:val="2"/>
        </w:rPr>
        <w:t>=</w:t>
        <w:tab/>
        <w:t>Coefficient</w:t>
      </w:r>
      <w:r>
        <w:rPr>
          <w:spacing w:val="-16"/>
          <w:position w:val="2"/>
        </w:rPr>
        <w:t> </w:t>
      </w:r>
      <w:r>
        <w:rPr>
          <w:position w:val="2"/>
        </w:rPr>
        <w:t>ofParameters</w:t>
      </w:r>
    </w:p>
    <w:p>
      <w:pPr>
        <w:pStyle w:val="BodyText"/>
        <w:tabs>
          <w:tab w:pos="1660" w:val="left" w:leader="none"/>
        </w:tabs>
        <w:spacing w:before="5"/>
      </w:pPr>
      <w:r>
        <w:rPr/>
        <w:t>µ</w:t>
      </w:r>
      <w:r>
        <w:rPr>
          <w:spacing w:val="-3"/>
        </w:rPr>
        <w:t> </w:t>
      </w:r>
      <w:r>
        <w:rPr>
          <w:spacing w:val="-12"/>
        </w:rPr>
        <w:t>=</w:t>
      </w:r>
      <w:r>
        <w:rPr/>
        <w:tab/>
        <w:t>Stochastic</w:t>
      </w:r>
      <w:r>
        <w:rPr>
          <w:spacing w:val="-9"/>
        </w:rPr>
        <w:t> </w:t>
      </w:r>
      <w:r>
        <w:rPr/>
        <w:t>variableor</w:t>
      </w:r>
      <w:r>
        <w:rPr>
          <w:spacing w:val="-8"/>
        </w:rPr>
        <w:t> </w:t>
      </w:r>
      <w:r>
        <w:rPr/>
        <w:t>error</w:t>
      </w:r>
      <w:r>
        <w:rPr>
          <w:spacing w:val="-8"/>
        </w:rPr>
        <w:t> </w:t>
      </w:r>
      <w:r>
        <w:rPr>
          <w:spacing w:val="-4"/>
        </w:rPr>
        <w:t>term</w:t>
      </w:r>
    </w:p>
    <w:p>
      <w:pPr>
        <w:pStyle w:val="BodyText"/>
        <w:spacing w:before="287"/>
      </w:pPr>
      <w:r>
        <w:rPr/>
        <w:t>To</w:t>
      </w:r>
      <w:r>
        <w:rPr>
          <w:spacing w:val="-7"/>
        </w:rPr>
        <w:t> </w:t>
      </w:r>
      <w:r>
        <w:rPr/>
        <w:t>linearize</w:t>
      </w:r>
      <w:r>
        <w:rPr>
          <w:spacing w:val="-7"/>
        </w:rPr>
        <w:t> </w:t>
      </w:r>
      <w:r>
        <w:rPr/>
        <w:t>equation</w:t>
      </w:r>
      <w:r>
        <w:rPr>
          <w:spacing w:val="-6"/>
        </w:rPr>
        <w:t> </w:t>
      </w:r>
      <w:r>
        <w:rPr/>
        <w:t>1,</w:t>
      </w:r>
      <w:r>
        <w:rPr>
          <w:spacing w:val="-4"/>
        </w:rPr>
        <w:t> </w:t>
      </w:r>
      <w:r>
        <w:rPr/>
        <w:t>we</w:t>
      </w:r>
      <w:r>
        <w:rPr>
          <w:spacing w:val="-6"/>
        </w:rPr>
        <w:t> </w:t>
      </w:r>
      <w:r>
        <w:rPr/>
        <w:t>apply</w:t>
      </w:r>
      <w:r>
        <w:rPr>
          <w:spacing w:val="-7"/>
        </w:rPr>
        <w:t> </w:t>
      </w:r>
      <w:r>
        <w:rPr/>
        <w:t>logarithmto</w:t>
      </w:r>
      <w:r>
        <w:rPr>
          <w:spacing w:val="-6"/>
        </w:rPr>
        <w:t> </w:t>
      </w:r>
      <w:r>
        <w:rPr/>
        <w:t>equation</w:t>
      </w:r>
      <w:r>
        <w:rPr>
          <w:spacing w:val="-7"/>
        </w:rPr>
        <w:t> </w:t>
      </w:r>
      <w:r>
        <w:rPr/>
        <w:t>2</w:t>
      </w:r>
      <w:r>
        <w:rPr>
          <w:spacing w:val="-6"/>
        </w:rPr>
        <w:t> </w:t>
      </w:r>
      <w:r>
        <w:rPr>
          <w:spacing w:val="-2"/>
        </w:rPr>
        <w:t>whichgives:</w:t>
      </w:r>
    </w:p>
    <w:p>
      <w:pPr>
        <w:pStyle w:val="BodyText"/>
        <w:ind w:left="0"/>
      </w:pPr>
    </w:p>
    <w:p>
      <w:pPr>
        <w:pStyle w:val="BodyText"/>
      </w:pPr>
      <w:r>
        <w:rPr>
          <w:position w:val="2"/>
        </w:rPr>
        <w:t>LRGDP</w:t>
      </w:r>
      <w:r>
        <w:rPr>
          <w:spacing w:val="-6"/>
          <w:position w:val="2"/>
        </w:rPr>
        <w:t> </w:t>
      </w:r>
      <w:r>
        <w:rPr>
          <w:position w:val="2"/>
        </w:rPr>
        <w:t>=</w:t>
      </w:r>
      <w:r>
        <w:rPr>
          <w:spacing w:val="-3"/>
          <w:position w:val="2"/>
        </w:rPr>
        <w:t> </w:t>
      </w:r>
      <w:r>
        <w:rPr>
          <w:position w:val="2"/>
        </w:rPr>
        <w:t>βo</w:t>
      </w:r>
      <w:r>
        <w:rPr>
          <w:spacing w:val="-6"/>
          <w:position w:val="2"/>
        </w:rPr>
        <w:t> </w:t>
      </w:r>
      <w:r>
        <w:rPr>
          <w:position w:val="2"/>
        </w:rPr>
        <w:t>+</w:t>
      </w:r>
      <w:r>
        <w:rPr>
          <w:spacing w:val="-4"/>
          <w:position w:val="2"/>
        </w:rPr>
        <w:t> </w:t>
      </w:r>
      <w:r>
        <w:rPr>
          <w:position w:val="2"/>
        </w:rPr>
        <w:t>β</w:t>
      </w:r>
      <w:r>
        <w:rPr>
          <w:sz w:val="16"/>
        </w:rPr>
        <w:t>1</w:t>
      </w:r>
      <w:r>
        <w:rPr>
          <w:position w:val="2"/>
        </w:rPr>
        <w:t>LFPI</w:t>
      </w:r>
      <w:r>
        <w:rPr>
          <w:spacing w:val="-6"/>
          <w:position w:val="2"/>
        </w:rPr>
        <w:t> </w:t>
      </w:r>
      <w:r>
        <w:rPr>
          <w:position w:val="2"/>
        </w:rPr>
        <w:t>+</w:t>
      </w:r>
      <w:r>
        <w:rPr>
          <w:spacing w:val="-3"/>
          <w:position w:val="2"/>
        </w:rPr>
        <w:t> </w:t>
      </w:r>
      <w:r>
        <w:rPr>
          <w:position w:val="2"/>
        </w:rPr>
        <w:t>β</w:t>
      </w:r>
      <w:r>
        <w:rPr>
          <w:sz w:val="16"/>
        </w:rPr>
        <w:t>2</w:t>
      </w:r>
      <w:r>
        <w:rPr>
          <w:position w:val="2"/>
        </w:rPr>
        <w:t>LFDI</w:t>
      </w:r>
      <w:r>
        <w:rPr>
          <w:spacing w:val="-6"/>
          <w:position w:val="2"/>
        </w:rPr>
        <w:t> </w:t>
      </w:r>
      <w:r>
        <w:rPr>
          <w:position w:val="2"/>
        </w:rPr>
        <w:t>+</w:t>
      </w:r>
      <w:r>
        <w:rPr>
          <w:spacing w:val="-4"/>
          <w:position w:val="2"/>
        </w:rPr>
        <w:t> </w:t>
      </w:r>
      <w:r>
        <w:rPr>
          <w:position w:val="2"/>
        </w:rPr>
        <w:t>β</w:t>
      </w:r>
      <w:r>
        <w:rPr>
          <w:sz w:val="16"/>
        </w:rPr>
        <w:t>3</w:t>
      </w:r>
      <w:r>
        <w:rPr>
          <w:position w:val="2"/>
        </w:rPr>
        <w:t>LTOP</w:t>
      </w:r>
      <w:r>
        <w:rPr>
          <w:spacing w:val="-6"/>
          <w:position w:val="2"/>
        </w:rPr>
        <w:t> </w:t>
      </w:r>
      <w:r>
        <w:rPr>
          <w:position w:val="2"/>
        </w:rPr>
        <w:t>+</w:t>
      </w:r>
      <w:r>
        <w:rPr>
          <w:spacing w:val="-5"/>
          <w:position w:val="2"/>
        </w:rPr>
        <w:t> </w:t>
      </w:r>
      <w:r>
        <w:rPr>
          <w:position w:val="2"/>
        </w:rPr>
        <w:t>β</w:t>
      </w:r>
      <w:r>
        <w:rPr>
          <w:sz w:val="16"/>
        </w:rPr>
        <w:t>4</w:t>
      </w:r>
      <w:r>
        <w:rPr>
          <w:position w:val="2"/>
        </w:rPr>
        <w:t>LREM</w:t>
      </w:r>
      <w:r>
        <w:rPr>
          <w:spacing w:val="-2"/>
          <w:position w:val="2"/>
        </w:rPr>
        <w:t> </w:t>
      </w:r>
      <w:r>
        <w:rPr>
          <w:position w:val="2"/>
        </w:rPr>
        <w:t>+</w:t>
      </w:r>
      <w:r>
        <w:rPr>
          <w:spacing w:val="-5"/>
          <w:position w:val="2"/>
        </w:rPr>
        <w:t> </w:t>
      </w:r>
      <w:r>
        <w:rPr>
          <w:position w:val="2"/>
        </w:rPr>
        <w:t>β</w:t>
      </w:r>
      <w:r>
        <w:rPr>
          <w:sz w:val="16"/>
        </w:rPr>
        <w:t>5</w:t>
      </w:r>
      <w:r>
        <w:rPr>
          <w:position w:val="2"/>
        </w:rPr>
        <w:t>LODA</w:t>
      </w:r>
      <w:r>
        <w:rPr>
          <w:spacing w:val="-5"/>
          <w:position w:val="2"/>
        </w:rPr>
        <w:t> </w:t>
      </w:r>
      <w:r>
        <w:rPr>
          <w:position w:val="2"/>
        </w:rPr>
        <w:t>+</w:t>
      </w:r>
      <w:r>
        <w:rPr>
          <w:spacing w:val="-6"/>
          <w:position w:val="2"/>
        </w:rPr>
        <w:t> </w:t>
      </w:r>
      <w:r>
        <w:rPr>
          <w:spacing w:val="-2"/>
          <w:position w:val="2"/>
        </w:rPr>
        <w:t>β</w:t>
      </w:r>
      <w:r>
        <w:rPr>
          <w:spacing w:val="-2"/>
          <w:sz w:val="16"/>
        </w:rPr>
        <w:t>6</w:t>
      </w:r>
      <w:r>
        <w:rPr>
          <w:spacing w:val="-2"/>
          <w:position w:val="2"/>
        </w:rPr>
        <w:t>CPS/GDP</w:t>
      </w:r>
    </w:p>
    <w:p>
      <w:pPr>
        <w:pStyle w:val="BodyText"/>
        <w:tabs>
          <w:tab w:pos="8267" w:val="left" w:leader="none"/>
        </w:tabs>
        <w:spacing w:before="286"/>
        <w:ind w:left="0" w:right="444"/>
        <w:jc w:val="right"/>
      </w:pPr>
      <w:r>
        <w:rPr>
          <w:position w:val="2"/>
        </w:rPr>
        <w:t>+</w:t>
      </w:r>
      <w:r>
        <w:rPr>
          <w:spacing w:val="-4"/>
          <w:position w:val="2"/>
        </w:rPr>
        <w:t> </w:t>
      </w:r>
      <w:r>
        <w:rPr>
          <w:position w:val="2"/>
        </w:rPr>
        <w:t>β</w:t>
      </w:r>
      <w:r>
        <w:rPr>
          <w:sz w:val="16"/>
        </w:rPr>
        <w:t>7</w:t>
      </w:r>
      <w:r>
        <w:rPr>
          <w:position w:val="2"/>
        </w:rPr>
        <w:t>INT</w:t>
      </w:r>
      <w:r>
        <w:rPr>
          <w:spacing w:val="-4"/>
          <w:position w:val="2"/>
        </w:rPr>
        <w:t> </w:t>
      </w:r>
      <w:r>
        <w:rPr>
          <w:position w:val="2"/>
        </w:rPr>
        <w:t>+</w:t>
      </w:r>
      <w:r>
        <w:rPr>
          <w:spacing w:val="-4"/>
          <w:position w:val="2"/>
        </w:rPr>
        <w:t> </w:t>
      </w:r>
      <w:r>
        <w:rPr>
          <w:position w:val="2"/>
        </w:rPr>
        <w:t>β</w:t>
      </w:r>
      <w:r>
        <w:rPr>
          <w:sz w:val="16"/>
        </w:rPr>
        <w:t>8</w:t>
      </w:r>
      <w:r>
        <w:rPr>
          <w:position w:val="2"/>
        </w:rPr>
        <w:t>EXCH</w:t>
      </w:r>
      <w:r>
        <w:rPr>
          <w:spacing w:val="-5"/>
          <w:position w:val="2"/>
        </w:rPr>
        <w:t> </w:t>
      </w:r>
      <w:r>
        <w:rPr>
          <w:position w:val="2"/>
        </w:rPr>
        <w:t>+</w:t>
      </w:r>
      <w:r>
        <w:rPr>
          <w:spacing w:val="-4"/>
          <w:position w:val="2"/>
        </w:rPr>
        <w:t> </w:t>
      </w:r>
      <w:r>
        <w:rPr>
          <w:spacing w:val="-10"/>
          <w:position w:val="2"/>
        </w:rPr>
        <w:t>µ</w:t>
      </w:r>
      <w:r>
        <w:rPr>
          <w:position w:val="2"/>
        </w:rPr>
        <w:tab/>
      </w:r>
      <w:r>
        <w:rPr>
          <w:spacing w:val="-5"/>
          <w:position w:val="2"/>
        </w:rPr>
        <w:t>(2)</w:t>
      </w:r>
    </w:p>
    <w:p>
      <w:pPr>
        <w:pStyle w:val="BodyText"/>
        <w:spacing w:before="1"/>
        <w:ind w:left="0"/>
      </w:pPr>
    </w:p>
    <w:p>
      <w:pPr>
        <w:pStyle w:val="BodyText"/>
      </w:pPr>
      <w:r>
        <w:rPr>
          <w:spacing w:val="-2"/>
        </w:rPr>
        <w:t>Where</w:t>
      </w:r>
    </w:p>
    <w:p>
      <w:pPr>
        <w:pStyle w:val="BodyText"/>
        <w:tabs>
          <w:tab w:pos="1660" w:val="left" w:leader="none"/>
        </w:tabs>
        <w:spacing w:before="286"/>
      </w:pPr>
      <w:r>
        <w:rPr>
          <w:spacing w:val="-2"/>
        </w:rPr>
        <w:t>LRGDP=</w:t>
      </w:r>
      <w:r>
        <w:rPr/>
        <w:tab/>
        <w:t>Log</w:t>
      </w:r>
      <w:r>
        <w:rPr>
          <w:spacing w:val="-8"/>
        </w:rPr>
        <w:t> </w:t>
      </w:r>
      <w:r>
        <w:rPr/>
        <w:t>of</w:t>
      </w:r>
      <w:r>
        <w:rPr>
          <w:spacing w:val="-7"/>
        </w:rPr>
        <w:t> </w:t>
      </w:r>
      <w:r>
        <w:rPr/>
        <w:t>RealGross</w:t>
      </w:r>
      <w:r>
        <w:rPr>
          <w:spacing w:val="-6"/>
        </w:rPr>
        <w:t> </w:t>
      </w:r>
      <w:r>
        <w:rPr/>
        <w:t>Domestic</w:t>
      </w:r>
      <w:r>
        <w:rPr>
          <w:spacing w:val="-8"/>
        </w:rPr>
        <w:t> </w:t>
      </w:r>
      <w:r>
        <w:rPr>
          <w:spacing w:val="-2"/>
        </w:rPr>
        <w:t>Product</w:t>
      </w:r>
    </w:p>
    <w:p>
      <w:pPr>
        <w:pStyle w:val="BodyText"/>
        <w:spacing w:before="1"/>
        <w:ind w:left="0"/>
      </w:pPr>
    </w:p>
    <w:p>
      <w:pPr>
        <w:pStyle w:val="BodyText"/>
        <w:tabs>
          <w:tab w:pos="940" w:val="left" w:leader="none"/>
          <w:tab w:pos="1660" w:val="left" w:leader="none"/>
        </w:tabs>
        <w:spacing w:line="480" w:lineRule="auto"/>
        <w:ind w:right="4354"/>
      </w:pPr>
      <w:r>
        <w:rPr>
          <w:spacing w:val="-4"/>
        </w:rPr>
        <w:t>LFPI</w:t>
      </w:r>
      <w:r>
        <w:rPr/>
        <w:tab/>
      </w:r>
      <w:r>
        <w:rPr>
          <w:spacing w:val="-10"/>
        </w:rPr>
        <w:t>=</w:t>
      </w:r>
      <w:r>
        <w:rPr/>
        <w:tab/>
        <w:t>Log</w:t>
      </w:r>
      <w:r>
        <w:rPr>
          <w:spacing w:val="-10"/>
        </w:rPr>
        <w:t> </w:t>
      </w:r>
      <w:r>
        <w:rPr/>
        <w:t>ofForeign</w:t>
      </w:r>
      <w:r>
        <w:rPr>
          <w:spacing w:val="-10"/>
        </w:rPr>
        <w:t> </w:t>
      </w:r>
      <w:r>
        <w:rPr/>
        <w:t>Portfolio</w:t>
      </w:r>
      <w:r>
        <w:rPr>
          <w:spacing w:val="-12"/>
        </w:rPr>
        <w:t> </w:t>
      </w:r>
      <w:r>
        <w:rPr/>
        <w:t>Investment</w:t>
      </w:r>
      <w:r>
        <w:rPr>
          <w:spacing w:val="-10"/>
        </w:rPr>
        <w:t> </w:t>
      </w:r>
      <w:r>
        <w:rPr/>
        <w:t>Inflow LFDI =</w:t>
        <w:tab/>
        <w:t>Log ofForeign Direct Investment Inflow LTOP =</w:t>
        <w:tab/>
        <w:t>Log of TradeOpenness</w:t>
      </w:r>
    </w:p>
    <w:p>
      <w:pPr>
        <w:pStyle w:val="BodyText"/>
        <w:tabs>
          <w:tab w:pos="1660" w:val="left" w:leader="none"/>
        </w:tabs>
        <w:spacing w:before="2"/>
      </w:pPr>
      <w:r>
        <w:rPr/>
        <w:t>LREM</w:t>
      </w:r>
      <w:r>
        <w:rPr>
          <w:spacing w:val="-8"/>
        </w:rPr>
        <w:t> </w:t>
      </w:r>
      <w:r>
        <w:rPr>
          <w:spacing w:val="-10"/>
        </w:rPr>
        <w:t>=</w:t>
      </w:r>
      <w:r>
        <w:rPr/>
        <w:tab/>
        <w:t>Log</w:t>
      </w:r>
      <w:r>
        <w:rPr>
          <w:spacing w:val="-5"/>
        </w:rPr>
        <w:t> </w:t>
      </w:r>
      <w:r>
        <w:rPr/>
        <w:t>of</w:t>
      </w:r>
      <w:r>
        <w:rPr>
          <w:spacing w:val="-3"/>
        </w:rPr>
        <w:t> </w:t>
      </w:r>
      <w:r>
        <w:rPr>
          <w:spacing w:val="-2"/>
        </w:rPr>
        <w:t>Remittances</w:t>
      </w:r>
    </w:p>
    <w:p>
      <w:pPr>
        <w:pStyle w:val="BodyText"/>
        <w:tabs>
          <w:tab w:pos="1660" w:val="left" w:leader="none"/>
        </w:tabs>
        <w:spacing w:line="480" w:lineRule="auto" w:before="286"/>
        <w:ind w:right="4663"/>
      </w:pPr>
      <w:r>
        <w:rPr/>
        <w:t>LODA =</w:t>
        <w:tab/>
        <w:t>Log</w:t>
      </w:r>
      <w:r>
        <w:rPr>
          <w:spacing w:val="-12"/>
        </w:rPr>
        <w:t> </w:t>
      </w:r>
      <w:r>
        <w:rPr/>
        <w:t>of</w:t>
      </w:r>
      <w:r>
        <w:rPr>
          <w:spacing w:val="-12"/>
        </w:rPr>
        <w:t> </w:t>
      </w:r>
      <w:r>
        <w:rPr/>
        <w:t>OfficialDevelopment</w:t>
      </w:r>
      <w:r>
        <w:rPr>
          <w:spacing w:val="-12"/>
        </w:rPr>
        <w:t> </w:t>
      </w:r>
      <w:r>
        <w:rPr/>
        <w:t>Assistance INT/EXCH = Control Variables</w:t>
      </w:r>
    </w:p>
    <w:p>
      <w:pPr>
        <w:spacing w:after="0" w:line="480" w:lineRule="auto"/>
        <w:sectPr>
          <w:pgSz w:w="12240" w:h="15840"/>
          <w:pgMar w:header="0" w:footer="1012" w:top="1380" w:bottom="1200" w:left="1220" w:right="700"/>
        </w:sectPr>
      </w:pPr>
    </w:p>
    <w:p>
      <w:pPr>
        <w:pStyle w:val="Heading1"/>
        <w:ind w:right="688"/>
      </w:pPr>
      <w:r>
        <w:rPr/>
        <w:t>CHAPTER</w:t>
      </w:r>
      <w:r>
        <w:rPr>
          <w:spacing w:val="-16"/>
        </w:rPr>
        <w:t> </w:t>
      </w:r>
      <w:r>
        <w:rPr>
          <w:spacing w:val="-4"/>
        </w:rPr>
        <w:t>FOUR</w:t>
      </w:r>
    </w:p>
    <w:p>
      <w:pPr>
        <w:pStyle w:val="BodyText"/>
        <w:spacing w:before="161"/>
        <w:ind w:left="0"/>
        <w:rPr>
          <w:b/>
        </w:rPr>
      </w:pPr>
    </w:p>
    <w:p>
      <w:pPr>
        <w:spacing w:before="0"/>
        <w:ind w:left="170" w:right="690" w:firstLine="0"/>
        <w:jc w:val="center"/>
        <w:rPr>
          <w:b/>
          <w:sz w:val="25"/>
        </w:rPr>
      </w:pPr>
      <w:r>
        <w:rPr>
          <w:b/>
          <w:sz w:val="25"/>
        </w:rPr>
        <w:t>DATA</w:t>
      </w:r>
      <w:r>
        <w:rPr>
          <w:b/>
          <w:spacing w:val="-12"/>
          <w:sz w:val="25"/>
        </w:rPr>
        <w:t> </w:t>
      </w:r>
      <w:r>
        <w:rPr>
          <w:b/>
          <w:sz w:val="25"/>
        </w:rPr>
        <w:t>PRESENTATION</w:t>
      </w:r>
      <w:r>
        <w:rPr>
          <w:b/>
          <w:spacing w:val="-11"/>
          <w:sz w:val="25"/>
        </w:rPr>
        <w:t> </w:t>
      </w:r>
      <w:r>
        <w:rPr>
          <w:b/>
          <w:sz w:val="25"/>
        </w:rPr>
        <w:t>AND</w:t>
      </w:r>
      <w:r>
        <w:rPr>
          <w:b/>
          <w:spacing w:val="-12"/>
          <w:sz w:val="25"/>
        </w:rPr>
        <w:t> </w:t>
      </w:r>
      <w:r>
        <w:rPr>
          <w:b/>
          <w:spacing w:val="-2"/>
          <w:sz w:val="25"/>
        </w:rPr>
        <w:t>ANALYSIS</w:t>
      </w:r>
    </w:p>
    <w:p>
      <w:pPr>
        <w:pStyle w:val="BodyText"/>
        <w:spacing w:before="160"/>
        <w:ind w:left="0"/>
        <w:rPr>
          <w:b/>
        </w:rPr>
      </w:pPr>
    </w:p>
    <w:p>
      <w:pPr>
        <w:pStyle w:val="Heading2"/>
        <w:numPr>
          <w:ilvl w:val="1"/>
          <w:numId w:val="23"/>
        </w:numPr>
        <w:tabs>
          <w:tab w:pos="593" w:val="left" w:leader="none"/>
        </w:tabs>
        <w:spacing w:line="240" w:lineRule="auto" w:before="0" w:after="0"/>
        <w:ind w:left="593" w:right="0" w:hanging="373"/>
        <w:jc w:val="left"/>
      </w:pPr>
      <w:bookmarkStart w:name="_TOC_250023" w:id="52"/>
      <w:bookmarkEnd w:id="52"/>
      <w:r>
        <w:rPr>
          <w:spacing w:val="-2"/>
        </w:rPr>
        <w:t>Introduction</w:t>
      </w:r>
    </w:p>
    <w:p>
      <w:pPr>
        <w:pStyle w:val="BodyText"/>
        <w:spacing w:before="159"/>
        <w:ind w:left="0"/>
        <w:rPr>
          <w:b/>
        </w:rPr>
      </w:pPr>
    </w:p>
    <w:p>
      <w:pPr>
        <w:pStyle w:val="BodyText"/>
        <w:spacing w:line="480" w:lineRule="auto"/>
        <w:ind w:right="733"/>
        <w:jc w:val="both"/>
      </w:pPr>
      <w:r>
        <w:rPr/>
        <mc:AlternateContent>
          <mc:Choice Requires="wps">
            <w:drawing>
              <wp:anchor distT="0" distB="0" distL="0" distR="0" allowOverlap="1" layoutInCell="1" locked="0" behindDoc="1" simplePos="0" relativeHeight="478094336">
                <wp:simplePos x="0" y="0"/>
                <wp:positionH relativeFrom="page">
                  <wp:posOffset>950112</wp:posOffset>
                </wp:positionH>
                <wp:positionV relativeFrom="paragraph">
                  <wp:posOffset>-117128</wp:posOffset>
                </wp:positionV>
                <wp:extent cx="5505450" cy="5661025"/>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9.222705pt;width:433.5pt;height:445.75pt;mso-position-horizontal-relative:page;mso-position-vertical-relative:paragraph;z-index:-25222144" id="docshape183" coordorigin="1496,-184" coordsize="8670,8915" path="m2562,8535l1691,7664,1496,7859,2367,8730,2562,8535xm3154,7859l3153,7820,3148,7777,3139,7733,3125,7689,3106,7646,3083,7602,3055,7560,3025,7519,2991,7479,2954,7440,2435,6920,2241,7115,2772,7646,2805,7682,2829,7718,2846,7752,2856,7787,2858,7819,2851,7850,2837,7878,2816,7905,2790,7926,2761,7940,2730,7946,2697,7944,2663,7934,2628,7918,2593,7893,2557,7862,2026,7330,1831,7524,2351,8043,2385,8076,2424,8108,2468,8140,2516,8173,2548,8192,2583,8207,2620,8221,2658,8231,2697,8239,2733,8243,2767,8243,2800,8240,2831,8233,2863,8221,2895,8205,2926,8184,2957,8161,2985,8138,3011,8115,3035,8093,3071,8052,3102,8012,3125,7970,3142,7928,3150,7895,3154,7859xm3882,7076l3876,7012,3860,6946,3834,6880,3806,6825,3771,6769,3728,6712,3678,6653,3661,6634,3621,6592,3597,6570,3597,7064,3592,7104,3577,7141,3551,7174,3518,7199,3481,7214,3441,7219,3396,7213,3347,7194,3294,7163,3235,7118,3171,7059,3112,6995,3066,6936,3035,6881,3016,6832,3010,6788,3014,6748,3029,6712,3053,6680,3086,6654,3122,6639,3163,6634,3207,6639,3255,6656,3307,6686,3363,6728,3423,6783,3488,6853,3538,6916,3572,6972,3591,7020,3597,7064,3597,6570,3551,6527,3482,6472,3413,6427,3344,6392,3276,6366,3209,6350,3130,6344,3055,6354,2983,6380,2914,6420,2850,6476,2796,6539,2756,6607,2732,6679,2723,6754,2729,6834,2746,6902,2772,6971,2808,7041,2854,7111,2910,7181,2976,7252,3036,7309,3096,7359,3156,7401,3215,7436,3273,7463,3344,7487,3411,7501,3475,7504,3535,7498,3593,7482,3649,7455,3705,7417,3758,7369,3805,7315,3841,7259,3858,7219,3866,7200,3879,7139,3882,7076xm4153,6496l3966,6309,3712,6564,3899,6751,4153,6496xm4664,6434l3793,5563,3598,5758,4469,6629,4664,6434xm4998,6100l4675,5776,4781,5670,4832,5610,4837,5600,4866,5548,4883,5485,4882,5420,4866,5355,4843,5304,4836,5289,4792,5223,4733,5157,4670,5100,4607,5057,4598,5052,4598,5446,4597,5471,4587,5497,4570,5524,4546,5552,4498,5600,4304,5405,4359,5350,4386,5327,4412,5311,4438,5304,4462,5304,4486,5311,4509,5321,4531,5335,4552,5354,4570,5375,4584,5398,4593,5421,4598,5446,4598,5052,4544,5027,4483,5011,4423,5010,4365,5025,4309,5055,4255,5100,3931,5424,4803,6295,4998,6100xm5788,5310l5132,4654,5330,4455,5115,4240,4524,4832,4739,5047,4937,4848,5593,5504,5788,5310xm6423,4674l5767,4018,5966,3820,5751,3605,5159,4196,5374,4411,5573,4213,6229,4869,6423,4674xm7157,3801l7151,3737,7135,3671,7109,3605,7081,3550,7046,3494,7003,3437,6953,3378,6935,3359,6896,3318,6872,3295,6872,3789,6867,3829,6851,3866,6825,3899,6793,3925,6756,3940,6716,3944,6671,3938,6622,3919,6569,3888,6510,3843,6446,3784,6387,3720,6341,3661,6309,3606,6291,3557,6285,3513,6289,3473,6304,3437,6328,3405,6361,3380,6397,3364,6438,3359,6482,3364,6530,3382,6582,3411,6638,3454,6698,3509,6763,3578,6813,3641,6847,3697,6866,3746,6872,3789,6872,3295,6826,3252,6756,3197,6687,3152,6619,3117,6551,3091,6483,3075,6405,3070,6329,3080,6258,3105,6189,3145,6125,3201,6071,3264,6031,3332,6007,3404,5998,3479,6004,3559,6021,3627,6047,3696,6083,3766,6129,3836,6184,3906,6250,3977,6311,4034,6371,4084,6431,4126,6490,4161,6548,4188,6619,4212,6686,4226,6750,4230,6810,4223,6868,4207,6924,4180,6979,4142,7033,4094,7080,4040,7116,3984,7133,3944,7141,3925,7154,3864,7157,3801xm8170,2806l8165,2757,8153,2706,8134,2654,8109,2599,8079,2543,8041,2486,7980,2511,7799,2585,7831,2632,7855,2675,7873,2715,7884,2753,7887,2788,7881,2821,7866,2852,7843,2881,7812,2905,7778,2919,7740,2923,7700,2917,7653,2898,7600,2864,7538,2815,7469,2750,7417,2694,7375,2642,7344,2594,7324,2551,7311,2500,7312,2453,7325,2412,7352,2376,7367,2363,7384,2353,7402,2345,7422,2340,7442,2338,7464,2339,7486,2342,7509,2348,7524,2354,7542,2362,7563,2373,7586,2387,7705,2162,7622,2116,7543,2084,7469,2065,7400,2059,7333,2067,7269,2089,7206,2127,7146,2180,7092,2242,7054,2309,7030,2379,7021,2453,7027,2531,7044,2598,7070,2665,7106,2734,7153,2804,7209,2875,7276,2947,7341,3007,7404,3059,7467,3103,7529,3138,7590,3166,7662,3189,7730,3202,7791,3205,7847,3198,7900,3181,7952,3155,8004,3118,8056,3072,8094,3029,8125,2986,8147,2942,8161,2898,8169,2853,8170,2806xm8868,2090l8861,2026,8846,1961,8820,1894,8792,1839,8757,1783,8714,1726,8664,1667,8646,1648,8607,1607,8583,1584,8583,2078,8578,2118,8562,2155,8536,2188,8504,2214,8467,2229,8427,2233,8382,2227,8333,2209,8279,2177,8221,2132,8157,2073,8098,2009,8052,1950,8020,1896,8002,1847,7996,1802,8000,1762,8014,1726,8039,1694,8071,1669,8108,1653,8149,1648,8193,1653,8241,1671,8293,1700,8349,1743,8409,1798,8474,1867,8524,1930,8558,1986,8577,2035,8583,2078,8583,1584,8537,1541,8467,1486,8398,1441,8330,1406,8262,1380,8194,1364,8116,1359,8040,1369,7968,1394,7900,1435,7835,1490,7781,1554,7742,1621,7718,1693,7709,1769,7715,1848,7731,1917,7758,1986,7794,2055,7839,2125,7895,2196,7961,2266,8022,2324,8082,2373,8142,2415,8201,2450,8259,2477,8329,2502,8397,2515,8461,2519,8521,2512,8579,2496,8635,2469,8690,2431,8744,2383,8791,2329,8827,2273,8844,2233,8852,2214,8865,2153,8868,2090xm9348,1749l9025,1426,9132,1319,9182,1259,9188,1250,9216,1198,9233,1135,9233,1070,9217,1004,9194,953,9187,938,9142,873,9084,807,9020,749,8957,706,8948,702,8948,1095,8947,1121,8938,1147,8921,1174,8896,1202,8849,1250,8654,1055,8710,1000,8737,976,8763,961,8788,953,8812,954,8836,960,8859,971,8881,985,8902,1004,8920,1025,8934,1048,8943,1071,8948,1095,8948,702,8895,677,8833,661,8773,660,8715,675,8659,705,8605,750,8282,1074,9153,1945,9348,1749xm10166,932l9801,567,9748,417,9593,-34,9540,-184,9325,31,9353,101,9436,312,9492,452,9422,424,9211,341,9071,285,8854,501,9005,554,9456,709,9606,762,9971,1127,10166,932xe" filled="true" fillcolor="#c0c0c0" stroked="false">
                <v:path arrowok="t"/>
                <v:fill opacity="32896f" type="solid"/>
                <w10:wrap type="none"/>
              </v:shape>
            </w:pict>
          </mc:Fallback>
        </mc:AlternateContent>
      </w:r>
      <w:r>
        <w:rPr/>
        <w:t>This section deals with the presentationanalysis and interpretation of workgotten so far in</w:t>
      </w:r>
      <w:r>
        <w:rPr>
          <w:spacing w:val="80"/>
        </w:rPr>
        <w:t> </w:t>
      </w:r>
      <w:r>
        <w:rPr/>
        <w:t>this study. This is based on the words ofPyndricks (2005) that no set of data ismeaningful until it is presentedand interpreted by the user or researcher. The empiricalanalysis are done under the following sectionsand the data used for the analysis areattached as Appendix I.</w:t>
      </w:r>
    </w:p>
    <w:p>
      <w:pPr>
        <w:pStyle w:val="BodyText"/>
        <w:spacing w:before="161"/>
        <w:ind w:left="0"/>
      </w:pPr>
    </w:p>
    <w:p>
      <w:pPr>
        <w:pStyle w:val="Heading2"/>
        <w:numPr>
          <w:ilvl w:val="1"/>
          <w:numId w:val="24"/>
        </w:numPr>
        <w:tabs>
          <w:tab w:pos="593" w:val="left" w:leader="none"/>
        </w:tabs>
        <w:spacing w:line="240" w:lineRule="auto" w:before="1" w:after="0"/>
        <w:ind w:left="593" w:right="0" w:hanging="373"/>
        <w:jc w:val="left"/>
      </w:pPr>
      <w:bookmarkStart w:name="_TOC_250022" w:id="53"/>
      <w:r>
        <w:rPr/>
        <w:t>Descriptive</w:t>
      </w:r>
      <w:r>
        <w:rPr>
          <w:spacing w:val="-13"/>
        </w:rPr>
        <w:t> </w:t>
      </w:r>
      <w:bookmarkEnd w:id="53"/>
      <w:r>
        <w:rPr>
          <w:spacing w:val="-2"/>
        </w:rPr>
        <w:t>Statistics</w:t>
      </w:r>
    </w:p>
    <w:p>
      <w:pPr>
        <w:pStyle w:val="BodyText"/>
        <w:spacing w:before="159"/>
        <w:ind w:left="0"/>
        <w:rPr>
          <w:b/>
        </w:rPr>
      </w:pPr>
    </w:p>
    <w:p>
      <w:pPr>
        <w:pStyle w:val="BodyText"/>
        <w:spacing w:line="480" w:lineRule="auto"/>
        <w:ind w:right="736"/>
        <w:jc w:val="both"/>
      </w:pPr>
      <w:r>
        <w:rPr/>
        <w:t>Descriptive statistics measurethe individual characteristics of thevariables used in this study. It shows the mean, medianstandard deviation, Jarque-Beraand its probability value (Used to measures normality of the data). The result of the descriptivestatistics is presented in the</w:t>
      </w:r>
      <w:r>
        <w:rPr>
          <w:spacing w:val="40"/>
        </w:rPr>
        <w:t> </w:t>
      </w:r>
      <w:r>
        <w:rPr/>
        <w:t>table below.</w:t>
      </w:r>
    </w:p>
    <w:p>
      <w:pPr>
        <w:pStyle w:val="Heading2"/>
        <w:spacing w:before="161"/>
        <w:ind w:left="220" w:firstLine="0"/>
        <w:jc w:val="both"/>
      </w:pPr>
      <w:r>
        <w:rPr/>
        <w:t>Table</w:t>
      </w:r>
      <w:r>
        <w:rPr>
          <w:spacing w:val="-8"/>
        </w:rPr>
        <w:t> </w:t>
      </w:r>
      <w:r>
        <w:rPr/>
        <w:t>1</w:t>
      </w:r>
      <w:r>
        <w:rPr>
          <w:spacing w:val="-8"/>
        </w:rPr>
        <w:t> </w:t>
      </w:r>
      <w:r>
        <w:rPr/>
        <w:t>Descriptive</w:t>
      </w:r>
      <w:r>
        <w:rPr>
          <w:spacing w:val="-8"/>
        </w:rPr>
        <w:t> </w:t>
      </w:r>
      <w:r>
        <w:rPr>
          <w:spacing w:val="-2"/>
        </w:rPr>
        <w:t>Statistics</w:t>
      </w:r>
    </w:p>
    <w:p>
      <w:pPr>
        <w:pStyle w:val="BodyText"/>
        <w:spacing w:before="56"/>
        <w:ind w:left="0"/>
        <w:rPr>
          <w:b/>
          <w:sz w:val="20"/>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4"/>
        <w:gridCol w:w="1014"/>
        <w:gridCol w:w="959"/>
        <w:gridCol w:w="957"/>
        <w:gridCol w:w="1000"/>
        <w:gridCol w:w="968"/>
        <w:gridCol w:w="1067"/>
        <w:gridCol w:w="954"/>
        <w:gridCol w:w="941"/>
        <w:gridCol w:w="948"/>
      </w:tblGrid>
      <w:tr>
        <w:trPr>
          <w:trHeight w:val="225" w:hRule="atLeast"/>
        </w:trPr>
        <w:tc>
          <w:tcPr>
            <w:tcW w:w="1294" w:type="dxa"/>
            <w:tcBorders>
              <w:top w:val="single" w:sz="4" w:space="0" w:color="000000"/>
              <w:bottom w:val="single" w:sz="4" w:space="0" w:color="000000"/>
            </w:tcBorders>
          </w:tcPr>
          <w:p>
            <w:pPr>
              <w:pStyle w:val="TableParagraph"/>
              <w:spacing w:line="240" w:lineRule="auto" w:before="0"/>
              <w:rPr>
                <w:rFonts w:ascii="Times New Roman"/>
                <w:sz w:val="16"/>
              </w:rPr>
            </w:pPr>
          </w:p>
        </w:tc>
        <w:tc>
          <w:tcPr>
            <w:tcW w:w="1014" w:type="dxa"/>
            <w:tcBorders>
              <w:top w:val="single" w:sz="4" w:space="0" w:color="000000"/>
              <w:bottom w:val="single" w:sz="4" w:space="0" w:color="000000"/>
            </w:tcBorders>
          </w:tcPr>
          <w:p>
            <w:pPr>
              <w:pStyle w:val="TableParagraph"/>
              <w:spacing w:line="187" w:lineRule="exact" w:before="18"/>
              <w:ind w:right="62"/>
              <w:jc w:val="center"/>
              <w:rPr>
                <w:rFonts w:ascii="Arial"/>
                <w:b/>
                <w:sz w:val="18"/>
              </w:rPr>
            </w:pPr>
            <w:r>
              <w:rPr>
                <w:rFonts w:ascii="Arial"/>
                <w:b/>
                <w:spacing w:val="-4"/>
                <w:sz w:val="18"/>
              </w:rPr>
              <w:t>RGDP</w:t>
            </w:r>
          </w:p>
        </w:tc>
        <w:tc>
          <w:tcPr>
            <w:tcW w:w="959" w:type="dxa"/>
            <w:tcBorders>
              <w:top w:val="single" w:sz="4" w:space="0" w:color="000000"/>
              <w:bottom w:val="single" w:sz="4" w:space="0" w:color="000000"/>
            </w:tcBorders>
          </w:tcPr>
          <w:p>
            <w:pPr>
              <w:pStyle w:val="TableParagraph"/>
              <w:spacing w:line="187" w:lineRule="exact" w:before="18"/>
              <w:ind w:left="39"/>
              <w:jc w:val="center"/>
              <w:rPr>
                <w:rFonts w:ascii="Arial"/>
                <w:b/>
                <w:sz w:val="18"/>
              </w:rPr>
            </w:pPr>
            <w:r>
              <w:rPr>
                <w:rFonts w:ascii="Arial"/>
                <w:b/>
                <w:spacing w:val="-5"/>
                <w:sz w:val="18"/>
              </w:rPr>
              <w:t>FDI</w:t>
            </w:r>
          </w:p>
        </w:tc>
        <w:tc>
          <w:tcPr>
            <w:tcW w:w="957" w:type="dxa"/>
            <w:tcBorders>
              <w:top w:val="single" w:sz="4" w:space="0" w:color="000000"/>
              <w:bottom w:val="single" w:sz="4" w:space="0" w:color="000000"/>
            </w:tcBorders>
          </w:tcPr>
          <w:p>
            <w:pPr>
              <w:pStyle w:val="TableParagraph"/>
              <w:spacing w:line="187" w:lineRule="exact" w:before="18"/>
              <w:ind w:left="4" w:right="79"/>
              <w:jc w:val="center"/>
              <w:rPr>
                <w:rFonts w:ascii="Arial"/>
                <w:b/>
                <w:sz w:val="18"/>
              </w:rPr>
            </w:pPr>
            <w:r>
              <w:rPr>
                <w:rFonts w:ascii="Arial"/>
                <w:b/>
                <w:spacing w:val="-5"/>
                <w:sz w:val="18"/>
              </w:rPr>
              <w:t>FPI</w:t>
            </w:r>
          </w:p>
        </w:tc>
        <w:tc>
          <w:tcPr>
            <w:tcW w:w="1000" w:type="dxa"/>
            <w:tcBorders>
              <w:top w:val="single" w:sz="4" w:space="0" w:color="000000"/>
              <w:bottom w:val="single" w:sz="4" w:space="0" w:color="000000"/>
            </w:tcBorders>
          </w:tcPr>
          <w:p>
            <w:pPr>
              <w:pStyle w:val="TableParagraph"/>
              <w:spacing w:line="187" w:lineRule="exact" w:before="18"/>
              <w:ind w:left="2" w:right="57"/>
              <w:jc w:val="center"/>
              <w:rPr>
                <w:rFonts w:ascii="Arial"/>
                <w:b/>
                <w:sz w:val="18"/>
              </w:rPr>
            </w:pPr>
            <w:r>
              <w:rPr>
                <w:rFonts w:ascii="Arial"/>
                <w:b/>
                <w:spacing w:val="-5"/>
                <w:sz w:val="18"/>
              </w:rPr>
              <w:t>ODA</w:t>
            </w:r>
          </w:p>
        </w:tc>
        <w:tc>
          <w:tcPr>
            <w:tcW w:w="968" w:type="dxa"/>
            <w:tcBorders>
              <w:top w:val="single" w:sz="4" w:space="0" w:color="000000"/>
              <w:bottom w:val="single" w:sz="4" w:space="0" w:color="000000"/>
            </w:tcBorders>
          </w:tcPr>
          <w:p>
            <w:pPr>
              <w:pStyle w:val="TableParagraph"/>
              <w:spacing w:line="187" w:lineRule="exact" w:before="18"/>
              <w:ind w:left="9" w:right="48"/>
              <w:jc w:val="center"/>
              <w:rPr>
                <w:rFonts w:ascii="Arial"/>
                <w:b/>
                <w:sz w:val="18"/>
              </w:rPr>
            </w:pPr>
            <w:r>
              <w:rPr>
                <w:rFonts w:ascii="Arial"/>
                <w:b/>
                <w:spacing w:val="-5"/>
                <w:sz w:val="18"/>
              </w:rPr>
              <w:t>REM</w:t>
            </w:r>
          </w:p>
        </w:tc>
        <w:tc>
          <w:tcPr>
            <w:tcW w:w="1067" w:type="dxa"/>
            <w:tcBorders>
              <w:top w:val="single" w:sz="4" w:space="0" w:color="000000"/>
              <w:bottom w:val="single" w:sz="4" w:space="0" w:color="000000"/>
            </w:tcBorders>
          </w:tcPr>
          <w:p>
            <w:pPr>
              <w:pStyle w:val="TableParagraph"/>
              <w:spacing w:line="187" w:lineRule="exact" w:before="18"/>
              <w:ind w:left="48" w:right="49"/>
              <w:jc w:val="center"/>
              <w:rPr>
                <w:rFonts w:ascii="Arial"/>
                <w:b/>
                <w:sz w:val="18"/>
              </w:rPr>
            </w:pPr>
            <w:r>
              <w:rPr>
                <w:rFonts w:ascii="Arial"/>
                <w:b/>
                <w:spacing w:val="-2"/>
                <w:sz w:val="18"/>
              </w:rPr>
              <w:t>CPS_GDP</w:t>
            </w:r>
          </w:p>
        </w:tc>
        <w:tc>
          <w:tcPr>
            <w:tcW w:w="954" w:type="dxa"/>
            <w:tcBorders>
              <w:top w:val="single" w:sz="4" w:space="0" w:color="000000"/>
              <w:bottom w:val="single" w:sz="4" w:space="0" w:color="000000"/>
            </w:tcBorders>
          </w:tcPr>
          <w:p>
            <w:pPr>
              <w:pStyle w:val="TableParagraph"/>
              <w:spacing w:line="187" w:lineRule="exact" w:before="18"/>
              <w:ind w:left="6" w:right="51"/>
              <w:jc w:val="center"/>
              <w:rPr>
                <w:rFonts w:ascii="Arial"/>
                <w:b/>
                <w:sz w:val="18"/>
              </w:rPr>
            </w:pPr>
            <w:r>
              <w:rPr>
                <w:rFonts w:ascii="Arial"/>
                <w:b/>
                <w:spacing w:val="-5"/>
                <w:sz w:val="18"/>
              </w:rPr>
              <w:t>TOP</w:t>
            </w:r>
          </w:p>
        </w:tc>
        <w:tc>
          <w:tcPr>
            <w:tcW w:w="941" w:type="dxa"/>
            <w:tcBorders>
              <w:top w:val="single" w:sz="4" w:space="0" w:color="000000"/>
              <w:bottom w:val="single" w:sz="4" w:space="0" w:color="000000"/>
            </w:tcBorders>
          </w:tcPr>
          <w:p>
            <w:pPr>
              <w:pStyle w:val="TableParagraph"/>
              <w:spacing w:line="187" w:lineRule="exact" w:before="18"/>
              <w:ind w:left="2" w:right="53"/>
              <w:jc w:val="center"/>
              <w:rPr>
                <w:rFonts w:ascii="Arial"/>
                <w:b/>
                <w:sz w:val="18"/>
              </w:rPr>
            </w:pPr>
            <w:r>
              <w:rPr>
                <w:rFonts w:ascii="Arial"/>
                <w:b/>
                <w:spacing w:val="-5"/>
                <w:sz w:val="18"/>
              </w:rPr>
              <w:t>INT</w:t>
            </w:r>
          </w:p>
        </w:tc>
        <w:tc>
          <w:tcPr>
            <w:tcW w:w="948" w:type="dxa"/>
            <w:tcBorders>
              <w:top w:val="single" w:sz="4" w:space="0" w:color="000000"/>
              <w:bottom w:val="single" w:sz="4" w:space="0" w:color="000000"/>
            </w:tcBorders>
          </w:tcPr>
          <w:p>
            <w:pPr>
              <w:pStyle w:val="TableParagraph"/>
              <w:spacing w:line="187" w:lineRule="exact" w:before="18"/>
              <w:ind w:left="39"/>
              <w:jc w:val="center"/>
              <w:rPr>
                <w:rFonts w:ascii="Arial"/>
                <w:b/>
                <w:sz w:val="18"/>
              </w:rPr>
            </w:pPr>
            <w:r>
              <w:rPr>
                <w:rFonts w:ascii="Arial"/>
                <w:b/>
                <w:spacing w:val="-4"/>
                <w:sz w:val="18"/>
              </w:rPr>
              <w:t>EXCH</w:t>
            </w:r>
          </w:p>
        </w:tc>
      </w:tr>
      <w:tr>
        <w:trPr>
          <w:trHeight w:val="236" w:hRule="atLeast"/>
        </w:trPr>
        <w:tc>
          <w:tcPr>
            <w:tcW w:w="1294" w:type="dxa"/>
            <w:tcBorders>
              <w:top w:val="single" w:sz="4" w:space="0" w:color="000000"/>
            </w:tcBorders>
          </w:tcPr>
          <w:p>
            <w:pPr>
              <w:pStyle w:val="TableParagraph"/>
              <w:spacing w:line="198" w:lineRule="exact" w:before="18"/>
              <w:ind w:left="67"/>
              <w:rPr>
                <w:sz w:val="18"/>
              </w:rPr>
            </w:pPr>
            <w:r>
              <w:rPr>
                <w:spacing w:val="-4"/>
                <w:sz w:val="18"/>
              </w:rPr>
              <w:t>Mean</w:t>
            </w:r>
          </w:p>
        </w:tc>
        <w:tc>
          <w:tcPr>
            <w:tcW w:w="1014" w:type="dxa"/>
            <w:tcBorders>
              <w:top w:val="single" w:sz="4" w:space="0" w:color="000000"/>
            </w:tcBorders>
          </w:tcPr>
          <w:p>
            <w:pPr>
              <w:pStyle w:val="TableParagraph"/>
              <w:spacing w:line="198" w:lineRule="exact" w:before="18"/>
              <w:ind w:left="56" w:right="62"/>
              <w:jc w:val="center"/>
              <w:rPr>
                <w:sz w:val="18"/>
              </w:rPr>
            </w:pPr>
            <w:r>
              <w:rPr>
                <w:spacing w:val="-2"/>
                <w:sz w:val="18"/>
              </w:rPr>
              <w:t>38577.16</w:t>
            </w:r>
          </w:p>
        </w:tc>
        <w:tc>
          <w:tcPr>
            <w:tcW w:w="959" w:type="dxa"/>
            <w:tcBorders>
              <w:top w:val="single" w:sz="4" w:space="0" w:color="000000"/>
            </w:tcBorders>
          </w:tcPr>
          <w:p>
            <w:pPr>
              <w:pStyle w:val="TableParagraph"/>
              <w:spacing w:line="198" w:lineRule="exact" w:before="18"/>
              <w:ind w:left="90" w:right="2"/>
              <w:jc w:val="center"/>
              <w:rPr>
                <w:sz w:val="18"/>
              </w:rPr>
            </w:pPr>
            <w:r>
              <w:rPr>
                <w:spacing w:val="-2"/>
                <w:sz w:val="18"/>
              </w:rPr>
              <w:t>1209.514</w:t>
            </w:r>
          </w:p>
        </w:tc>
        <w:tc>
          <w:tcPr>
            <w:tcW w:w="957" w:type="dxa"/>
            <w:tcBorders>
              <w:top w:val="single" w:sz="4" w:space="0" w:color="000000"/>
            </w:tcBorders>
          </w:tcPr>
          <w:p>
            <w:pPr>
              <w:pStyle w:val="TableParagraph"/>
              <w:spacing w:line="198" w:lineRule="exact" w:before="18"/>
              <w:ind w:right="25"/>
              <w:jc w:val="center"/>
              <w:rPr>
                <w:sz w:val="18"/>
              </w:rPr>
            </w:pPr>
            <w:r>
              <w:rPr>
                <w:spacing w:val="-2"/>
                <w:sz w:val="18"/>
              </w:rPr>
              <w:t>89.75086</w:t>
            </w:r>
          </w:p>
        </w:tc>
        <w:tc>
          <w:tcPr>
            <w:tcW w:w="1000" w:type="dxa"/>
            <w:tcBorders>
              <w:top w:val="single" w:sz="4" w:space="0" w:color="000000"/>
            </w:tcBorders>
          </w:tcPr>
          <w:p>
            <w:pPr>
              <w:pStyle w:val="TableParagraph"/>
              <w:spacing w:line="198" w:lineRule="exact" w:before="18"/>
              <w:ind w:left="57" w:right="57"/>
              <w:jc w:val="center"/>
              <w:rPr>
                <w:sz w:val="18"/>
              </w:rPr>
            </w:pPr>
            <w:r>
              <w:rPr>
                <w:spacing w:val="-2"/>
                <w:sz w:val="18"/>
              </w:rPr>
              <w:t>3340.269</w:t>
            </w:r>
          </w:p>
        </w:tc>
        <w:tc>
          <w:tcPr>
            <w:tcW w:w="968" w:type="dxa"/>
            <w:tcBorders>
              <w:top w:val="single" w:sz="4" w:space="0" w:color="000000"/>
            </w:tcBorders>
          </w:tcPr>
          <w:p>
            <w:pPr>
              <w:pStyle w:val="TableParagraph"/>
              <w:spacing w:line="198" w:lineRule="exact" w:before="18"/>
              <w:ind w:left="47" w:right="39"/>
              <w:jc w:val="center"/>
              <w:rPr>
                <w:sz w:val="18"/>
              </w:rPr>
            </w:pPr>
            <w:r>
              <w:rPr>
                <w:spacing w:val="-2"/>
                <w:sz w:val="18"/>
              </w:rPr>
              <w:t>238.5011</w:t>
            </w:r>
          </w:p>
        </w:tc>
        <w:tc>
          <w:tcPr>
            <w:tcW w:w="1067" w:type="dxa"/>
            <w:tcBorders>
              <w:top w:val="single" w:sz="4" w:space="0" w:color="000000"/>
            </w:tcBorders>
          </w:tcPr>
          <w:p>
            <w:pPr>
              <w:pStyle w:val="TableParagraph"/>
              <w:spacing w:line="198" w:lineRule="exact" w:before="18"/>
              <w:ind w:left="48" w:right="2"/>
              <w:jc w:val="center"/>
              <w:rPr>
                <w:sz w:val="18"/>
              </w:rPr>
            </w:pPr>
            <w:r>
              <w:rPr>
                <w:spacing w:val="-2"/>
                <w:sz w:val="18"/>
              </w:rPr>
              <w:t>11.90285</w:t>
            </w:r>
          </w:p>
        </w:tc>
        <w:tc>
          <w:tcPr>
            <w:tcW w:w="954" w:type="dxa"/>
            <w:tcBorders>
              <w:top w:val="single" w:sz="4" w:space="0" w:color="000000"/>
            </w:tcBorders>
          </w:tcPr>
          <w:p>
            <w:pPr>
              <w:pStyle w:val="TableParagraph"/>
              <w:spacing w:line="198" w:lineRule="exact" w:before="18"/>
              <w:ind w:left="48" w:right="45"/>
              <w:jc w:val="center"/>
              <w:rPr>
                <w:sz w:val="18"/>
              </w:rPr>
            </w:pPr>
            <w:r>
              <w:rPr>
                <w:spacing w:val="-2"/>
                <w:sz w:val="18"/>
              </w:rPr>
              <w:t>68.07457</w:t>
            </w:r>
          </w:p>
        </w:tc>
        <w:tc>
          <w:tcPr>
            <w:tcW w:w="941" w:type="dxa"/>
            <w:tcBorders>
              <w:top w:val="single" w:sz="4" w:space="0" w:color="000000"/>
            </w:tcBorders>
          </w:tcPr>
          <w:p>
            <w:pPr>
              <w:pStyle w:val="TableParagraph"/>
              <w:spacing w:line="198" w:lineRule="exact" w:before="18"/>
              <w:ind w:left="51" w:right="51"/>
              <w:jc w:val="center"/>
              <w:rPr>
                <w:sz w:val="18"/>
              </w:rPr>
            </w:pPr>
            <w:r>
              <w:rPr>
                <w:spacing w:val="-2"/>
                <w:sz w:val="18"/>
              </w:rPr>
              <w:t>19.01571</w:t>
            </w:r>
          </w:p>
        </w:tc>
        <w:tc>
          <w:tcPr>
            <w:tcW w:w="948" w:type="dxa"/>
            <w:tcBorders>
              <w:top w:val="single" w:sz="4" w:space="0" w:color="000000"/>
            </w:tcBorders>
          </w:tcPr>
          <w:p>
            <w:pPr>
              <w:pStyle w:val="TableParagraph"/>
              <w:spacing w:line="198" w:lineRule="exact" w:before="18"/>
              <w:ind w:left="91" w:right="2"/>
              <w:jc w:val="center"/>
              <w:rPr>
                <w:sz w:val="18"/>
              </w:rPr>
            </w:pPr>
            <w:r>
              <w:rPr>
                <w:spacing w:val="-2"/>
                <w:sz w:val="18"/>
              </w:rPr>
              <w:t>94.12800</w:t>
            </w:r>
          </w:p>
        </w:tc>
      </w:tr>
      <w:tr>
        <w:trPr>
          <w:trHeight w:val="224" w:hRule="atLeast"/>
        </w:trPr>
        <w:tc>
          <w:tcPr>
            <w:tcW w:w="1294" w:type="dxa"/>
          </w:tcPr>
          <w:p>
            <w:pPr>
              <w:pStyle w:val="TableParagraph"/>
              <w:spacing w:before="5"/>
              <w:ind w:left="67"/>
              <w:rPr>
                <w:sz w:val="18"/>
              </w:rPr>
            </w:pPr>
            <w:r>
              <w:rPr>
                <w:spacing w:val="-2"/>
                <w:sz w:val="18"/>
              </w:rPr>
              <w:t>Median</w:t>
            </w:r>
          </w:p>
        </w:tc>
        <w:tc>
          <w:tcPr>
            <w:tcW w:w="1014" w:type="dxa"/>
          </w:tcPr>
          <w:p>
            <w:pPr>
              <w:pStyle w:val="TableParagraph"/>
              <w:spacing w:before="5"/>
              <w:ind w:left="56" w:right="62"/>
              <w:jc w:val="center"/>
              <w:rPr>
                <w:sz w:val="18"/>
              </w:rPr>
            </w:pPr>
            <w:r>
              <w:rPr>
                <w:spacing w:val="-2"/>
                <w:sz w:val="18"/>
              </w:rPr>
              <w:t>31709.45</w:t>
            </w:r>
          </w:p>
        </w:tc>
        <w:tc>
          <w:tcPr>
            <w:tcW w:w="959" w:type="dxa"/>
          </w:tcPr>
          <w:p>
            <w:pPr>
              <w:pStyle w:val="TableParagraph"/>
              <w:spacing w:before="5"/>
              <w:ind w:left="90" w:right="2"/>
              <w:jc w:val="center"/>
              <w:rPr>
                <w:sz w:val="18"/>
              </w:rPr>
            </w:pPr>
            <w:r>
              <w:rPr>
                <w:spacing w:val="-2"/>
                <w:sz w:val="18"/>
              </w:rPr>
              <w:t>296.6000</w:t>
            </w:r>
          </w:p>
        </w:tc>
        <w:tc>
          <w:tcPr>
            <w:tcW w:w="957" w:type="dxa"/>
          </w:tcPr>
          <w:p>
            <w:pPr>
              <w:pStyle w:val="TableParagraph"/>
              <w:spacing w:before="5"/>
              <w:ind w:right="25"/>
              <w:jc w:val="center"/>
              <w:rPr>
                <w:sz w:val="18"/>
              </w:rPr>
            </w:pPr>
            <w:r>
              <w:rPr>
                <w:spacing w:val="-2"/>
                <w:sz w:val="18"/>
              </w:rPr>
              <w:t>117.9700</w:t>
            </w:r>
          </w:p>
        </w:tc>
        <w:tc>
          <w:tcPr>
            <w:tcW w:w="1000" w:type="dxa"/>
          </w:tcPr>
          <w:p>
            <w:pPr>
              <w:pStyle w:val="TableParagraph"/>
              <w:spacing w:before="5"/>
              <w:ind w:left="57" w:right="57"/>
              <w:jc w:val="center"/>
              <w:rPr>
                <w:sz w:val="18"/>
              </w:rPr>
            </w:pPr>
            <w:r>
              <w:rPr>
                <w:spacing w:val="-2"/>
                <w:sz w:val="18"/>
              </w:rPr>
              <w:t>281.9000</w:t>
            </w:r>
          </w:p>
        </w:tc>
        <w:tc>
          <w:tcPr>
            <w:tcW w:w="968" w:type="dxa"/>
          </w:tcPr>
          <w:p>
            <w:pPr>
              <w:pStyle w:val="TableParagraph"/>
              <w:spacing w:before="5"/>
              <w:ind w:left="47" w:right="39"/>
              <w:jc w:val="center"/>
              <w:rPr>
                <w:sz w:val="18"/>
              </w:rPr>
            </w:pPr>
            <w:r>
              <w:rPr>
                <w:spacing w:val="-2"/>
                <w:sz w:val="18"/>
              </w:rPr>
              <w:t>137.5800</w:t>
            </w:r>
          </w:p>
        </w:tc>
        <w:tc>
          <w:tcPr>
            <w:tcW w:w="1067" w:type="dxa"/>
          </w:tcPr>
          <w:p>
            <w:pPr>
              <w:pStyle w:val="TableParagraph"/>
              <w:spacing w:before="5"/>
              <w:ind w:left="48" w:right="2"/>
              <w:jc w:val="center"/>
              <w:rPr>
                <w:sz w:val="18"/>
              </w:rPr>
            </w:pPr>
            <w:r>
              <w:rPr>
                <w:spacing w:val="-2"/>
                <w:sz w:val="18"/>
              </w:rPr>
              <w:t>8.616549</w:t>
            </w:r>
          </w:p>
        </w:tc>
        <w:tc>
          <w:tcPr>
            <w:tcW w:w="954" w:type="dxa"/>
          </w:tcPr>
          <w:p>
            <w:pPr>
              <w:pStyle w:val="TableParagraph"/>
              <w:spacing w:before="5"/>
              <w:ind w:left="48" w:right="45"/>
              <w:jc w:val="center"/>
              <w:rPr>
                <w:sz w:val="18"/>
              </w:rPr>
            </w:pPr>
            <w:r>
              <w:rPr>
                <w:spacing w:val="-2"/>
                <w:sz w:val="18"/>
              </w:rPr>
              <w:t>71.35000</w:t>
            </w:r>
          </w:p>
        </w:tc>
        <w:tc>
          <w:tcPr>
            <w:tcW w:w="941" w:type="dxa"/>
          </w:tcPr>
          <w:p>
            <w:pPr>
              <w:pStyle w:val="TableParagraph"/>
              <w:spacing w:before="5"/>
              <w:ind w:left="51" w:right="51"/>
              <w:jc w:val="center"/>
              <w:rPr>
                <w:sz w:val="18"/>
              </w:rPr>
            </w:pPr>
            <w:r>
              <w:rPr>
                <w:spacing w:val="-2"/>
                <w:sz w:val="18"/>
              </w:rPr>
              <w:t>17.95000</w:t>
            </w:r>
          </w:p>
        </w:tc>
        <w:tc>
          <w:tcPr>
            <w:tcW w:w="948" w:type="dxa"/>
          </w:tcPr>
          <w:p>
            <w:pPr>
              <w:pStyle w:val="TableParagraph"/>
              <w:spacing w:before="5"/>
              <w:ind w:left="91" w:right="2"/>
              <w:jc w:val="center"/>
              <w:rPr>
                <w:sz w:val="18"/>
              </w:rPr>
            </w:pPr>
            <w:r>
              <w:rPr>
                <w:spacing w:val="-2"/>
                <w:sz w:val="18"/>
              </w:rPr>
              <w:t>117.9700</w:t>
            </w:r>
          </w:p>
        </w:tc>
      </w:tr>
      <w:tr>
        <w:trPr>
          <w:trHeight w:val="225" w:hRule="atLeast"/>
        </w:trPr>
        <w:tc>
          <w:tcPr>
            <w:tcW w:w="1294" w:type="dxa"/>
          </w:tcPr>
          <w:p>
            <w:pPr>
              <w:pStyle w:val="TableParagraph"/>
              <w:ind w:left="67"/>
              <w:rPr>
                <w:sz w:val="18"/>
              </w:rPr>
            </w:pPr>
            <w:r>
              <w:rPr>
                <w:spacing w:val="-2"/>
                <w:sz w:val="18"/>
              </w:rPr>
              <w:t>Maximum</w:t>
            </w:r>
          </w:p>
        </w:tc>
        <w:tc>
          <w:tcPr>
            <w:tcW w:w="1014" w:type="dxa"/>
          </w:tcPr>
          <w:p>
            <w:pPr>
              <w:pStyle w:val="TableParagraph"/>
              <w:ind w:left="56" w:right="62"/>
              <w:jc w:val="center"/>
              <w:rPr>
                <w:sz w:val="18"/>
              </w:rPr>
            </w:pPr>
            <w:r>
              <w:rPr>
                <w:spacing w:val="-2"/>
                <w:sz w:val="18"/>
              </w:rPr>
              <w:t>71387.83</w:t>
            </w:r>
          </w:p>
        </w:tc>
        <w:tc>
          <w:tcPr>
            <w:tcW w:w="959" w:type="dxa"/>
          </w:tcPr>
          <w:p>
            <w:pPr>
              <w:pStyle w:val="TableParagraph"/>
              <w:ind w:left="90" w:right="2"/>
              <w:jc w:val="center"/>
              <w:rPr>
                <w:sz w:val="18"/>
              </w:rPr>
            </w:pPr>
            <w:r>
              <w:rPr>
                <w:spacing w:val="-2"/>
                <w:sz w:val="18"/>
              </w:rPr>
              <w:t>3924.100</w:t>
            </w:r>
          </w:p>
        </w:tc>
        <w:tc>
          <w:tcPr>
            <w:tcW w:w="957" w:type="dxa"/>
          </w:tcPr>
          <w:p>
            <w:pPr>
              <w:pStyle w:val="TableParagraph"/>
              <w:ind w:right="25"/>
              <w:jc w:val="center"/>
              <w:rPr>
                <w:sz w:val="18"/>
              </w:rPr>
            </w:pPr>
            <w:r>
              <w:rPr>
                <w:spacing w:val="-2"/>
                <w:sz w:val="18"/>
              </w:rPr>
              <w:t>169.2300</w:t>
            </w:r>
          </w:p>
        </w:tc>
        <w:tc>
          <w:tcPr>
            <w:tcW w:w="1000" w:type="dxa"/>
          </w:tcPr>
          <w:p>
            <w:pPr>
              <w:pStyle w:val="TableParagraph"/>
              <w:ind w:left="57" w:right="57"/>
              <w:jc w:val="center"/>
              <w:rPr>
                <w:sz w:val="18"/>
              </w:rPr>
            </w:pPr>
            <w:r>
              <w:rPr>
                <w:spacing w:val="-2"/>
                <w:sz w:val="18"/>
              </w:rPr>
              <w:t>19077.40</w:t>
            </w:r>
          </w:p>
        </w:tc>
        <w:tc>
          <w:tcPr>
            <w:tcW w:w="968" w:type="dxa"/>
          </w:tcPr>
          <w:p>
            <w:pPr>
              <w:pStyle w:val="TableParagraph"/>
              <w:ind w:left="47" w:right="39"/>
              <w:jc w:val="center"/>
              <w:rPr>
                <w:sz w:val="18"/>
              </w:rPr>
            </w:pPr>
            <w:r>
              <w:rPr>
                <w:spacing w:val="-2"/>
                <w:sz w:val="18"/>
              </w:rPr>
              <w:t>949.1900</w:t>
            </w:r>
          </w:p>
        </w:tc>
        <w:tc>
          <w:tcPr>
            <w:tcW w:w="1067" w:type="dxa"/>
          </w:tcPr>
          <w:p>
            <w:pPr>
              <w:pStyle w:val="TableParagraph"/>
              <w:ind w:left="48" w:right="2"/>
              <w:jc w:val="center"/>
              <w:rPr>
                <w:sz w:val="18"/>
              </w:rPr>
            </w:pPr>
            <w:r>
              <w:rPr>
                <w:spacing w:val="-2"/>
                <w:sz w:val="18"/>
              </w:rPr>
              <w:t>22.75484</w:t>
            </w:r>
          </w:p>
        </w:tc>
        <w:tc>
          <w:tcPr>
            <w:tcW w:w="954" w:type="dxa"/>
          </w:tcPr>
          <w:p>
            <w:pPr>
              <w:pStyle w:val="TableParagraph"/>
              <w:ind w:left="48" w:right="45"/>
              <w:jc w:val="center"/>
              <w:rPr>
                <w:sz w:val="18"/>
              </w:rPr>
            </w:pPr>
            <w:r>
              <w:rPr>
                <w:spacing w:val="-2"/>
                <w:sz w:val="18"/>
              </w:rPr>
              <w:t>97.30000</w:t>
            </w:r>
          </w:p>
        </w:tc>
        <w:tc>
          <w:tcPr>
            <w:tcW w:w="941" w:type="dxa"/>
          </w:tcPr>
          <w:p>
            <w:pPr>
              <w:pStyle w:val="TableParagraph"/>
              <w:ind w:left="51" w:right="51"/>
              <w:jc w:val="center"/>
              <w:rPr>
                <w:sz w:val="18"/>
              </w:rPr>
            </w:pPr>
            <w:r>
              <w:rPr>
                <w:spacing w:val="-2"/>
                <w:sz w:val="18"/>
              </w:rPr>
              <w:t>36.09000</w:t>
            </w:r>
          </w:p>
        </w:tc>
        <w:tc>
          <w:tcPr>
            <w:tcW w:w="948" w:type="dxa"/>
          </w:tcPr>
          <w:p>
            <w:pPr>
              <w:pStyle w:val="TableParagraph"/>
              <w:ind w:left="91" w:right="2"/>
              <w:jc w:val="center"/>
              <w:rPr>
                <w:sz w:val="18"/>
              </w:rPr>
            </w:pPr>
            <w:r>
              <w:rPr>
                <w:spacing w:val="-2"/>
                <w:sz w:val="18"/>
              </w:rPr>
              <w:t>185.4700</w:t>
            </w:r>
          </w:p>
        </w:tc>
      </w:tr>
      <w:tr>
        <w:trPr>
          <w:trHeight w:val="225" w:hRule="atLeast"/>
        </w:trPr>
        <w:tc>
          <w:tcPr>
            <w:tcW w:w="1294" w:type="dxa"/>
          </w:tcPr>
          <w:p>
            <w:pPr>
              <w:pStyle w:val="TableParagraph"/>
              <w:ind w:left="67"/>
              <w:rPr>
                <w:sz w:val="18"/>
              </w:rPr>
            </w:pPr>
            <w:r>
              <w:rPr>
                <w:spacing w:val="-2"/>
                <w:sz w:val="18"/>
              </w:rPr>
              <w:t>Minimum</w:t>
            </w:r>
          </w:p>
        </w:tc>
        <w:tc>
          <w:tcPr>
            <w:tcW w:w="1014" w:type="dxa"/>
          </w:tcPr>
          <w:p>
            <w:pPr>
              <w:pStyle w:val="TableParagraph"/>
              <w:ind w:left="56" w:right="62"/>
              <w:jc w:val="center"/>
              <w:rPr>
                <w:sz w:val="18"/>
              </w:rPr>
            </w:pPr>
            <w:r>
              <w:rPr>
                <w:spacing w:val="-2"/>
                <w:sz w:val="18"/>
              </w:rPr>
              <w:t>15237.99</w:t>
            </w:r>
          </w:p>
        </w:tc>
        <w:tc>
          <w:tcPr>
            <w:tcW w:w="959" w:type="dxa"/>
          </w:tcPr>
          <w:p>
            <w:pPr>
              <w:pStyle w:val="TableParagraph"/>
              <w:ind w:left="90" w:right="2"/>
              <w:jc w:val="center"/>
              <w:rPr>
                <w:sz w:val="18"/>
              </w:rPr>
            </w:pPr>
            <w:r>
              <w:rPr>
                <w:spacing w:val="-2"/>
                <w:sz w:val="18"/>
              </w:rPr>
              <w:t>22.20000</w:t>
            </w:r>
          </w:p>
        </w:tc>
        <w:tc>
          <w:tcPr>
            <w:tcW w:w="957" w:type="dxa"/>
          </w:tcPr>
          <w:p>
            <w:pPr>
              <w:pStyle w:val="TableParagraph"/>
              <w:ind w:right="25"/>
              <w:jc w:val="center"/>
              <w:rPr>
                <w:sz w:val="18"/>
              </w:rPr>
            </w:pPr>
            <w:r>
              <w:rPr>
                <w:spacing w:val="-2"/>
                <w:sz w:val="18"/>
              </w:rPr>
              <w:t>0.890000</w:t>
            </w:r>
          </w:p>
        </w:tc>
        <w:tc>
          <w:tcPr>
            <w:tcW w:w="1000" w:type="dxa"/>
          </w:tcPr>
          <w:p>
            <w:pPr>
              <w:pStyle w:val="TableParagraph"/>
              <w:ind w:left="57" w:right="57"/>
              <w:jc w:val="center"/>
              <w:rPr>
                <w:sz w:val="18"/>
              </w:rPr>
            </w:pPr>
            <w:r>
              <w:rPr>
                <w:spacing w:val="-2"/>
                <w:sz w:val="18"/>
              </w:rPr>
              <w:t>16.30000</w:t>
            </w:r>
          </w:p>
        </w:tc>
        <w:tc>
          <w:tcPr>
            <w:tcW w:w="968" w:type="dxa"/>
          </w:tcPr>
          <w:p>
            <w:pPr>
              <w:pStyle w:val="TableParagraph"/>
              <w:ind w:left="47" w:right="39"/>
              <w:jc w:val="center"/>
              <w:rPr>
                <w:sz w:val="18"/>
              </w:rPr>
            </w:pPr>
            <w:r>
              <w:rPr>
                <w:spacing w:val="-2"/>
                <w:sz w:val="18"/>
              </w:rPr>
              <w:t>10.51000</w:t>
            </w:r>
          </w:p>
        </w:tc>
        <w:tc>
          <w:tcPr>
            <w:tcW w:w="1067" w:type="dxa"/>
          </w:tcPr>
          <w:p>
            <w:pPr>
              <w:pStyle w:val="TableParagraph"/>
              <w:ind w:left="48" w:right="2"/>
              <w:jc w:val="center"/>
              <w:rPr>
                <w:sz w:val="18"/>
              </w:rPr>
            </w:pPr>
            <w:r>
              <w:rPr>
                <w:spacing w:val="-2"/>
                <w:sz w:val="18"/>
              </w:rPr>
              <w:t>5.806165</w:t>
            </w:r>
          </w:p>
        </w:tc>
        <w:tc>
          <w:tcPr>
            <w:tcW w:w="954" w:type="dxa"/>
          </w:tcPr>
          <w:p>
            <w:pPr>
              <w:pStyle w:val="TableParagraph"/>
              <w:ind w:left="48" w:right="45"/>
              <w:jc w:val="center"/>
              <w:rPr>
                <w:sz w:val="18"/>
              </w:rPr>
            </w:pPr>
            <w:r>
              <w:rPr>
                <w:spacing w:val="-2"/>
                <w:sz w:val="18"/>
              </w:rPr>
              <w:t>45.20000</w:t>
            </w:r>
          </w:p>
        </w:tc>
        <w:tc>
          <w:tcPr>
            <w:tcW w:w="941" w:type="dxa"/>
          </w:tcPr>
          <w:p>
            <w:pPr>
              <w:pStyle w:val="TableParagraph"/>
              <w:ind w:left="51" w:right="51"/>
              <w:jc w:val="center"/>
              <w:rPr>
                <w:sz w:val="18"/>
              </w:rPr>
            </w:pPr>
            <w:r>
              <w:rPr>
                <w:spacing w:val="-2"/>
                <w:sz w:val="18"/>
              </w:rPr>
              <w:t>10.50000</w:t>
            </w:r>
          </w:p>
        </w:tc>
        <w:tc>
          <w:tcPr>
            <w:tcW w:w="948" w:type="dxa"/>
          </w:tcPr>
          <w:p>
            <w:pPr>
              <w:pStyle w:val="TableParagraph"/>
              <w:ind w:left="91" w:right="2"/>
              <w:jc w:val="center"/>
              <w:rPr>
                <w:sz w:val="18"/>
              </w:rPr>
            </w:pPr>
            <w:r>
              <w:rPr>
                <w:spacing w:val="-2"/>
                <w:sz w:val="18"/>
              </w:rPr>
              <w:t>2.020000</w:t>
            </w:r>
          </w:p>
        </w:tc>
      </w:tr>
      <w:tr>
        <w:trPr>
          <w:trHeight w:val="224" w:hRule="atLeast"/>
        </w:trPr>
        <w:tc>
          <w:tcPr>
            <w:tcW w:w="1294" w:type="dxa"/>
          </w:tcPr>
          <w:p>
            <w:pPr>
              <w:pStyle w:val="TableParagraph"/>
              <w:spacing w:line="198" w:lineRule="exact"/>
              <w:ind w:left="67"/>
              <w:rPr>
                <w:sz w:val="18"/>
              </w:rPr>
            </w:pPr>
            <w:r>
              <w:rPr>
                <w:sz w:val="18"/>
              </w:rPr>
              <w:t>Std.</w:t>
            </w:r>
            <w:r>
              <w:rPr>
                <w:spacing w:val="-2"/>
                <w:sz w:val="18"/>
              </w:rPr>
              <w:t> </w:t>
            </w:r>
            <w:r>
              <w:rPr>
                <w:spacing w:val="-4"/>
                <w:sz w:val="18"/>
              </w:rPr>
              <w:t>Dev.</w:t>
            </w:r>
          </w:p>
        </w:tc>
        <w:tc>
          <w:tcPr>
            <w:tcW w:w="1014" w:type="dxa"/>
          </w:tcPr>
          <w:p>
            <w:pPr>
              <w:pStyle w:val="TableParagraph"/>
              <w:spacing w:line="198" w:lineRule="exact"/>
              <w:ind w:left="56" w:right="62"/>
              <w:jc w:val="center"/>
              <w:rPr>
                <w:sz w:val="18"/>
              </w:rPr>
            </w:pPr>
            <w:r>
              <w:rPr>
                <w:spacing w:val="-2"/>
                <w:sz w:val="18"/>
              </w:rPr>
              <w:t>20479.94</w:t>
            </w:r>
          </w:p>
        </w:tc>
        <w:tc>
          <w:tcPr>
            <w:tcW w:w="959" w:type="dxa"/>
          </w:tcPr>
          <w:p>
            <w:pPr>
              <w:pStyle w:val="TableParagraph"/>
              <w:spacing w:line="198" w:lineRule="exact"/>
              <w:ind w:left="90" w:right="2"/>
              <w:jc w:val="center"/>
              <w:rPr>
                <w:sz w:val="18"/>
              </w:rPr>
            </w:pPr>
            <w:r>
              <w:rPr>
                <w:spacing w:val="-2"/>
                <w:sz w:val="18"/>
              </w:rPr>
              <w:t>1378.770</w:t>
            </w:r>
          </w:p>
        </w:tc>
        <w:tc>
          <w:tcPr>
            <w:tcW w:w="957" w:type="dxa"/>
          </w:tcPr>
          <w:p>
            <w:pPr>
              <w:pStyle w:val="TableParagraph"/>
              <w:spacing w:line="198" w:lineRule="exact"/>
              <w:ind w:right="25"/>
              <w:jc w:val="center"/>
              <w:rPr>
                <w:sz w:val="18"/>
              </w:rPr>
            </w:pPr>
            <w:r>
              <w:rPr>
                <w:spacing w:val="-2"/>
                <w:sz w:val="18"/>
              </w:rPr>
              <w:t>65.66546</w:t>
            </w:r>
          </w:p>
        </w:tc>
        <w:tc>
          <w:tcPr>
            <w:tcW w:w="1000" w:type="dxa"/>
          </w:tcPr>
          <w:p>
            <w:pPr>
              <w:pStyle w:val="TableParagraph"/>
              <w:spacing w:line="198" w:lineRule="exact"/>
              <w:ind w:left="57" w:right="57"/>
              <w:jc w:val="center"/>
              <w:rPr>
                <w:sz w:val="18"/>
              </w:rPr>
            </w:pPr>
            <w:r>
              <w:rPr>
                <w:spacing w:val="-2"/>
                <w:sz w:val="18"/>
              </w:rPr>
              <w:t>5526.912</w:t>
            </w:r>
          </w:p>
        </w:tc>
        <w:tc>
          <w:tcPr>
            <w:tcW w:w="968" w:type="dxa"/>
          </w:tcPr>
          <w:p>
            <w:pPr>
              <w:pStyle w:val="TableParagraph"/>
              <w:spacing w:line="198" w:lineRule="exact"/>
              <w:ind w:left="47" w:right="39"/>
              <w:jc w:val="center"/>
              <w:rPr>
                <w:sz w:val="18"/>
              </w:rPr>
            </w:pPr>
            <w:r>
              <w:rPr>
                <w:spacing w:val="-2"/>
                <w:sz w:val="18"/>
              </w:rPr>
              <w:t>262.8775</w:t>
            </w:r>
          </w:p>
        </w:tc>
        <w:tc>
          <w:tcPr>
            <w:tcW w:w="1067" w:type="dxa"/>
          </w:tcPr>
          <w:p>
            <w:pPr>
              <w:pStyle w:val="TableParagraph"/>
              <w:spacing w:line="198" w:lineRule="exact"/>
              <w:ind w:left="48" w:right="2"/>
              <w:jc w:val="center"/>
              <w:rPr>
                <w:sz w:val="18"/>
              </w:rPr>
            </w:pPr>
            <w:r>
              <w:rPr>
                <w:spacing w:val="-2"/>
                <w:sz w:val="18"/>
              </w:rPr>
              <w:t>5.596864</w:t>
            </w:r>
          </w:p>
        </w:tc>
        <w:tc>
          <w:tcPr>
            <w:tcW w:w="954" w:type="dxa"/>
          </w:tcPr>
          <w:p>
            <w:pPr>
              <w:pStyle w:val="TableParagraph"/>
              <w:spacing w:line="198" w:lineRule="exact"/>
              <w:ind w:left="48" w:right="45"/>
              <w:jc w:val="center"/>
              <w:rPr>
                <w:sz w:val="18"/>
              </w:rPr>
            </w:pPr>
            <w:r>
              <w:rPr>
                <w:spacing w:val="-2"/>
                <w:sz w:val="18"/>
              </w:rPr>
              <w:t>11.21954</w:t>
            </w:r>
          </w:p>
        </w:tc>
        <w:tc>
          <w:tcPr>
            <w:tcW w:w="941" w:type="dxa"/>
          </w:tcPr>
          <w:p>
            <w:pPr>
              <w:pStyle w:val="TableParagraph"/>
              <w:spacing w:line="198" w:lineRule="exact"/>
              <w:ind w:left="51" w:right="51"/>
              <w:jc w:val="center"/>
              <w:rPr>
                <w:sz w:val="18"/>
              </w:rPr>
            </w:pPr>
            <w:r>
              <w:rPr>
                <w:spacing w:val="-2"/>
                <w:sz w:val="18"/>
              </w:rPr>
              <w:t>4.828348</w:t>
            </w:r>
          </w:p>
        </w:tc>
        <w:tc>
          <w:tcPr>
            <w:tcW w:w="948" w:type="dxa"/>
          </w:tcPr>
          <w:p>
            <w:pPr>
              <w:pStyle w:val="TableParagraph"/>
              <w:spacing w:line="198" w:lineRule="exact"/>
              <w:ind w:left="91" w:right="2"/>
              <w:jc w:val="center"/>
              <w:rPr>
                <w:sz w:val="18"/>
              </w:rPr>
            </w:pPr>
            <w:r>
              <w:rPr>
                <w:spacing w:val="-2"/>
                <w:sz w:val="18"/>
              </w:rPr>
              <w:t>65.95810</w:t>
            </w:r>
          </w:p>
        </w:tc>
      </w:tr>
      <w:tr>
        <w:trPr>
          <w:trHeight w:val="224" w:hRule="atLeast"/>
        </w:trPr>
        <w:tc>
          <w:tcPr>
            <w:tcW w:w="1294" w:type="dxa"/>
          </w:tcPr>
          <w:p>
            <w:pPr>
              <w:pStyle w:val="TableParagraph"/>
              <w:spacing w:before="5"/>
              <w:ind w:left="67"/>
              <w:rPr>
                <w:sz w:val="18"/>
              </w:rPr>
            </w:pPr>
            <w:r>
              <w:rPr>
                <w:spacing w:val="-2"/>
                <w:sz w:val="18"/>
              </w:rPr>
              <w:t>Skewness</w:t>
            </w:r>
          </w:p>
        </w:tc>
        <w:tc>
          <w:tcPr>
            <w:tcW w:w="1014" w:type="dxa"/>
          </w:tcPr>
          <w:p>
            <w:pPr>
              <w:pStyle w:val="TableParagraph"/>
              <w:spacing w:before="5"/>
              <w:ind w:left="56" w:right="62"/>
              <w:jc w:val="center"/>
              <w:rPr>
                <w:sz w:val="18"/>
              </w:rPr>
            </w:pPr>
            <w:r>
              <w:rPr>
                <w:spacing w:val="-2"/>
                <w:sz w:val="18"/>
              </w:rPr>
              <w:t>0.438965</w:t>
            </w:r>
          </w:p>
        </w:tc>
        <w:tc>
          <w:tcPr>
            <w:tcW w:w="959" w:type="dxa"/>
          </w:tcPr>
          <w:p>
            <w:pPr>
              <w:pStyle w:val="TableParagraph"/>
              <w:spacing w:before="5"/>
              <w:ind w:left="90" w:right="2"/>
              <w:jc w:val="center"/>
              <w:rPr>
                <w:sz w:val="18"/>
              </w:rPr>
            </w:pPr>
            <w:r>
              <w:rPr>
                <w:spacing w:val="-2"/>
                <w:sz w:val="18"/>
              </w:rPr>
              <w:t>0.747970</w:t>
            </w:r>
          </w:p>
        </w:tc>
        <w:tc>
          <w:tcPr>
            <w:tcW w:w="957" w:type="dxa"/>
          </w:tcPr>
          <w:p>
            <w:pPr>
              <w:pStyle w:val="TableParagraph"/>
              <w:spacing w:before="5"/>
              <w:ind w:left="4" w:right="79"/>
              <w:jc w:val="center"/>
              <w:rPr>
                <w:sz w:val="18"/>
              </w:rPr>
            </w:pPr>
            <w:r>
              <w:rPr>
                <w:spacing w:val="-2"/>
                <w:sz w:val="18"/>
              </w:rPr>
              <w:t>-0.254086</w:t>
            </w:r>
          </w:p>
        </w:tc>
        <w:tc>
          <w:tcPr>
            <w:tcW w:w="1000" w:type="dxa"/>
          </w:tcPr>
          <w:p>
            <w:pPr>
              <w:pStyle w:val="TableParagraph"/>
              <w:spacing w:before="5"/>
              <w:ind w:left="57" w:right="57"/>
              <w:jc w:val="center"/>
              <w:rPr>
                <w:sz w:val="18"/>
              </w:rPr>
            </w:pPr>
            <w:r>
              <w:rPr>
                <w:spacing w:val="-2"/>
                <w:sz w:val="18"/>
              </w:rPr>
              <w:t>1.594983</w:t>
            </w:r>
          </w:p>
        </w:tc>
        <w:tc>
          <w:tcPr>
            <w:tcW w:w="968" w:type="dxa"/>
          </w:tcPr>
          <w:p>
            <w:pPr>
              <w:pStyle w:val="TableParagraph"/>
              <w:spacing w:before="5"/>
              <w:ind w:left="47" w:right="39"/>
              <w:jc w:val="center"/>
              <w:rPr>
                <w:sz w:val="18"/>
              </w:rPr>
            </w:pPr>
            <w:r>
              <w:rPr>
                <w:spacing w:val="-2"/>
                <w:sz w:val="18"/>
              </w:rPr>
              <w:t>1.198360</w:t>
            </w:r>
          </w:p>
        </w:tc>
        <w:tc>
          <w:tcPr>
            <w:tcW w:w="1067" w:type="dxa"/>
          </w:tcPr>
          <w:p>
            <w:pPr>
              <w:pStyle w:val="TableParagraph"/>
              <w:spacing w:before="5"/>
              <w:ind w:left="48" w:right="2"/>
              <w:jc w:val="center"/>
              <w:rPr>
                <w:sz w:val="18"/>
              </w:rPr>
            </w:pPr>
            <w:r>
              <w:rPr>
                <w:spacing w:val="-2"/>
                <w:sz w:val="18"/>
              </w:rPr>
              <w:t>0.562027</w:t>
            </w:r>
          </w:p>
        </w:tc>
        <w:tc>
          <w:tcPr>
            <w:tcW w:w="954" w:type="dxa"/>
          </w:tcPr>
          <w:p>
            <w:pPr>
              <w:pStyle w:val="TableParagraph"/>
              <w:spacing w:before="5"/>
              <w:ind w:left="48" w:right="45"/>
              <w:jc w:val="center"/>
              <w:rPr>
                <w:sz w:val="18"/>
              </w:rPr>
            </w:pPr>
            <w:r>
              <w:rPr>
                <w:spacing w:val="-2"/>
                <w:sz w:val="18"/>
              </w:rPr>
              <w:t>0.049038</w:t>
            </w:r>
          </w:p>
        </w:tc>
        <w:tc>
          <w:tcPr>
            <w:tcW w:w="941" w:type="dxa"/>
          </w:tcPr>
          <w:p>
            <w:pPr>
              <w:pStyle w:val="TableParagraph"/>
              <w:spacing w:before="5"/>
              <w:ind w:left="51" w:right="51"/>
              <w:jc w:val="center"/>
              <w:rPr>
                <w:sz w:val="18"/>
              </w:rPr>
            </w:pPr>
            <w:r>
              <w:rPr>
                <w:spacing w:val="-2"/>
                <w:sz w:val="18"/>
              </w:rPr>
              <w:t>1.561912</w:t>
            </w:r>
          </w:p>
        </w:tc>
        <w:tc>
          <w:tcPr>
            <w:tcW w:w="948" w:type="dxa"/>
          </w:tcPr>
          <w:p>
            <w:pPr>
              <w:pStyle w:val="TableParagraph"/>
              <w:spacing w:before="5"/>
              <w:ind w:left="39"/>
              <w:jc w:val="center"/>
              <w:rPr>
                <w:sz w:val="18"/>
              </w:rPr>
            </w:pPr>
            <w:r>
              <w:rPr>
                <w:spacing w:val="-2"/>
                <w:sz w:val="18"/>
              </w:rPr>
              <w:t>-0.247025</w:t>
            </w:r>
          </w:p>
        </w:tc>
      </w:tr>
      <w:tr>
        <w:trPr>
          <w:trHeight w:val="225" w:hRule="atLeast"/>
        </w:trPr>
        <w:tc>
          <w:tcPr>
            <w:tcW w:w="1294" w:type="dxa"/>
          </w:tcPr>
          <w:p>
            <w:pPr>
              <w:pStyle w:val="TableParagraph"/>
              <w:ind w:left="67"/>
              <w:rPr>
                <w:sz w:val="18"/>
              </w:rPr>
            </w:pPr>
            <w:r>
              <w:rPr>
                <w:spacing w:val="-2"/>
                <w:sz w:val="18"/>
              </w:rPr>
              <w:t>Kurtosis</w:t>
            </w:r>
          </w:p>
        </w:tc>
        <w:tc>
          <w:tcPr>
            <w:tcW w:w="1014" w:type="dxa"/>
          </w:tcPr>
          <w:p>
            <w:pPr>
              <w:pStyle w:val="TableParagraph"/>
              <w:ind w:left="56" w:right="62"/>
              <w:jc w:val="center"/>
              <w:rPr>
                <w:sz w:val="18"/>
              </w:rPr>
            </w:pPr>
            <w:r>
              <w:rPr>
                <w:spacing w:val="-2"/>
                <w:sz w:val="18"/>
              </w:rPr>
              <w:t>1.576438</w:t>
            </w:r>
          </w:p>
        </w:tc>
        <w:tc>
          <w:tcPr>
            <w:tcW w:w="959" w:type="dxa"/>
          </w:tcPr>
          <w:p>
            <w:pPr>
              <w:pStyle w:val="TableParagraph"/>
              <w:ind w:left="90" w:right="2"/>
              <w:jc w:val="center"/>
              <w:rPr>
                <w:sz w:val="18"/>
              </w:rPr>
            </w:pPr>
            <w:r>
              <w:rPr>
                <w:spacing w:val="-2"/>
                <w:sz w:val="18"/>
              </w:rPr>
              <w:t>1.862546</w:t>
            </w:r>
          </w:p>
        </w:tc>
        <w:tc>
          <w:tcPr>
            <w:tcW w:w="957" w:type="dxa"/>
          </w:tcPr>
          <w:p>
            <w:pPr>
              <w:pStyle w:val="TableParagraph"/>
              <w:ind w:right="25"/>
              <w:jc w:val="center"/>
              <w:rPr>
                <w:sz w:val="18"/>
              </w:rPr>
            </w:pPr>
            <w:r>
              <w:rPr>
                <w:spacing w:val="-2"/>
                <w:sz w:val="18"/>
              </w:rPr>
              <w:t>1.283418</w:t>
            </w:r>
          </w:p>
        </w:tc>
        <w:tc>
          <w:tcPr>
            <w:tcW w:w="1000" w:type="dxa"/>
          </w:tcPr>
          <w:p>
            <w:pPr>
              <w:pStyle w:val="TableParagraph"/>
              <w:ind w:left="57" w:right="57"/>
              <w:jc w:val="center"/>
              <w:rPr>
                <w:sz w:val="18"/>
              </w:rPr>
            </w:pPr>
            <w:r>
              <w:rPr>
                <w:spacing w:val="-2"/>
                <w:sz w:val="18"/>
              </w:rPr>
              <w:t>4.208232</w:t>
            </w:r>
          </w:p>
        </w:tc>
        <w:tc>
          <w:tcPr>
            <w:tcW w:w="968" w:type="dxa"/>
          </w:tcPr>
          <w:p>
            <w:pPr>
              <w:pStyle w:val="TableParagraph"/>
              <w:ind w:left="47" w:right="39"/>
              <w:jc w:val="center"/>
              <w:rPr>
                <w:sz w:val="18"/>
              </w:rPr>
            </w:pPr>
            <w:r>
              <w:rPr>
                <w:spacing w:val="-2"/>
                <w:sz w:val="18"/>
              </w:rPr>
              <w:t>3.624333</w:t>
            </w:r>
          </w:p>
        </w:tc>
        <w:tc>
          <w:tcPr>
            <w:tcW w:w="1067" w:type="dxa"/>
          </w:tcPr>
          <w:p>
            <w:pPr>
              <w:pStyle w:val="TableParagraph"/>
              <w:ind w:left="48" w:right="2"/>
              <w:jc w:val="center"/>
              <w:rPr>
                <w:sz w:val="18"/>
              </w:rPr>
            </w:pPr>
            <w:r>
              <w:rPr>
                <w:spacing w:val="-2"/>
                <w:sz w:val="18"/>
              </w:rPr>
              <w:t>1.576468</w:t>
            </w:r>
          </w:p>
        </w:tc>
        <w:tc>
          <w:tcPr>
            <w:tcW w:w="954" w:type="dxa"/>
          </w:tcPr>
          <w:p>
            <w:pPr>
              <w:pStyle w:val="TableParagraph"/>
              <w:ind w:left="48" w:right="45"/>
              <w:jc w:val="center"/>
              <w:rPr>
                <w:sz w:val="18"/>
              </w:rPr>
            </w:pPr>
            <w:r>
              <w:rPr>
                <w:spacing w:val="-2"/>
                <w:sz w:val="18"/>
              </w:rPr>
              <w:t>3.184479</w:t>
            </w:r>
          </w:p>
        </w:tc>
        <w:tc>
          <w:tcPr>
            <w:tcW w:w="941" w:type="dxa"/>
          </w:tcPr>
          <w:p>
            <w:pPr>
              <w:pStyle w:val="TableParagraph"/>
              <w:ind w:left="51" w:right="51"/>
              <w:jc w:val="center"/>
              <w:rPr>
                <w:sz w:val="18"/>
              </w:rPr>
            </w:pPr>
            <w:r>
              <w:rPr>
                <w:spacing w:val="-2"/>
                <w:sz w:val="18"/>
              </w:rPr>
              <w:t>6.351314</w:t>
            </w:r>
          </w:p>
        </w:tc>
        <w:tc>
          <w:tcPr>
            <w:tcW w:w="948" w:type="dxa"/>
          </w:tcPr>
          <w:p>
            <w:pPr>
              <w:pStyle w:val="TableParagraph"/>
              <w:ind w:left="91" w:right="2"/>
              <w:jc w:val="center"/>
              <w:rPr>
                <w:sz w:val="18"/>
              </w:rPr>
            </w:pPr>
            <w:r>
              <w:rPr>
                <w:spacing w:val="-2"/>
                <w:sz w:val="18"/>
              </w:rPr>
              <w:t>1.432800</w:t>
            </w:r>
          </w:p>
        </w:tc>
      </w:tr>
      <w:tr>
        <w:trPr>
          <w:trHeight w:val="225" w:hRule="atLeast"/>
        </w:trPr>
        <w:tc>
          <w:tcPr>
            <w:tcW w:w="1294" w:type="dxa"/>
          </w:tcPr>
          <w:p>
            <w:pPr>
              <w:pStyle w:val="TableParagraph"/>
              <w:ind w:left="67"/>
              <w:rPr>
                <w:sz w:val="18"/>
              </w:rPr>
            </w:pPr>
            <w:r>
              <w:rPr>
                <w:spacing w:val="-2"/>
                <w:sz w:val="18"/>
              </w:rPr>
              <w:t>Jarque-</w:t>
            </w:r>
            <w:r>
              <w:rPr>
                <w:spacing w:val="-4"/>
                <w:sz w:val="18"/>
              </w:rPr>
              <w:t>Bera</w:t>
            </w:r>
          </w:p>
        </w:tc>
        <w:tc>
          <w:tcPr>
            <w:tcW w:w="1014" w:type="dxa"/>
          </w:tcPr>
          <w:p>
            <w:pPr>
              <w:pStyle w:val="TableParagraph"/>
              <w:ind w:left="56" w:right="62"/>
              <w:jc w:val="center"/>
              <w:rPr>
                <w:sz w:val="18"/>
              </w:rPr>
            </w:pPr>
            <w:r>
              <w:rPr>
                <w:spacing w:val="-2"/>
                <w:sz w:val="18"/>
              </w:rPr>
              <w:t>4.079382</w:t>
            </w:r>
          </w:p>
        </w:tc>
        <w:tc>
          <w:tcPr>
            <w:tcW w:w="959" w:type="dxa"/>
          </w:tcPr>
          <w:p>
            <w:pPr>
              <w:pStyle w:val="TableParagraph"/>
              <w:ind w:left="90" w:right="2"/>
              <w:jc w:val="center"/>
              <w:rPr>
                <w:sz w:val="18"/>
              </w:rPr>
            </w:pPr>
            <w:r>
              <w:rPr>
                <w:spacing w:val="-2"/>
                <w:sz w:val="18"/>
              </w:rPr>
              <w:t>5.150300</w:t>
            </w:r>
          </w:p>
        </w:tc>
        <w:tc>
          <w:tcPr>
            <w:tcW w:w="957" w:type="dxa"/>
          </w:tcPr>
          <w:p>
            <w:pPr>
              <w:pStyle w:val="TableParagraph"/>
              <w:ind w:right="25"/>
              <w:jc w:val="center"/>
              <w:rPr>
                <w:sz w:val="18"/>
              </w:rPr>
            </w:pPr>
            <w:r>
              <w:rPr>
                <w:spacing w:val="-2"/>
                <w:sz w:val="18"/>
              </w:rPr>
              <w:t>4.673804</w:t>
            </w:r>
          </w:p>
        </w:tc>
        <w:tc>
          <w:tcPr>
            <w:tcW w:w="1000" w:type="dxa"/>
          </w:tcPr>
          <w:p>
            <w:pPr>
              <w:pStyle w:val="TableParagraph"/>
              <w:ind w:left="57" w:right="57"/>
              <w:jc w:val="center"/>
              <w:rPr>
                <w:sz w:val="18"/>
              </w:rPr>
            </w:pPr>
            <w:r>
              <w:rPr>
                <w:spacing w:val="-2"/>
                <w:sz w:val="18"/>
              </w:rPr>
              <w:t>16.96875</w:t>
            </w:r>
          </w:p>
        </w:tc>
        <w:tc>
          <w:tcPr>
            <w:tcW w:w="968" w:type="dxa"/>
          </w:tcPr>
          <w:p>
            <w:pPr>
              <w:pStyle w:val="TableParagraph"/>
              <w:ind w:left="47" w:right="39"/>
              <w:jc w:val="center"/>
              <w:rPr>
                <w:sz w:val="18"/>
              </w:rPr>
            </w:pPr>
            <w:r>
              <w:rPr>
                <w:spacing w:val="-2"/>
                <w:sz w:val="18"/>
              </w:rPr>
              <w:t>8.945495</w:t>
            </w:r>
          </w:p>
        </w:tc>
        <w:tc>
          <w:tcPr>
            <w:tcW w:w="1067" w:type="dxa"/>
          </w:tcPr>
          <w:p>
            <w:pPr>
              <w:pStyle w:val="TableParagraph"/>
              <w:ind w:left="48" w:right="2"/>
              <w:jc w:val="center"/>
              <w:rPr>
                <w:sz w:val="18"/>
              </w:rPr>
            </w:pPr>
            <w:r>
              <w:rPr>
                <w:spacing w:val="-2"/>
                <w:sz w:val="18"/>
              </w:rPr>
              <w:t>4.797830</w:t>
            </w:r>
          </w:p>
        </w:tc>
        <w:tc>
          <w:tcPr>
            <w:tcW w:w="954" w:type="dxa"/>
          </w:tcPr>
          <w:p>
            <w:pPr>
              <w:pStyle w:val="TableParagraph"/>
              <w:ind w:left="48" w:right="45"/>
              <w:jc w:val="center"/>
              <w:rPr>
                <w:sz w:val="18"/>
              </w:rPr>
            </w:pPr>
            <w:r>
              <w:rPr>
                <w:spacing w:val="-2"/>
                <w:sz w:val="18"/>
              </w:rPr>
              <w:t>0.063658</w:t>
            </w:r>
          </w:p>
        </w:tc>
        <w:tc>
          <w:tcPr>
            <w:tcW w:w="941" w:type="dxa"/>
          </w:tcPr>
          <w:p>
            <w:pPr>
              <w:pStyle w:val="TableParagraph"/>
              <w:ind w:left="51" w:right="51"/>
              <w:jc w:val="center"/>
              <w:rPr>
                <w:sz w:val="18"/>
              </w:rPr>
            </w:pPr>
            <w:r>
              <w:rPr>
                <w:spacing w:val="-2"/>
                <w:sz w:val="18"/>
              </w:rPr>
              <w:t>30.60980</w:t>
            </w:r>
          </w:p>
        </w:tc>
        <w:tc>
          <w:tcPr>
            <w:tcW w:w="948" w:type="dxa"/>
          </w:tcPr>
          <w:p>
            <w:pPr>
              <w:pStyle w:val="TableParagraph"/>
              <w:ind w:left="91" w:right="2"/>
              <w:jc w:val="center"/>
              <w:rPr>
                <w:sz w:val="18"/>
              </w:rPr>
            </w:pPr>
            <w:r>
              <w:rPr>
                <w:spacing w:val="-2"/>
                <w:sz w:val="18"/>
              </w:rPr>
              <w:t>3.937795</w:t>
            </w:r>
          </w:p>
        </w:tc>
      </w:tr>
      <w:tr>
        <w:trPr>
          <w:trHeight w:val="224" w:hRule="atLeast"/>
        </w:trPr>
        <w:tc>
          <w:tcPr>
            <w:tcW w:w="1294" w:type="dxa"/>
          </w:tcPr>
          <w:p>
            <w:pPr>
              <w:pStyle w:val="TableParagraph"/>
              <w:spacing w:line="198" w:lineRule="exact"/>
              <w:ind w:left="67"/>
              <w:rPr>
                <w:sz w:val="18"/>
              </w:rPr>
            </w:pPr>
            <w:r>
              <w:rPr>
                <w:spacing w:val="-2"/>
                <w:sz w:val="18"/>
              </w:rPr>
              <w:t>Probability</w:t>
            </w:r>
          </w:p>
        </w:tc>
        <w:tc>
          <w:tcPr>
            <w:tcW w:w="1014" w:type="dxa"/>
          </w:tcPr>
          <w:p>
            <w:pPr>
              <w:pStyle w:val="TableParagraph"/>
              <w:spacing w:line="198" w:lineRule="exact"/>
              <w:ind w:left="56" w:right="62"/>
              <w:jc w:val="center"/>
              <w:rPr>
                <w:sz w:val="18"/>
              </w:rPr>
            </w:pPr>
            <w:r>
              <w:rPr>
                <w:spacing w:val="-2"/>
                <w:sz w:val="18"/>
              </w:rPr>
              <w:t>0.130069</w:t>
            </w:r>
          </w:p>
        </w:tc>
        <w:tc>
          <w:tcPr>
            <w:tcW w:w="959" w:type="dxa"/>
          </w:tcPr>
          <w:p>
            <w:pPr>
              <w:pStyle w:val="TableParagraph"/>
              <w:spacing w:line="198" w:lineRule="exact"/>
              <w:ind w:left="90" w:right="2"/>
              <w:jc w:val="center"/>
              <w:rPr>
                <w:sz w:val="18"/>
              </w:rPr>
            </w:pPr>
            <w:r>
              <w:rPr>
                <w:spacing w:val="-2"/>
                <w:sz w:val="18"/>
              </w:rPr>
              <w:t>0.076142</w:t>
            </w:r>
          </w:p>
        </w:tc>
        <w:tc>
          <w:tcPr>
            <w:tcW w:w="957" w:type="dxa"/>
          </w:tcPr>
          <w:p>
            <w:pPr>
              <w:pStyle w:val="TableParagraph"/>
              <w:spacing w:line="198" w:lineRule="exact"/>
              <w:ind w:right="25"/>
              <w:jc w:val="center"/>
              <w:rPr>
                <w:sz w:val="18"/>
              </w:rPr>
            </w:pPr>
            <w:r>
              <w:rPr>
                <w:spacing w:val="-2"/>
                <w:sz w:val="18"/>
              </w:rPr>
              <w:t>0.096627</w:t>
            </w:r>
          </w:p>
        </w:tc>
        <w:tc>
          <w:tcPr>
            <w:tcW w:w="1000" w:type="dxa"/>
          </w:tcPr>
          <w:p>
            <w:pPr>
              <w:pStyle w:val="TableParagraph"/>
              <w:spacing w:line="198" w:lineRule="exact"/>
              <w:ind w:left="56" w:right="57"/>
              <w:jc w:val="center"/>
              <w:rPr>
                <w:sz w:val="18"/>
              </w:rPr>
            </w:pPr>
            <w:r>
              <w:rPr>
                <w:spacing w:val="-2"/>
                <w:sz w:val="18"/>
              </w:rPr>
              <w:t>0.240207</w:t>
            </w:r>
          </w:p>
        </w:tc>
        <w:tc>
          <w:tcPr>
            <w:tcW w:w="968" w:type="dxa"/>
          </w:tcPr>
          <w:p>
            <w:pPr>
              <w:pStyle w:val="TableParagraph"/>
              <w:spacing w:line="198" w:lineRule="exact"/>
              <w:ind w:left="47" w:right="39"/>
              <w:jc w:val="center"/>
              <w:rPr>
                <w:sz w:val="18"/>
              </w:rPr>
            </w:pPr>
            <w:r>
              <w:rPr>
                <w:spacing w:val="-2"/>
                <w:sz w:val="18"/>
              </w:rPr>
              <w:t>0.311416</w:t>
            </w:r>
          </w:p>
        </w:tc>
        <w:tc>
          <w:tcPr>
            <w:tcW w:w="1067" w:type="dxa"/>
          </w:tcPr>
          <w:p>
            <w:pPr>
              <w:pStyle w:val="TableParagraph"/>
              <w:spacing w:line="198" w:lineRule="exact"/>
              <w:ind w:left="48" w:right="2"/>
              <w:jc w:val="center"/>
              <w:rPr>
                <w:sz w:val="18"/>
              </w:rPr>
            </w:pPr>
            <w:r>
              <w:rPr>
                <w:spacing w:val="-2"/>
                <w:sz w:val="18"/>
              </w:rPr>
              <w:t>0.090816</w:t>
            </w:r>
          </w:p>
        </w:tc>
        <w:tc>
          <w:tcPr>
            <w:tcW w:w="954" w:type="dxa"/>
          </w:tcPr>
          <w:p>
            <w:pPr>
              <w:pStyle w:val="TableParagraph"/>
              <w:spacing w:line="198" w:lineRule="exact"/>
              <w:ind w:left="48" w:right="45"/>
              <w:jc w:val="center"/>
              <w:rPr>
                <w:sz w:val="18"/>
              </w:rPr>
            </w:pPr>
            <w:r>
              <w:rPr>
                <w:spacing w:val="-2"/>
                <w:sz w:val="18"/>
              </w:rPr>
              <w:t>0.968672</w:t>
            </w:r>
          </w:p>
        </w:tc>
        <w:tc>
          <w:tcPr>
            <w:tcW w:w="941" w:type="dxa"/>
          </w:tcPr>
          <w:p>
            <w:pPr>
              <w:pStyle w:val="TableParagraph"/>
              <w:spacing w:line="198" w:lineRule="exact"/>
              <w:ind w:left="52" w:right="51"/>
              <w:jc w:val="center"/>
              <w:rPr>
                <w:sz w:val="18"/>
              </w:rPr>
            </w:pPr>
            <w:r>
              <w:rPr>
                <w:spacing w:val="-2"/>
                <w:sz w:val="18"/>
              </w:rPr>
              <w:t>0.408725</w:t>
            </w:r>
          </w:p>
        </w:tc>
        <w:tc>
          <w:tcPr>
            <w:tcW w:w="948" w:type="dxa"/>
          </w:tcPr>
          <w:p>
            <w:pPr>
              <w:pStyle w:val="TableParagraph"/>
              <w:spacing w:line="198" w:lineRule="exact"/>
              <w:ind w:left="91" w:right="2"/>
              <w:jc w:val="center"/>
              <w:rPr>
                <w:sz w:val="18"/>
              </w:rPr>
            </w:pPr>
            <w:r>
              <w:rPr>
                <w:spacing w:val="-2"/>
                <w:sz w:val="18"/>
              </w:rPr>
              <w:t>0.139611</w:t>
            </w:r>
          </w:p>
        </w:tc>
      </w:tr>
      <w:tr>
        <w:trPr>
          <w:trHeight w:val="224" w:hRule="atLeast"/>
        </w:trPr>
        <w:tc>
          <w:tcPr>
            <w:tcW w:w="1294" w:type="dxa"/>
          </w:tcPr>
          <w:p>
            <w:pPr>
              <w:pStyle w:val="TableParagraph"/>
              <w:spacing w:before="5"/>
              <w:ind w:left="67"/>
              <w:rPr>
                <w:sz w:val="18"/>
              </w:rPr>
            </w:pPr>
            <w:r>
              <w:rPr>
                <w:spacing w:val="-5"/>
                <w:sz w:val="18"/>
              </w:rPr>
              <w:t>Sum</w:t>
            </w:r>
          </w:p>
        </w:tc>
        <w:tc>
          <w:tcPr>
            <w:tcW w:w="1014" w:type="dxa"/>
          </w:tcPr>
          <w:p>
            <w:pPr>
              <w:pStyle w:val="TableParagraph"/>
              <w:spacing w:before="5"/>
              <w:ind w:left="56" w:right="62"/>
              <w:jc w:val="center"/>
              <w:rPr>
                <w:sz w:val="18"/>
              </w:rPr>
            </w:pPr>
            <w:r>
              <w:rPr>
                <w:spacing w:val="-2"/>
                <w:sz w:val="18"/>
              </w:rPr>
              <w:t>1350200.</w:t>
            </w:r>
          </w:p>
        </w:tc>
        <w:tc>
          <w:tcPr>
            <w:tcW w:w="959" w:type="dxa"/>
          </w:tcPr>
          <w:p>
            <w:pPr>
              <w:pStyle w:val="TableParagraph"/>
              <w:spacing w:before="5"/>
              <w:ind w:left="90" w:right="2"/>
              <w:jc w:val="center"/>
              <w:rPr>
                <w:sz w:val="18"/>
              </w:rPr>
            </w:pPr>
            <w:r>
              <w:rPr>
                <w:spacing w:val="-2"/>
                <w:sz w:val="18"/>
              </w:rPr>
              <w:t>42333.00</w:t>
            </w:r>
          </w:p>
        </w:tc>
        <w:tc>
          <w:tcPr>
            <w:tcW w:w="957" w:type="dxa"/>
          </w:tcPr>
          <w:p>
            <w:pPr>
              <w:pStyle w:val="TableParagraph"/>
              <w:spacing w:before="5"/>
              <w:ind w:right="25"/>
              <w:jc w:val="center"/>
              <w:rPr>
                <w:sz w:val="18"/>
              </w:rPr>
            </w:pPr>
            <w:r>
              <w:rPr>
                <w:spacing w:val="-2"/>
                <w:sz w:val="18"/>
              </w:rPr>
              <w:t>3141.280</w:t>
            </w:r>
          </w:p>
        </w:tc>
        <w:tc>
          <w:tcPr>
            <w:tcW w:w="1000" w:type="dxa"/>
          </w:tcPr>
          <w:p>
            <w:pPr>
              <w:pStyle w:val="TableParagraph"/>
              <w:spacing w:before="5"/>
              <w:ind w:left="57" w:right="57"/>
              <w:jc w:val="center"/>
              <w:rPr>
                <w:sz w:val="18"/>
              </w:rPr>
            </w:pPr>
            <w:r>
              <w:rPr>
                <w:spacing w:val="-2"/>
                <w:sz w:val="18"/>
              </w:rPr>
              <w:t>116909.4</w:t>
            </w:r>
          </w:p>
        </w:tc>
        <w:tc>
          <w:tcPr>
            <w:tcW w:w="968" w:type="dxa"/>
          </w:tcPr>
          <w:p>
            <w:pPr>
              <w:pStyle w:val="TableParagraph"/>
              <w:spacing w:before="5"/>
              <w:ind w:left="47" w:right="39"/>
              <w:jc w:val="center"/>
              <w:rPr>
                <w:sz w:val="18"/>
              </w:rPr>
            </w:pPr>
            <w:r>
              <w:rPr>
                <w:spacing w:val="-2"/>
                <w:sz w:val="18"/>
              </w:rPr>
              <w:t>8347.540</w:t>
            </w:r>
          </w:p>
        </w:tc>
        <w:tc>
          <w:tcPr>
            <w:tcW w:w="1067" w:type="dxa"/>
          </w:tcPr>
          <w:p>
            <w:pPr>
              <w:pStyle w:val="TableParagraph"/>
              <w:spacing w:before="5"/>
              <w:ind w:left="48" w:right="2"/>
              <w:jc w:val="center"/>
              <w:rPr>
                <w:sz w:val="18"/>
              </w:rPr>
            </w:pPr>
            <w:r>
              <w:rPr>
                <w:spacing w:val="-2"/>
                <w:sz w:val="18"/>
              </w:rPr>
              <w:t>416.5997</w:t>
            </w:r>
          </w:p>
        </w:tc>
        <w:tc>
          <w:tcPr>
            <w:tcW w:w="954" w:type="dxa"/>
          </w:tcPr>
          <w:p>
            <w:pPr>
              <w:pStyle w:val="TableParagraph"/>
              <w:spacing w:before="5"/>
              <w:ind w:left="48" w:right="45"/>
              <w:jc w:val="center"/>
              <w:rPr>
                <w:sz w:val="18"/>
              </w:rPr>
            </w:pPr>
            <w:r>
              <w:rPr>
                <w:spacing w:val="-2"/>
                <w:sz w:val="18"/>
              </w:rPr>
              <w:t>2382.610</w:t>
            </w:r>
          </w:p>
        </w:tc>
        <w:tc>
          <w:tcPr>
            <w:tcW w:w="941" w:type="dxa"/>
          </w:tcPr>
          <w:p>
            <w:pPr>
              <w:pStyle w:val="TableParagraph"/>
              <w:spacing w:before="5"/>
              <w:ind w:left="51" w:right="51"/>
              <w:jc w:val="center"/>
              <w:rPr>
                <w:sz w:val="18"/>
              </w:rPr>
            </w:pPr>
            <w:r>
              <w:rPr>
                <w:spacing w:val="-2"/>
                <w:sz w:val="18"/>
              </w:rPr>
              <w:t>665.5500</w:t>
            </w:r>
          </w:p>
        </w:tc>
        <w:tc>
          <w:tcPr>
            <w:tcW w:w="948" w:type="dxa"/>
          </w:tcPr>
          <w:p>
            <w:pPr>
              <w:pStyle w:val="TableParagraph"/>
              <w:spacing w:before="5"/>
              <w:ind w:left="91" w:right="2"/>
              <w:jc w:val="center"/>
              <w:rPr>
                <w:sz w:val="18"/>
              </w:rPr>
            </w:pPr>
            <w:r>
              <w:rPr>
                <w:spacing w:val="-2"/>
                <w:sz w:val="18"/>
              </w:rPr>
              <w:t>3294.480</w:t>
            </w:r>
          </w:p>
        </w:tc>
      </w:tr>
      <w:tr>
        <w:trPr>
          <w:trHeight w:val="225" w:hRule="atLeast"/>
        </w:trPr>
        <w:tc>
          <w:tcPr>
            <w:tcW w:w="1294" w:type="dxa"/>
          </w:tcPr>
          <w:p>
            <w:pPr>
              <w:pStyle w:val="TableParagraph"/>
              <w:ind w:left="67"/>
              <w:rPr>
                <w:sz w:val="18"/>
              </w:rPr>
            </w:pPr>
            <w:r>
              <w:rPr>
                <w:sz w:val="18"/>
              </w:rPr>
              <w:t>Sum</w:t>
            </w:r>
            <w:r>
              <w:rPr>
                <w:spacing w:val="-2"/>
                <w:sz w:val="18"/>
              </w:rPr>
              <w:t> </w:t>
            </w:r>
            <w:r>
              <w:rPr>
                <w:sz w:val="18"/>
              </w:rPr>
              <w:t>Sq.</w:t>
            </w:r>
            <w:r>
              <w:rPr>
                <w:spacing w:val="-1"/>
                <w:sz w:val="18"/>
              </w:rPr>
              <w:t> </w:t>
            </w:r>
            <w:r>
              <w:rPr>
                <w:spacing w:val="-4"/>
                <w:sz w:val="18"/>
              </w:rPr>
              <w:t>Dev.</w:t>
            </w:r>
          </w:p>
        </w:tc>
        <w:tc>
          <w:tcPr>
            <w:tcW w:w="1014" w:type="dxa"/>
          </w:tcPr>
          <w:p>
            <w:pPr>
              <w:pStyle w:val="TableParagraph"/>
              <w:ind w:left="56" w:right="62"/>
              <w:jc w:val="center"/>
              <w:rPr>
                <w:sz w:val="18"/>
              </w:rPr>
            </w:pPr>
            <w:r>
              <w:rPr>
                <w:spacing w:val="-2"/>
                <w:sz w:val="18"/>
              </w:rPr>
              <w:t>1.43E+10</w:t>
            </w:r>
          </w:p>
        </w:tc>
        <w:tc>
          <w:tcPr>
            <w:tcW w:w="959" w:type="dxa"/>
          </w:tcPr>
          <w:p>
            <w:pPr>
              <w:pStyle w:val="TableParagraph"/>
              <w:ind w:left="90" w:right="1"/>
              <w:jc w:val="center"/>
              <w:rPr>
                <w:sz w:val="18"/>
              </w:rPr>
            </w:pPr>
            <w:r>
              <w:rPr>
                <w:spacing w:val="-2"/>
                <w:sz w:val="18"/>
              </w:rPr>
              <w:t>64634257</w:t>
            </w:r>
          </w:p>
        </w:tc>
        <w:tc>
          <w:tcPr>
            <w:tcW w:w="957" w:type="dxa"/>
          </w:tcPr>
          <w:p>
            <w:pPr>
              <w:pStyle w:val="TableParagraph"/>
              <w:ind w:right="25"/>
              <w:jc w:val="center"/>
              <w:rPr>
                <w:sz w:val="18"/>
              </w:rPr>
            </w:pPr>
            <w:r>
              <w:rPr>
                <w:spacing w:val="-2"/>
                <w:sz w:val="18"/>
              </w:rPr>
              <w:t>146606.4</w:t>
            </w:r>
          </w:p>
        </w:tc>
        <w:tc>
          <w:tcPr>
            <w:tcW w:w="1000" w:type="dxa"/>
          </w:tcPr>
          <w:p>
            <w:pPr>
              <w:pStyle w:val="TableParagraph"/>
              <w:ind w:left="56" w:right="57"/>
              <w:jc w:val="center"/>
              <w:rPr>
                <w:sz w:val="18"/>
              </w:rPr>
            </w:pPr>
            <w:r>
              <w:rPr>
                <w:spacing w:val="-2"/>
                <w:sz w:val="18"/>
              </w:rPr>
              <w:t>1.04E+09</w:t>
            </w:r>
          </w:p>
        </w:tc>
        <w:tc>
          <w:tcPr>
            <w:tcW w:w="968" w:type="dxa"/>
          </w:tcPr>
          <w:p>
            <w:pPr>
              <w:pStyle w:val="TableParagraph"/>
              <w:ind w:left="47" w:right="39"/>
              <w:jc w:val="center"/>
              <w:rPr>
                <w:sz w:val="18"/>
              </w:rPr>
            </w:pPr>
            <w:r>
              <w:rPr>
                <w:spacing w:val="-2"/>
                <w:sz w:val="18"/>
              </w:rPr>
              <w:t>2349557.</w:t>
            </w:r>
          </w:p>
        </w:tc>
        <w:tc>
          <w:tcPr>
            <w:tcW w:w="1067" w:type="dxa"/>
          </w:tcPr>
          <w:p>
            <w:pPr>
              <w:pStyle w:val="TableParagraph"/>
              <w:ind w:left="48" w:right="2"/>
              <w:jc w:val="center"/>
              <w:rPr>
                <w:sz w:val="18"/>
              </w:rPr>
            </w:pPr>
            <w:r>
              <w:rPr>
                <w:spacing w:val="-2"/>
                <w:sz w:val="18"/>
              </w:rPr>
              <w:t>1065.046</w:t>
            </w:r>
          </w:p>
        </w:tc>
        <w:tc>
          <w:tcPr>
            <w:tcW w:w="954" w:type="dxa"/>
          </w:tcPr>
          <w:p>
            <w:pPr>
              <w:pStyle w:val="TableParagraph"/>
              <w:ind w:left="48" w:right="45"/>
              <w:jc w:val="center"/>
              <w:rPr>
                <w:sz w:val="18"/>
              </w:rPr>
            </w:pPr>
            <w:r>
              <w:rPr>
                <w:spacing w:val="-2"/>
                <w:sz w:val="18"/>
              </w:rPr>
              <w:t>4279.858</w:t>
            </w:r>
          </w:p>
        </w:tc>
        <w:tc>
          <w:tcPr>
            <w:tcW w:w="941" w:type="dxa"/>
          </w:tcPr>
          <w:p>
            <w:pPr>
              <w:pStyle w:val="TableParagraph"/>
              <w:ind w:left="51" w:right="51"/>
              <w:jc w:val="center"/>
              <w:rPr>
                <w:sz w:val="18"/>
              </w:rPr>
            </w:pPr>
            <w:r>
              <w:rPr>
                <w:spacing w:val="-2"/>
                <w:sz w:val="18"/>
              </w:rPr>
              <w:t>792.6401</w:t>
            </w:r>
          </w:p>
        </w:tc>
        <w:tc>
          <w:tcPr>
            <w:tcW w:w="948" w:type="dxa"/>
          </w:tcPr>
          <w:p>
            <w:pPr>
              <w:pStyle w:val="TableParagraph"/>
              <w:ind w:left="91" w:right="2"/>
              <w:jc w:val="center"/>
              <w:rPr>
                <w:sz w:val="18"/>
              </w:rPr>
            </w:pPr>
            <w:r>
              <w:rPr>
                <w:spacing w:val="-2"/>
                <w:sz w:val="18"/>
              </w:rPr>
              <w:t>147916.0</w:t>
            </w:r>
          </w:p>
        </w:tc>
      </w:tr>
      <w:tr>
        <w:trPr>
          <w:trHeight w:val="213" w:hRule="atLeast"/>
        </w:trPr>
        <w:tc>
          <w:tcPr>
            <w:tcW w:w="1294" w:type="dxa"/>
            <w:tcBorders>
              <w:bottom w:val="single" w:sz="4" w:space="0" w:color="000000"/>
            </w:tcBorders>
          </w:tcPr>
          <w:p>
            <w:pPr>
              <w:pStyle w:val="TableParagraph"/>
              <w:spacing w:line="187" w:lineRule="exact"/>
              <w:ind w:left="67"/>
              <w:rPr>
                <w:sz w:val="18"/>
              </w:rPr>
            </w:pPr>
            <w:r>
              <w:rPr>
                <w:spacing w:val="-2"/>
                <w:sz w:val="18"/>
              </w:rPr>
              <w:t>Observations</w:t>
            </w:r>
          </w:p>
        </w:tc>
        <w:tc>
          <w:tcPr>
            <w:tcW w:w="1014" w:type="dxa"/>
            <w:tcBorders>
              <w:bottom w:val="single" w:sz="4" w:space="0" w:color="000000"/>
            </w:tcBorders>
          </w:tcPr>
          <w:p>
            <w:pPr>
              <w:pStyle w:val="TableParagraph"/>
              <w:spacing w:line="187" w:lineRule="exact"/>
              <w:ind w:left="58" w:right="62"/>
              <w:jc w:val="center"/>
              <w:rPr>
                <w:sz w:val="18"/>
              </w:rPr>
            </w:pPr>
            <w:r>
              <w:rPr>
                <w:spacing w:val="-5"/>
                <w:sz w:val="18"/>
              </w:rPr>
              <w:t>35</w:t>
            </w:r>
          </w:p>
        </w:tc>
        <w:tc>
          <w:tcPr>
            <w:tcW w:w="959" w:type="dxa"/>
            <w:tcBorders>
              <w:bottom w:val="single" w:sz="4" w:space="0" w:color="000000"/>
            </w:tcBorders>
          </w:tcPr>
          <w:p>
            <w:pPr>
              <w:pStyle w:val="TableParagraph"/>
              <w:spacing w:line="187" w:lineRule="exact"/>
              <w:ind w:left="90"/>
              <w:jc w:val="center"/>
              <w:rPr>
                <w:sz w:val="18"/>
              </w:rPr>
            </w:pPr>
            <w:r>
              <w:rPr>
                <w:spacing w:val="-5"/>
                <w:sz w:val="18"/>
              </w:rPr>
              <w:t>35</w:t>
            </w:r>
          </w:p>
        </w:tc>
        <w:tc>
          <w:tcPr>
            <w:tcW w:w="957" w:type="dxa"/>
            <w:tcBorders>
              <w:bottom w:val="single" w:sz="4" w:space="0" w:color="000000"/>
            </w:tcBorders>
          </w:tcPr>
          <w:p>
            <w:pPr>
              <w:pStyle w:val="TableParagraph"/>
              <w:spacing w:line="187" w:lineRule="exact"/>
              <w:ind w:right="23"/>
              <w:jc w:val="center"/>
              <w:rPr>
                <w:sz w:val="18"/>
              </w:rPr>
            </w:pPr>
            <w:r>
              <w:rPr>
                <w:spacing w:val="-5"/>
                <w:sz w:val="18"/>
              </w:rPr>
              <w:t>35</w:t>
            </w:r>
          </w:p>
        </w:tc>
        <w:tc>
          <w:tcPr>
            <w:tcW w:w="1000" w:type="dxa"/>
            <w:tcBorders>
              <w:bottom w:val="single" w:sz="4" w:space="0" w:color="000000"/>
            </w:tcBorders>
          </w:tcPr>
          <w:p>
            <w:pPr>
              <w:pStyle w:val="TableParagraph"/>
              <w:spacing w:line="187" w:lineRule="exact"/>
              <w:ind w:left="57" w:right="57"/>
              <w:jc w:val="center"/>
              <w:rPr>
                <w:sz w:val="18"/>
              </w:rPr>
            </w:pPr>
            <w:r>
              <w:rPr>
                <w:spacing w:val="-5"/>
                <w:sz w:val="18"/>
              </w:rPr>
              <w:t>35</w:t>
            </w:r>
          </w:p>
        </w:tc>
        <w:tc>
          <w:tcPr>
            <w:tcW w:w="968" w:type="dxa"/>
            <w:tcBorders>
              <w:bottom w:val="single" w:sz="4" w:space="0" w:color="000000"/>
            </w:tcBorders>
          </w:tcPr>
          <w:p>
            <w:pPr>
              <w:pStyle w:val="TableParagraph"/>
              <w:spacing w:line="187" w:lineRule="exact"/>
              <w:ind w:left="48" w:right="39"/>
              <w:jc w:val="center"/>
              <w:rPr>
                <w:sz w:val="18"/>
              </w:rPr>
            </w:pPr>
            <w:r>
              <w:rPr>
                <w:spacing w:val="-5"/>
                <w:sz w:val="18"/>
              </w:rPr>
              <w:t>35</w:t>
            </w:r>
          </w:p>
        </w:tc>
        <w:tc>
          <w:tcPr>
            <w:tcW w:w="1067" w:type="dxa"/>
            <w:tcBorders>
              <w:bottom w:val="single" w:sz="4" w:space="0" w:color="000000"/>
            </w:tcBorders>
          </w:tcPr>
          <w:p>
            <w:pPr>
              <w:pStyle w:val="TableParagraph"/>
              <w:spacing w:line="187" w:lineRule="exact"/>
              <w:ind w:left="49" w:right="1"/>
              <w:jc w:val="center"/>
              <w:rPr>
                <w:sz w:val="18"/>
              </w:rPr>
            </w:pPr>
            <w:r>
              <w:rPr>
                <w:spacing w:val="-5"/>
                <w:sz w:val="18"/>
              </w:rPr>
              <w:t>35</w:t>
            </w:r>
          </w:p>
        </w:tc>
        <w:tc>
          <w:tcPr>
            <w:tcW w:w="954" w:type="dxa"/>
            <w:tcBorders>
              <w:bottom w:val="single" w:sz="4" w:space="0" w:color="000000"/>
            </w:tcBorders>
          </w:tcPr>
          <w:p>
            <w:pPr>
              <w:pStyle w:val="TableParagraph"/>
              <w:spacing w:line="187" w:lineRule="exact"/>
              <w:ind w:left="51" w:right="45"/>
              <w:jc w:val="center"/>
              <w:rPr>
                <w:sz w:val="18"/>
              </w:rPr>
            </w:pPr>
            <w:r>
              <w:rPr>
                <w:spacing w:val="-5"/>
                <w:sz w:val="18"/>
              </w:rPr>
              <w:t>35</w:t>
            </w:r>
          </w:p>
        </w:tc>
        <w:tc>
          <w:tcPr>
            <w:tcW w:w="941" w:type="dxa"/>
            <w:tcBorders>
              <w:bottom w:val="single" w:sz="4" w:space="0" w:color="000000"/>
            </w:tcBorders>
          </w:tcPr>
          <w:p>
            <w:pPr>
              <w:pStyle w:val="TableParagraph"/>
              <w:spacing w:line="187" w:lineRule="exact"/>
              <w:ind w:left="53" w:right="51"/>
              <w:jc w:val="center"/>
              <w:rPr>
                <w:sz w:val="18"/>
              </w:rPr>
            </w:pPr>
            <w:r>
              <w:rPr>
                <w:spacing w:val="-5"/>
                <w:sz w:val="18"/>
              </w:rPr>
              <w:t>35</w:t>
            </w:r>
          </w:p>
        </w:tc>
        <w:tc>
          <w:tcPr>
            <w:tcW w:w="948" w:type="dxa"/>
            <w:tcBorders>
              <w:bottom w:val="single" w:sz="4" w:space="0" w:color="000000"/>
            </w:tcBorders>
          </w:tcPr>
          <w:p>
            <w:pPr>
              <w:pStyle w:val="TableParagraph"/>
              <w:spacing w:line="187" w:lineRule="exact"/>
              <w:ind w:left="91"/>
              <w:jc w:val="center"/>
              <w:rPr>
                <w:sz w:val="18"/>
              </w:rPr>
            </w:pPr>
            <w:r>
              <w:rPr>
                <w:spacing w:val="-5"/>
                <w:sz w:val="18"/>
              </w:rPr>
              <w:t>35</w:t>
            </w:r>
          </w:p>
        </w:tc>
      </w:tr>
    </w:tbl>
    <w:p>
      <w:pPr>
        <w:pStyle w:val="BodyText"/>
        <w:spacing w:before="166"/>
        <w:jc w:val="both"/>
      </w:pPr>
      <w:r>
        <w:rPr/>
        <w:t>Source:</w:t>
      </w:r>
      <w:r>
        <w:rPr>
          <w:spacing w:val="-9"/>
        </w:rPr>
        <w:t> </w:t>
      </w:r>
      <w:r>
        <w:rPr/>
        <w:t>Author’s</w:t>
      </w:r>
      <w:r>
        <w:rPr>
          <w:spacing w:val="-8"/>
        </w:rPr>
        <w:t> </w:t>
      </w:r>
      <w:r>
        <w:rPr/>
        <w:t>Computation</w:t>
      </w:r>
      <w:r>
        <w:rPr>
          <w:spacing w:val="-9"/>
        </w:rPr>
        <w:t> </w:t>
      </w:r>
      <w:r>
        <w:rPr/>
        <w:t>from</w:t>
      </w:r>
      <w:r>
        <w:rPr>
          <w:spacing w:val="-8"/>
        </w:rPr>
        <w:t> </w:t>
      </w:r>
      <w:r>
        <w:rPr/>
        <w:t>E-view</w:t>
      </w:r>
      <w:r>
        <w:rPr>
          <w:spacing w:val="-9"/>
        </w:rPr>
        <w:t> </w:t>
      </w:r>
      <w:r>
        <w:rPr>
          <w:spacing w:val="-5"/>
        </w:rPr>
        <w:t>9.</w:t>
      </w:r>
    </w:p>
    <w:p>
      <w:pPr>
        <w:spacing w:after="0"/>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094848">
                <wp:simplePos x="0" y="0"/>
                <wp:positionH relativeFrom="page">
                  <wp:posOffset>950112</wp:posOffset>
                </wp:positionH>
                <wp:positionV relativeFrom="paragraph">
                  <wp:posOffset>1321053</wp:posOffset>
                </wp:positionV>
                <wp:extent cx="5505450" cy="5661025"/>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21632" id="docshape184"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Table 1 above reveals the individualcharacteristics of the variablesused in this study highlighting their mean, maximumand minimum values, standard deviationand Jarque-Bera statistics (normality Test). The descriptiveresults in Table 1a above showed that the data of the studycovered 35 observations for all thevariables, that is, a timeframeof 35 years from 1986 to 2020. Real gross domesticproduct (RGDP) has a meanvalue of 38577.16 with maximumvalue of</w:t>
      </w:r>
      <w:r>
        <w:rPr>
          <w:spacing w:val="40"/>
        </w:rPr>
        <w:t> </w:t>
      </w:r>
      <w:r>
        <w:rPr/>
        <w:t>71387.83 and minimumvalue of</w:t>
      </w:r>
      <w:r>
        <w:rPr>
          <w:spacing w:val="40"/>
        </w:rPr>
        <w:t> </w:t>
      </w:r>
      <w:r>
        <w:rPr/>
        <w:t>15237.99. It also recorded astandard deviation of 20479.94 which is lowerthan its mean. This shows that realgross domestic product recordedslow growth withinthe period underreview. RGDP also recorded aJarque- Bera valueof 4.079382 with a probabilityvalue of 0.130069 which is within theacceptable threshold indicating thatRGDP is normally distributed.</w:t>
      </w:r>
    </w:p>
    <w:p>
      <w:pPr>
        <w:pStyle w:val="BodyText"/>
        <w:spacing w:line="480" w:lineRule="auto" w:before="162"/>
        <w:ind w:right="734"/>
        <w:jc w:val="both"/>
      </w:pPr>
      <w:r>
        <w:rPr/>
        <w:t>Foreign direct investment has a meanvalue of 1209.514 with maximumvalue of 3924.100, minimumvalue of 22.20000 and a standarddeviation of 1378.770. It also recordeda Jarque- Bera value of 4.079382 witha probability valueof 0.076142 which is within theacceptable threshold indicatingthat foreign direct investment is normallydistributed.</w:t>
      </w:r>
    </w:p>
    <w:p>
      <w:pPr>
        <w:pStyle w:val="BodyText"/>
        <w:spacing w:line="480" w:lineRule="auto" w:before="160"/>
        <w:ind w:right="734"/>
        <w:jc w:val="both"/>
      </w:pPr>
      <w:r>
        <w:rPr/>
        <w:t>Foreign portfolio investment has a meanvalue of 89.75086 withmaximum value</w:t>
      </w:r>
      <w:r>
        <w:rPr>
          <w:spacing w:val="-1"/>
        </w:rPr>
        <w:t> </w:t>
      </w:r>
      <w:r>
        <w:rPr/>
        <w:t>of 3924.100, minimum value of 0.890000and a standard deviationof 65.66546. It also recorded aJarque- Bera valueof 4.673804 with a probabilityvalue of 0.096627 which is within theacceptable thresholdindicating that foreignportfolio investment isnormally distributed.</w:t>
      </w:r>
    </w:p>
    <w:p>
      <w:pPr>
        <w:pStyle w:val="BodyText"/>
        <w:spacing w:line="480" w:lineRule="auto" w:before="159"/>
        <w:ind w:right="735"/>
        <w:jc w:val="both"/>
      </w:pPr>
      <w:r>
        <w:rPr/>
        <w:t>Official developmentassistance has a mean valueof 3340.269 with maximumvalue of 19077.40, minimum valueof 16.30000 and a standard deviationof 5526.912. It also recorded a Jarque-Bera valueof 16.96875 with a probabilityvalue of 0.240207 which is withinthe acceptable threshold indicating thatOfficial development assistance is normallydistributed.</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mc:AlternateContent>
          <mc:Choice Requires="wps">
            <w:drawing>
              <wp:anchor distT="0" distB="0" distL="0" distR="0" allowOverlap="1" layoutInCell="1" locked="0" behindDoc="1" simplePos="0" relativeHeight="478095360">
                <wp:simplePos x="0" y="0"/>
                <wp:positionH relativeFrom="page">
                  <wp:posOffset>950112</wp:posOffset>
                </wp:positionH>
                <wp:positionV relativeFrom="paragraph">
                  <wp:posOffset>1321053</wp:posOffset>
                </wp:positionV>
                <wp:extent cx="5505450" cy="5661025"/>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21120" id="docshape185"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Remittance has a meanvalue of 238.5011 with maximumvalue of 949.1900, minimumvalue of 10.51000 and a standarddeviation of 262.8775. It also recorded aJarque-Bera value of 8.945495 with a probabilityvalue of 0.311416 which is within theacceptable threshold indicating thatremittance is normally distributed.</w:t>
      </w:r>
    </w:p>
    <w:p>
      <w:pPr>
        <w:pStyle w:val="BodyText"/>
        <w:spacing w:line="480" w:lineRule="auto" w:before="160"/>
        <w:ind w:right="733"/>
        <w:jc w:val="both"/>
      </w:pPr>
      <w:r>
        <w:rPr/>
        <w:t>Credit to private sectoras apercentage of GDP a Proxy for financialdeepening has a mean value of 22.75484 witmaximum value of 22.75484, minimumvalue of 5.806165 and a standarddeviation of 5.596864. It also recordeda Jarque-Bera valueof 4.797830 with a probability value of0.090816 which is within theacceptable thresholdindicating that Credit to private sector as apercentage of GDP is normallydistributed.</w:t>
      </w:r>
    </w:p>
    <w:p>
      <w:pPr>
        <w:pStyle w:val="BodyText"/>
        <w:spacing w:line="480" w:lineRule="auto" w:before="162"/>
        <w:ind w:right="737"/>
        <w:jc w:val="both"/>
      </w:pPr>
      <w:r>
        <w:rPr/>
        <w:t>Trade</w:t>
      </w:r>
      <w:r>
        <w:rPr>
          <w:spacing w:val="-4"/>
        </w:rPr>
        <w:t> </w:t>
      </w:r>
      <w:r>
        <w:rPr/>
        <w:t>openness</w:t>
      </w:r>
      <w:r>
        <w:rPr>
          <w:spacing w:val="-3"/>
        </w:rPr>
        <w:t> </w:t>
      </w:r>
      <w:r>
        <w:rPr/>
        <w:t>andinterest</w:t>
      </w:r>
      <w:r>
        <w:rPr>
          <w:spacing w:val="-4"/>
        </w:rPr>
        <w:t> </w:t>
      </w:r>
      <w:r>
        <w:rPr/>
        <w:t>rate</w:t>
      </w:r>
      <w:r>
        <w:rPr>
          <w:spacing w:val="-4"/>
        </w:rPr>
        <w:t> </w:t>
      </w:r>
      <w:r>
        <w:rPr/>
        <w:t>recorded</w:t>
      </w:r>
      <w:r>
        <w:rPr>
          <w:spacing w:val="-4"/>
        </w:rPr>
        <w:t> </w:t>
      </w:r>
      <w:r>
        <w:rPr/>
        <w:t>meanvalue</w:t>
      </w:r>
      <w:r>
        <w:rPr>
          <w:spacing w:val="-4"/>
        </w:rPr>
        <w:t> </w:t>
      </w:r>
      <w:r>
        <w:rPr/>
        <w:t>of</w:t>
      </w:r>
      <w:r>
        <w:rPr>
          <w:spacing w:val="-1"/>
        </w:rPr>
        <w:t> </w:t>
      </w:r>
      <w:r>
        <w:rPr/>
        <w:t>68.07457</w:t>
      </w:r>
      <w:r>
        <w:rPr>
          <w:spacing w:val="-3"/>
        </w:rPr>
        <w:t> </w:t>
      </w:r>
      <w:r>
        <w:rPr/>
        <w:t>and</w:t>
      </w:r>
      <w:r>
        <w:rPr>
          <w:spacing w:val="-2"/>
        </w:rPr>
        <w:t> </w:t>
      </w:r>
      <w:r>
        <w:rPr/>
        <w:t>19.01571</w:t>
      </w:r>
      <w:r>
        <w:rPr>
          <w:spacing w:val="-3"/>
        </w:rPr>
        <w:t> </w:t>
      </w:r>
      <w:r>
        <w:rPr/>
        <w:t>with</w:t>
      </w:r>
      <w:r>
        <w:rPr>
          <w:spacing w:val="-3"/>
        </w:rPr>
        <w:t> </w:t>
      </w:r>
      <w:r>
        <w:rPr/>
        <w:t>standard deviation valuesof 11.21954 and 4.828348 respectively. They recorded Jarque-Beravalues of 0.063658 and 30.60980 with itsprobability values of 0.968672and 0.408725 respectively indicating that tradeopenness and interest rate are normallydistributed.</w:t>
      </w:r>
    </w:p>
    <w:p>
      <w:pPr>
        <w:pStyle w:val="BodyText"/>
        <w:spacing w:line="480" w:lineRule="auto" w:before="160"/>
        <w:ind w:right="735"/>
        <w:jc w:val="both"/>
      </w:pPr>
      <w:r>
        <w:rPr/>
        <w:t>Exchange rate has a meanvalue of 94.12800 withminimum value of 2.020000maximum</w:t>
      </w:r>
      <w:r>
        <w:rPr>
          <w:spacing w:val="40"/>
        </w:rPr>
        <w:t> </w:t>
      </w:r>
      <w:r>
        <w:rPr/>
        <w:t>value of 185.4700 and astandard deviation of65.95810. It also recorded a Jarque-Beravalue</w:t>
      </w:r>
      <w:r>
        <w:rPr>
          <w:spacing w:val="40"/>
        </w:rPr>
        <w:t> </w:t>
      </w:r>
      <w:r>
        <w:rPr/>
        <w:t>of 3.937795 with aprobability value of 0.139611which is within the acceptablethreshold indicating that exchangerate is normallydistributed.</w:t>
      </w:r>
    </w:p>
    <w:p>
      <w:pPr>
        <w:pStyle w:val="BodyText"/>
        <w:spacing w:before="159"/>
        <w:ind w:left="0"/>
      </w:pPr>
    </w:p>
    <w:p>
      <w:pPr>
        <w:pStyle w:val="Heading2"/>
        <w:numPr>
          <w:ilvl w:val="1"/>
          <w:numId w:val="24"/>
        </w:numPr>
        <w:tabs>
          <w:tab w:pos="593" w:val="left" w:leader="none"/>
        </w:tabs>
        <w:spacing w:line="240" w:lineRule="auto" w:before="0" w:after="0"/>
        <w:ind w:left="593" w:right="0" w:hanging="373"/>
        <w:jc w:val="left"/>
      </w:pPr>
      <w:bookmarkStart w:name="_TOC_250021" w:id="54"/>
      <w:r>
        <w:rPr/>
        <w:t>Unit</w:t>
      </w:r>
      <w:r>
        <w:rPr>
          <w:spacing w:val="-5"/>
        </w:rPr>
        <w:t> </w:t>
      </w:r>
      <w:r>
        <w:rPr/>
        <w:t>Root</w:t>
      </w:r>
      <w:r>
        <w:rPr>
          <w:spacing w:val="-6"/>
        </w:rPr>
        <w:t> </w:t>
      </w:r>
      <w:bookmarkEnd w:id="54"/>
      <w:r>
        <w:rPr>
          <w:spacing w:val="-4"/>
        </w:rPr>
        <w:t>Test</w:t>
      </w:r>
    </w:p>
    <w:p>
      <w:pPr>
        <w:pStyle w:val="BodyText"/>
        <w:spacing w:before="162"/>
        <w:ind w:left="0"/>
        <w:rPr>
          <w:b/>
        </w:rPr>
      </w:pPr>
    </w:p>
    <w:p>
      <w:pPr>
        <w:pStyle w:val="BodyText"/>
        <w:spacing w:line="480" w:lineRule="auto"/>
        <w:ind w:right="734"/>
        <w:jc w:val="both"/>
      </w:pPr>
      <w:r>
        <w:rPr/>
        <w:t>The first step involves testing the orderof integration of the individualvariables under consideration.</w:t>
      </w:r>
      <w:r>
        <w:rPr>
          <w:spacing w:val="22"/>
        </w:rPr>
        <w:t> </w:t>
      </w:r>
      <w:r>
        <w:rPr/>
        <w:t>Researchers</w:t>
      </w:r>
      <w:r>
        <w:rPr>
          <w:spacing w:val="23"/>
        </w:rPr>
        <w:t> </w:t>
      </w:r>
      <w:r>
        <w:rPr/>
        <w:t>hav</w:t>
      </w:r>
      <w:r>
        <w:rPr>
          <w:spacing w:val="23"/>
        </w:rPr>
        <w:t> </w:t>
      </w:r>
      <w:r>
        <w:rPr/>
        <w:t>developed</w:t>
      </w:r>
      <w:r>
        <w:rPr>
          <w:spacing w:val="22"/>
        </w:rPr>
        <w:t> </w:t>
      </w:r>
      <w:r>
        <w:rPr/>
        <w:t>several</w:t>
      </w:r>
      <w:r>
        <w:rPr>
          <w:spacing w:val="22"/>
        </w:rPr>
        <w:t> </w:t>
      </w:r>
      <w:r>
        <w:rPr/>
        <w:t>procedures</w:t>
      </w:r>
      <w:r>
        <w:rPr>
          <w:spacing w:val="22"/>
        </w:rPr>
        <w:t> </w:t>
      </w:r>
      <w:r>
        <w:rPr/>
        <w:t>for</w:t>
      </w:r>
      <w:r>
        <w:rPr>
          <w:spacing w:val="23"/>
        </w:rPr>
        <w:t> </w:t>
      </w:r>
      <w:r>
        <w:rPr/>
        <w:t>the</w:t>
      </w:r>
      <w:r>
        <w:rPr>
          <w:spacing w:val="24"/>
        </w:rPr>
        <w:t> </w:t>
      </w:r>
      <w:r>
        <w:rPr/>
        <w:t>test</w:t>
      </w:r>
      <w:r>
        <w:rPr>
          <w:spacing w:val="23"/>
        </w:rPr>
        <w:t> </w:t>
      </w:r>
      <w:r>
        <w:rPr/>
        <w:t>ofintegration,</w:t>
      </w:r>
      <w:r>
        <w:rPr>
          <w:spacing w:val="21"/>
        </w:rPr>
        <w:t> </w:t>
      </w:r>
      <w:r>
        <w:rPr>
          <w:spacing w:val="-5"/>
        </w:rPr>
        <w:t>but</w:t>
      </w:r>
    </w:p>
    <w:p>
      <w:pPr>
        <w:spacing w:after="0" w:line="480" w:lineRule="auto"/>
        <w:jc w:val="both"/>
        <w:sectPr>
          <w:pgSz w:w="12240" w:h="15840"/>
          <w:pgMar w:header="0" w:footer="1012" w:top="1380" w:bottom="1200" w:left="1220" w:right="700"/>
        </w:sectPr>
      </w:pPr>
    </w:p>
    <w:p>
      <w:pPr>
        <w:pStyle w:val="BodyText"/>
        <w:spacing w:line="480" w:lineRule="auto" w:before="60"/>
        <w:ind w:right="735"/>
        <w:jc w:val="both"/>
      </w:pPr>
      <w:r>
        <w:rPr/>
        <w:t>the most popular ofthem is the Augmented Dickey Fuller (ADF) test. The result ispresented </w:t>
      </w:r>
      <w:r>
        <w:rPr>
          <w:spacing w:val="-2"/>
        </w:rPr>
        <w:t>below.</w:t>
      </w:r>
    </w:p>
    <w:p>
      <w:pPr>
        <w:pStyle w:val="Heading2"/>
        <w:spacing w:before="160"/>
        <w:ind w:left="220" w:firstLine="0"/>
        <w:jc w:val="both"/>
      </w:pPr>
      <w:r>
        <w:rPr/>
        <w:t>Table</w:t>
      </w:r>
      <w:r>
        <w:rPr>
          <w:spacing w:val="-6"/>
        </w:rPr>
        <w:t> </w:t>
      </w:r>
      <w:r>
        <w:rPr/>
        <w:t>2:</w:t>
      </w:r>
      <w:r>
        <w:rPr>
          <w:spacing w:val="-4"/>
        </w:rPr>
        <w:t> </w:t>
      </w:r>
      <w:r>
        <w:rPr/>
        <w:t>Result</w:t>
      </w:r>
      <w:r>
        <w:rPr>
          <w:spacing w:val="-5"/>
        </w:rPr>
        <w:t> </w:t>
      </w:r>
      <w:r>
        <w:rPr/>
        <w:t>of</w:t>
      </w:r>
      <w:r>
        <w:rPr>
          <w:spacing w:val="-4"/>
        </w:rPr>
        <w:t> </w:t>
      </w:r>
      <w:r>
        <w:rPr/>
        <w:t>the</w:t>
      </w:r>
      <w:r>
        <w:rPr>
          <w:spacing w:val="-6"/>
        </w:rPr>
        <w:t> </w:t>
      </w:r>
      <w:r>
        <w:rPr/>
        <w:t>Unit</w:t>
      </w:r>
      <w:r>
        <w:rPr>
          <w:spacing w:val="-4"/>
        </w:rPr>
        <w:t> </w:t>
      </w:r>
      <w:r>
        <w:rPr/>
        <w:t>Root</w:t>
      </w:r>
      <w:r>
        <w:rPr>
          <w:spacing w:val="-6"/>
        </w:rPr>
        <w:t> </w:t>
      </w:r>
      <w:r>
        <w:rPr>
          <w:spacing w:val="-4"/>
        </w:rPr>
        <w:t>Test</w:t>
      </w:r>
    </w:p>
    <w:p>
      <w:pPr>
        <w:pStyle w:val="BodyText"/>
        <w:spacing w:before="5"/>
        <w:ind w:left="0"/>
        <w:rPr>
          <w:b/>
          <w:sz w:val="1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1260"/>
        <w:gridCol w:w="1261"/>
        <w:gridCol w:w="1385"/>
        <w:gridCol w:w="1250"/>
        <w:gridCol w:w="983"/>
        <w:gridCol w:w="252"/>
        <w:gridCol w:w="649"/>
        <w:gridCol w:w="344"/>
        <w:gridCol w:w="1170"/>
      </w:tblGrid>
      <w:tr>
        <w:trPr>
          <w:trHeight w:val="251" w:hRule="atLeast"/>
        </w:trPr>
        <w:tc>
          <w:tcPr>
            <w:tcW w:w="9545" w:type="dxa"/>
            <w:gridSpan w:val="10"/>
          </w:tcPr>
          <w:p>
            <w:pPr>
              <w:pStyle w:val="TableParagraph"/>
              <w:spacing w:line="240" w:lineRule="auto" w:before="0"/>
              <w:ind w:left="3"/>
              <w:jc w:val="center"/>
              <w:rPr>
                <w:rFonts w:ascii="Times New Roman"/>
                <w:b/>
                <w:sz w:val="20"/>
              </w:rPr>
            </w:pPr>
            <w:r>
              <w:rPr>
                <w:rFonts w:ascii="Times New Roman"/>
                <w:b/>
                <w:sz w:val="20"/>
              </w:rPr>
              <w:t>AT</w:t>
            </w:r>
            <w:r>
              <w:rPr>
                <w:rFonts w:ascii="Times New Roman"/>
                <w:b/>
                <w:spacing w:val="-4"/>
                <w:sz w:val="20"/>
              </w:rPr>
              <w:t> </w:t>
            </w:r>
            <w:r>
              <w:rPr>
                <w:rFonts w:ascii="Times New Roman"/>
                <w:b/>
                <w:spacing w:val="-2"/>
                <w:sz w:val="20"/>
              </w:rPr>
              <w:t>LEVELS</w:t>
            </w:r>
          </w:p>
        </w:tc>
      </w:tr>
      <w:tr>
        <w:trPr>
          <w:trHeight w:val="234" w:hRule="atLeast"/>
        </w:trPr>
        <w:tc>
          <w:tcPr>
            <w:tcW w:w="991" w:type="dxa"/>
            <w:vMerge w:val="restart"/>
          </w:tcPr>
          <w:p>
            <w:pPr>
              <w:pStyle w:val="TableParagraph"/>
              <w:spacing w:line="240" w:lineRule="auto" w:before="0"/>
              <w:ind w:left="463" w:right="103" w:hanging="334"/>
              <w:rPr>
                <w:rFonts w:ascii="Times New Roman"/>
                <w:b/>
                <w:sz w:val="20"/>
              </w:rPr>
            </w:pPr>
            <w:r>
              <w:rPr>
                <w:rFonts w:ascii="Times New Roman"/>
                <w:b/>
                <w:spacing w:val="-2"/>
                <w:sz w:val="20"/>
              </w:rPr>
              <w:t>Variable </w:t>
            </w:r>
            <w:r>
              <w:rPr>
                <w:rFonts w:ascii="Times New Roman"/>
                <w:b/>
                <w:spacing w:val="-10"/>
                <w:sz w:val="20"/>
              </w:rPr>
              <w:t>s</w:t>
            </w:r>
          </w:p>
        </w:tc>
        <w:tc>
          <w:tcPr>
            <w:tcW w:w="1260" w:type="dxa"/>
            <w:vMerge w:val="restart"/>
          </w:tcPr>
          <w:p>
            <w:pPr>
              <w:pStyle w:val="TableParagraph"/>
              <w:spacing w:line="240" w:lineRule="auto" w:before="0"/>
              <w:ind w:left="60" w:right="52"/>
              <w:jc w:val="center"/>
              <w:rPr>
                <w:rFonts w:ascii="Times New Roman"/>
                <w:b/>
                <w:sz w:val="20"/>
              </w:rPr>
            </w:pPr>
            <w:r>
              <w:rPr>
                <w:rFonts w:ascii="Times New Roman"/>
                <w:b/>
                <w:spacing w:val="-5"/>
                <w:sz w:val="20"/>
              </w:rPr>
              <w:t>ADF</w:t>
            </w:r>
          </w:p>
          <w:p>
            <w:pPr>
              <w:pStyle w:val="TableParagraph"/>
              <w:spacing w:line="240" w:lineRule="auto" w:before="0"/>
              <w:ind w:left="60" w:right="51"/>
              <w:jc w:val="center"/>
              <w:rPr>
                <w:rFonts w:ascii="Times New Roman"/>
                <w:b/>
                <w:sz w:val="20"/>
              </w:rPr>
            </w:pPr>
            <w:r>
              <w:rPr>
                <w:rFonts w:ascii="Times New Roman"/>
                <w:b/>
                <w:spacing w:val="-2"/>
                <w:sz w:val="20"/>
              </w:rPr>
              <w:t>Statistics</w:t>
            </w:r>
          </w:p>
        </w:tc>
        <w:tc>
          <w:tcPr>
            <w:tcW w:w="3896" w:type="dxa"/>
            <w:gridSpan w:val="3"/>
          </w:tcPr>
          <w:p>
            <w:pPr>
              <w:pStyle w:val="TableParagraph"/>
              <w:spacing w:line="215" w:lineRule="exact" w:before="0"/>
              <w:ind w:left="1294"/>
              <w:rPr>
                <w:rFonts w:ascii="Times New Roman"/>
                <w:b/>
                <w:sz w:val="20"/>
              </w:rPr>
            </w:pPr>
            <w:r>
              <w:rPr/>
              <mc:AlternateContent>
                <mc:Choice Requires="wps">
                  <w:drawing>
                    <wp:anchor distT="0" distB="0" distL="0" distR="0" allowOverlap="1" layoutInCell="1" locked="0" behindDoc="1" simplePos="0" relativeHeight="478096384">
                      <wp:simplePos x="0" y="0"/>
                      <wp:positionH relativeFrom="column">
                        <wp:posOffset>596900</wp:posOffset>
                      </wp:positionH>
                      <wp:positionV relativeFrom="paragraph">
                        <wp:posOffset>5282</wp:posOffset>
                      </wp:positionV>
                      <wp:extent cx="3583304" cy="361251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3583304" cy="3612515"/>
                                <a:chExt cx="3583304" cy="3612515"/>
                              </a:xfrm>
                            </wpg:grpSpPr>
                            <wps:wsp>
                              <wps:cNvPr id="187" name="Graphic 187"/>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47pt;margin-top:.415935pt;width:282.150pt;height:284.45pt;mso-position-horizontal-relative:column;mso-position-vertical-relative:paragraph;z-index:-25220096" id="docshapegroup186" coordorigin="940,8" coordsize="5643,5689">
                      <v:shape style="position:absolute;left:940;top:8;width:5643;height:5689" id="docshape187" coordorigin="940,8" coordsize="5643,5689" path="m2204,5503l1548,4847,1747,4648,1532,4433,940,5025,1155,5240,1353,5041,2010,5697,2204,5503xm2840,4867l2184,4211,2382,4013,2167,3798,1575,4389,1791,4604,1989,4406,2645,5062,2840,4867xm3573,3994l3567,3930,3551,3864,3526,3797,3497,3743,3462,3687,3419,3629,3370,3571,3352,3552,3312,3510,3288,3488,3288,3982,3283,4022,3268,4059,3242,4092,3209,4117,3173,4132,3132,4137,3088,4130,3039,4112,2985,4081,2926,4036,2863,3977,2803,3912,2758,3853,2726,3799,2708,3750,2701,3706,2705,3665,2720,3629,2744,3598,2777,3572,2814,3557,2854,3552,2898,3557,2946,3574,2998,3604,3054,3646,3114,3701,3179,3771,3229,3834,3263,3890,3282,3938,3288,3982,3288,3488,3242,3445,3173,3390,3104,3345,3035,3310,2967,3284,2900,3268,2821,3262,2746,3272,2674,3298,2606,3338,2541,3394,2487,3457,2448,3525,2424,3597,2414,3672,2421,3752,2437,3820,2463,3889,2499,3959,2545,4029,2601,4099,2667,4170,2728,4227,2788,4277,2847,4319,2906,4354,2964,4381,3035,4405,3102,4419,3166,4422,3226,4416,3284,4400,3341,4373,3396,4335,3450,4287,3497,4233,3533,4177,3549,4137,3557,4118,3570,4057,3573,3994xm4586,2998l4581,2950,4569,2899,4550,2846,4526,2792,4495,2736,4457,2679,4397,2704,4215,2778,4247,2824,4271,2868,4289,2908,4300,2945,4303,2981,4297,3014,4283,3045,4259,3074,4228,3097,4194,3111,4157,3115,4116,3109,4070,3091,4016,3057,3955,3007,3886,2943,3833,2886,3791,2834,3761,2787,3741,2744,3728,2692,3728,2646,3742,2605,3769,2569,3784,2556,3800,2545,3818,2538,3838,2533,3859,2531,3880,2531,3902,2534,3925,2541,3941,2546,3959,2555,3979,2566,4003,2580,4121,2355,4038,2309,3960,2277,3886,2258,3816,2252,3750,2259,3685,2282,3623,2320,3562,2372,3509,2435,3470,2502,3446,2572,3437,2646,3443,2723,3460,2790,3486,2858,3523,2927,3569,2997,3626,3068,3692,3139,3757,3200,3821,3252,3883,3296,3945,3331,4006,3359,4079,3382,4146,3395,4208,3398,4264,3391,4316,3374,4369,3347,4421,3311,4472,3264,4511,3222,4541,3179,4564,3135,4578,3091,4585,3045,4586,2998xm5284,2283l5278,2219,5262,2153,5236,2087,5208,2032,5173,1976,5130,1919,5080,1860,5063,1841,5023,1799,4999,1777,4999,2271,4994,2311,4979,2348,4953,2381,4920,2406,4884,2421,4843,2426,4799,2420,4750,2401,4696,2370,4637,2325,4573,2266,4514,2202,4468,2143,4437,2088,4418,2039,4412,1995,4416,1955,4431,1919,4455,1887,4488,1862,4525,1846,4565,1841,4609,1846,4657,1863,4709,1893,4765,1935,4825,1990,4890,2060,4940,2123,4974,2179,4993,2228,4999,2271,4999,1777,4953,1734,4884,1679,4815,1634,4746,1599,4678,1573,4611,1557,4532,1551,4457,1561,4385,1587,4317,1627,4252,1683,4198,1746,4159,1814,4134,1886,4125,1961,4131,2041,4148,2109,4174,2178,4210,2248,4256,2318,4312,2388,4378,2459,4438,2516,4499,2566,4558,2608,4617,2643,4675,2670,4746,2694,4813,2708,4877,2711,4937,2705,4995,2689,5052,2662,5107,2624,5161,2576,5208,2522,5243,2466,5260,2426,5268,2407,5281,2346,5284,2283xm5765,1942l5441,1619,5548,1512,5599,1452,5604,1442,5632,1391,5649,1327,5649,1263,5633,1197,5610,1146,5603,1131,5559,1065,5500,999,5436,942,5373,899,5364,895,5364,1288,5363,1314,5354,1340,5337,1367,5313,1395,5265,1442,5071,1248,5126,1193,5153,1169,5179,1154,5204,1146,5229,1147,5253,1153,5275,1164,5297,1178,5318,1197,5337,1218,5351,1241,5360,1264,5364,1288,5364,895,5311,870,5250,854,5190,853,5132,867,5076,897,5022,943,4698,1266,5569,2138,5765,1942xm6582,1124l6217,760,6165,609,6009,158,5956,8,5741,224,5769,294,5852,505,5908,645,5838,617,5627,534,5487,478,5271,694,5421,746,5872,902,6022,955,6387,1319,6582,1124xe" filled="true" fillcolor="#c0c0c0" stroked="false">
                        <v:path arrowok="t"/>
                        <v:fill opacity="32896f" type="solid"/>
                      </v:shape>
                      <w10:wrap type="none"/>
                    </v:group>
                  </w:pict>
                </mc:Fallback>
              </mc:AlternateContent>
            </w:r>
            <w:r>
              <w:rPr>
                <w:rFonts w:ascii="Times New Roman"/>
                <w:b/>
                <w:sz w:val="20"/>
              </w:rPr>
              <w:t>Critical</w:t>
            </w:r>
            <w:r>
              <w:rPr>
                <w:rFonts w:ascii="Times New Roman"/>
                <w:b/>
                <w:spacing w:val="-6"/>
                <w:sz w:val="20"/>
              </w:rPr>
              <w:t> </w:t>
            </w:r>
            <w:r>
              <w:rPr>
                <w:rFonts w:ascii="Times New Roman"/>
                <w:b/>
                <w:spacing w:val="-2"/>
                <w:sz w:val="20"/>
              </w:rPr>
              <w:t>Values</w:t>
            </w:r>
          </w:p>
        </w:tc>
        <w:tc>
          <w:tcPr>
            <w:tcW w:w="983" w:type="dxa"/>
            <w:vMerge w:val="restart"/>
          </w:tcPr>
          <w:p>
            <w:pPr>
              <w:pStyle w:val="TableParagraph"/>
              <w:spacing w:line="207" w:lineRule="exact" w:before="0"/>
              <w:ind w:left="91" w:firstLine="48"/>
              <w:rPr>
                <w:rFonts w:ascii="Times New Roman"/>
                <w:b/>
                <w:sz w:val="18"/>
              </w:rPr>
            </w:pPr>
            <w:r>
              <w:rPr>
                <w:rFonts w:ascii="Times New Roman"/>
                <w:b/>
                <w:sz w:val="18"/>
              </w:rPr>
              <w:t>Order</w:t>
            </w:r>
            <w:r>
              <w:rPr>
                <w:rFonts w:ascii="Times New Roman"/>
                <w:b/>
                <w:spacing w:val="-4"/>
                <w:sz w:val="18"/>
              </w:rPr>
              <w:t> </w:t>
            </w:r>
            <w:r>
              <w:rPr>
                <w:rFonts w:ascii="Times New Roman"/>
                <w:b/>
                <w:spacing w:val="-5"/>
                <w:sz w:val="18"/>
              </w:rPr>
              <w:t>of</w:t>
            </w:r>
          </w:p>
          <w:p>
            <w:pPr>
              <w:pStyle w:val="TableParagraph"/>
              <w:spacing w:line="206" w:lineRule="exact" w:before="0"/>
              <w:ind w:left="427" w:right="62" w:hanging="336"/>
              <w:rPr>
                <w:rFonts w:ascii="Times New Roman"/>
                <w:b/>
                <w:sz w:val="18"/>
              </w:rPr>
            </w:pPr>
            <w:r>
              <w:rPr>
                <w:rFonts w:ascii="Times New Roman"/>
                <w:b/>
                <w:spacing w:val="-2"/>
                <w:sz w:val="18"/>
              </w:rPr>
              <w:t>Integratio </w:t>
            </w:r>
            <w:r>
              <w:rPr>
                <w:rFonts w:ascii="Times New Roman"/>
                <w:b/>
                <w:spacing w:val="-10"/>
                <w:sz w:val="18"/>
              </w:rPr>
              <w:t>n</w:t>
            </w:r>
          </w:p>
        </w:tc>
        <w:tc>
          <w:tcPr>
            <w:tcW w:w="901" w:type="dxa"/>
            <w:gridSpan w:val="2"/>
            <w:vMerge w:val="restart"/>
          </w:tcPr>
          <w:p>
            <w:pPr>
              <w:pStyle w:val="TableParagraph"/>
              <w:spacing w:line="240" w:lineRule="auto" w:before="0"/>
              <w:ind w:left="4" w:right="1"/>
              <w:jc w:val="center"/>
              <w:rPr>
                <w:rFonts w:ascii="Times New Roman"/>
                <w:b/>
                <w:sz w:val="20"/>
              </w:rPr>
            </w:pPr>
            <w:r>
              <w:rPr>
                <w:rFonts w:ascii="Times New Roman"/>
                <w:b/>
                <w:sz w:val="20"/>
              </w:rPr>
              <w:t>P</w:t>
            </w:r>
            <w:r>
              <w:rPr>
                <w:rFonts w:ascii="Times New Roman"/>
                <w:b/>
                <w:spacing w:val="-1"/>
                <w:sz w:val="20"/>
              </w:rPr>
              <w:t> </w:t>
            </w:r>
            <w:r>
              <w:rPr>
                <w:rFonts w:ascii="Times New Roman"/>
                <w:b/>
                <w:spacing w:val="-10"/>
                <w:sz w:val="20"/>
              </w:rPr>
              <w:t>-</w:t>
            </w:r>
          </w:p>
          <w:p>
            <w:pPr>
              <w:pStyle w:val="TableParagraph"/>
              <w:spacing w:line="240" w:lineRule="auto" w:before="0"/>
              <w:ind w:left="4"/>
              <w:jc w:val="center"/>
              <w:rPr>
                <w:rFonts w:ascii="Times New Roman"/>
                <w:b/>
                <w:sz w:val="20"/>
              </w:rPr>
            </w:pPr>
            <w:r>
              <w:rPr>
                <w:rFonts w:ascii="Times New Roman"/>
                <w:b/>
                <w:spacing w:val="-2"/>
                <w:sz w:val="20"/>
              </w:rPr>
              <w:t>Value</w:t>
            </w:r>
          </w:p>
        </w:tc>
        <w:tc>
          <w:tcPr>
            <w:tcW w:w="1514" w:type="dxa"/>
            <w:gridSpan w:val="2"/>
            <w:vMerge w:val="restart"/>
          </w:tcPr>
          <w:p>
            <w:pPr>
              <w:pStyle w:val="TableParagraph"/>
              <w:spacing w:line="240" w:lineRule="auto" w:before="0"/>
              <w:ind w:left="403"/>
              <w:rPr>
                <w:rFonts w:ascii="Times New Roman"/>
                <w:b/>
                <w:sz w:val="20"/>
              </w:rPr>
            </w:pPr>
            <w:r>
              <w:rPr>
                <w:rFonts w:ascii="Times New Roman"/>
                <w:b/>
                <w:spacing w:val="-2"/>
                <w:sz w:val="20"/>
              </w:rPr>
              <w:t>Remark</w:t>
            </w:r>
          </w:p>
        </w:tc>
      </w:tr>
      <w:tr>
        <w:trPr>
          <w:trHeight w:val="376" w:hRule="atLeast"/>
        </w:trPr>
        <w:tc>
          <w:tcPr>
            <w:tcW w:w="991" w:type="dxa"/>
            <w:vMerge/>
            <w:tcBorders>
              <w:top w:val="nil"/>
            </w:tcBorders>
          </w:tcPr>
          <w:p>
            <w:pPr>
              <w:rPr>
                <w:sz w:val="2"/>
                <w:szCs w:val="2"/>
              </w:rPr>
            </w:pPr>
          </w:p>
        </w:tc>
        <w:tc>
          <w:tcPr>
            <w:tcW w:w="1260" w:type="dxa"/>
            <w:vMerge/>
            <w:tcBorders>
              <w:top w:val="nil"/>
            </w:tcBorders>
          </w:tcPr>
          <w:p>
            <w:pPr>
              <w:rPr>
                <w:sz w:val="2"/>
                <w:szCs w:val="2"/>
              </w:rPr>
            </w:pPr>
          </w:p>
        </w:tc>
        <w:tc>
          <w:tcPr>
            <w:tcW w:w="1261" w:type="dxa"/>
          </w:tcPr>
          <w:p>
            <w:pPr>
              <w:pStyle w:val="TableParagraph"/>
              <w:spacing w:line="240" w:lineRule="auto" w:before="0"/>
              <w:ind w:left="11"/>
              <w:jc w:val="center"/>
              <w:rPr>
                <w:rFonts w:ascii="Times New Roman"/>
                <w:b/>
                <w:sz w:val="20"/>
              </w:rPr>
            </w:pPr>
            <w:r>
              <w:rPr>
                <w:rFonts w:ascii="Times New Roman"/>
                <w:b/>
                <w:spacing w:val="-5"/>
                <w:sz w:val="20"/>
              </w:rPr>
              <w:t>1%</w:t>
            </w:r>
          </w:p>
        </w:tc>
        <w:tc>
          <w:tcPr>
            <w:tcW w:w="1385" w:type="dxa"/>
          </w:tcPr>
          <w:p>
            <w:pPr>
              <w:pStyle w:val="TableParagraph"/>
              <w:spacing w:line="240" w:lineRule="auto" w:before="0"/>
              <w:ind w:left="10"/>
              <w:jc w:val="center"/>
              <w:rPr>
                <w:rFonts w:ascii="Times New Roman"/>
                <w:b/>
                <w:sz w:val="20"/>
              </w:rPr>
            </w:pPr>
            <w:r>
              <w:rPr>
                <w:rFonts w:ascii="Times New Roman"/>
                <w:b/>
                <w:spacing w:val="-5"/>
                <w:sz w:val="20"/>
              </w:rPr>
              <w:t>5%</w:t>
            </w:r>
          </w:p>
        </w:tc>
        <w:tc>
          <w:tcPr>
            <w:tcW w:w="1250" w:type="dxa"/>
          </w:tcPr>
          <w:p>
            <w:pPr>
              <w:pStyle w:val="TableParagraph"/>
              <w:spacing w:line="240" w:lineRule="auto" w:before="0"/>
              <w:ind w:left="35" w:right="50"/>
              <w:jc w:val="center"/>
              <w:rPr>
                <w:rFonts w:ascii="Times New Roman"/>
                <w:b/>
                <w:sz w:val="20"/>
              </w:rPr>
            </w:pPr>
            <w:r>
              <w:rPr>
                <w:rFonts w:ascii="Times New Roman"/>
                <w:b/>
                <w:spacing w:val="-5"/>
                <w:sz w:val="20"/>
              </w:rPr>
              <w:t>10%</w:t>
            </w:r>
          </w:p>
        </w:tc>
        <w:tc>
          <w:tcPr>
            <w:tcW w:w="983" w:type="dxa"/>
            <w:vMerge/>
            <w:tcBorders>
              <w:top w:val="nil"/>
            </w:tcBorders>
          </w:tcPr>
          <w:p>
            <w:pPr>
              <w:rPr>
                <w:sz w:val="2"/>
                <w:szCs w:val="2"/>
              </w:rPr>
            </w:pPr>
          </w:p>
        </w:tc>
        <w:tc>
          <w:tcPr>
            <w:tcW w:w="901" w:type="dxa"/>
            <w:gridSpan w:val="2"/>
            <w:vMerge/>
            <w:tcBorders>
              <w:top w:val="nil"/>
            </w:tcBorders>
          </w:tcPr>
          <w:p>
            <w:pPr>
              <w:rPr>
                <w:sz w:val="2"/>
                <w:szCs w:val="2"/>
              </w:rPr>
            </w:pPr>
          </w:p>
        </w:tc>
        <w:tc>
          <w:tcPr>
            <w:tcW w:w="1514" w:type="dxa"/>
            <w:gridSpan w:val="2"/>
            <w:vMerge/>
            <w:tcBorders>
              <w:top w:val="nil"/>
            </w:tcBorders>
          </w:tcPr>
          <w:p>
            <w:pPr>
              <w:rPr>
                <w:sz w:val="2"/>
                <w:szCs w:val="2"/>
              </w:rPr>
            </w:pPr>
          </w:p>
        </w:tc>
      </w:tr>
      <w:tr>
        <w:trPr>
          <w:trHeight w:val="251" w:hRule="atLeast"/>
        </w:trPr>
        <w:tc>
          <w:tcPr>
            <w:tcW w:w="991" w:type="dxa"/>
          </w:tcPr>
          <w:p>
            <w:pPr>
              <w:pStyle w:val="TableParagraph"/>
              <w:spacing w:line="240" w:lineRule="auto" w:before="0"/>
              <w:ind w:left="24" w:right="5"/>
              <w:jc w:val="center"/>
              <w:rPr>
                <w:rFonts w:ascii="Times New Roman"/>
                <w:sz w:val="20"/>
              </w:rPr>
            </w:pPr>
            <w:r>
              <w:rPr>
                <w:rFonts w:ascii="Times New Roman"/>
                <w:spacing w:val="-4"/>
                <w:sz w:val="20"/>
              </w:rPr>
              <w:t>RGDP</w:t>
            </w:r>
          </w:p>
        </w:tc>
        <w:tc>
          <w:tcPr>
            <w:tcW w:w="1260" w:type="dxa"/>
          </w:tcPr>
          <w:p>
            <w:pPr>
              <w:pStyle w:val="TableParagraph"/>
              <w:spacing w:line="240" w:lineRule="auto" w:before="0"/>
              <w:ind w:left="60" w:right="53"/>
              <w:jc w:val="center"/>
              <w:rPr>
                <w:rFonts w:ascii="Times New Roman"/>
                <w:sz w:val="20"/>
              </w:rPr>
            </w:pPr>
            <w:r>
              <w:rPr>
                <w:rFonts w:ascii="Times New Roman"/>
                <w:spacing w:val="-2"/>
                <w:sz w:val="20"/>
              </w:rPr>
              <w:t>-2.316020</w:t>
            </w:r>
          </w:p>
        </w:tc>
        <w:tc>
          <w:tcPr>
            <w:tcW w:w="1261" w:type="dxa"/>
          </w:tcPr>
          <w:p>
            <w:pPr>
              <w:pStyle w:val="TableParagraph"/>
              <w:spacing w:line="240" w:lineRule="auto" w:before="0"/>
              <w:ind w:left="11" w:right="4"/>
              <w:jc w:val="center"/>
              <w:rPr>
                <w:rFonts w:ascii="Times New Roman"/>
                <w:sz w:val="20"/>
              </w:rPr>
            </w:pPr>
            <w:r>
              <w:rPr>
                <w:rFonts w:ascii="Times New Roman"/>
                <w:spacing w:val="-2"/>
                <w:sz w:val="20"/>
              </w:rPr>
              <w:t>-3.670170</w:t>
            </w:r>
          </w:p>
        </w:tc>
        <w:tc>
          <w:tcPr>
            <w:tcW w:w="1385" w:type="dxa"/>
          </w:tcPr>
          <w:p>
            <w:pPr>
              <w:pStyle w:val="TableParagraph"/>
              <w:spacing w:line="240" w:lineRule="auto" w:before="0"/>
              <w:ind w:left="10" w:right="4"/>
              <w:jc w:val="center"/>
              <w:rPr>
                <w:rFonts w:ascii="Times New Roman"/>
                <w:sz w:val="20"/>
              </w:rPr>
            </w:pPr>
            <w:r>
              <w:rPr>
                <w:rFonts w:ascii="Times New Roman"/>
                <w:spacing w:val="-2"/>
                <w:sz w:val="20"/>
              </w:rPr>
              <w:t>-2.963972</w:t>
            </w:r>
          </w:p>
        </w:tc>
        <w:tc>
          <w:tcPr>
            <w:tcW w:w="1250" w:type="dxa"/>
          </w:tcPr>
          <w:p>
            <w:pPr>
              <w:pStyle w:val="TableParagraph"/>
              <w:spacing w:line="240" w:lineRule="auto" w:before="0"/>
              <w:ind w:left="35" w:right="49"/>
              <w:jc w:val="center"/>
              <w:rPr>
                <w:rFonts w:ascii="Times New Roman"/>
                <w:sz w:val="20"/>
              </w:rPr>
            </w:pPr>
            <w:r>
              <w:rPr>
                <w:rFonts w:ascii="Times New Roman"/>
                <w:spacing w:val="-2"/>
                <w:sz w:val="20"/>
              </w:rPr>
              <w:t>-2.621007</w:t>
            </w:r>
          </w:p>
        </w:tc>
        <w:tc>
          <w:tcPr>
            <w:tcW w:w="983" w:type="dxa"/>
          </w:tcPr>
          <w:p>
            <w:pPr>
              <w:pStyle w:val="TableParagraph"/>
              <w:spacing w:line="240" w:lineRule="auto" w:before="0"/>
              <w:ind w:right="17"/>
              <w:jc w:val="center"/>
              <w:rPr>
                <w:rFonts w:ascii="Times New Roman"/>
                <w:sz w:val="20"/>
              </w:rPr>
            </w:pPr>
            <w:r>
              <w:rPr>
                <w:rFonts w:ascii="Times New Roman"/>
                <w:spacing w:val="-4"/>
                <w:sz w:val="20"/>
              </w:rPr>
              <w:t>1(0)</w:t>
            </w:r>
          </w:p>
        </w:tc>
        <w:tc>
          <w:tcPr>
            <w:tcW w:w="901" w:type="dxa"/>
            <w:gridSpan w:val="2"/>
          </w:tcPr>
          <w:p>
            <w:pPr>
              <w:pStyle w:val="TableParagraph"/>
              <w:spacing w:line="240" w:lineRule="auto" w:before="0"/>
              <w:ind w:left="173"/>
              <w:rPr>
                <w:rFonts w:ascii="Times New Roman"/>
                <w:sz w:val="20"/>
              </w:rPr>
            </w:pPr>
            <w:r>
              <w:rPr>
                <w:rFonts w:ascii="Times New Roman"/>
                <w:spacing w:val="-2"/>
                <w:sz w:val="20"/>
              </w:rPr>
              <w:t>0.1737</w:t>
            </w:r>
          </w:p>
        </w:tc>
        <w:tc>
          <w:tcPr>
            <w:tcW w:w="1514" w:type="dxa"/>
            <w:gridSpan w:val="2"/>
          </w:tcPr>
          <w:p>
            <w:pPr>
              <w:pStyle w:val="TableParagraph"/>
              <w:spacing w:line="240" w:lineRule="auto" w:before="0"/>
              <w:ind w:left="106"/>
              <w:rPr>
                <w:rFonts w:ascii="Times New Roman"/>
                <w:sz w:val="20"/>
              </w:rPr>
            </w:pPr>
            <w:r>
              <w:rPr>
                <w:rFonts w:ascii="Times New Roman"/>
                <w:spacing w:val="-2"/>
                <w:sz w:val="20"/>
              </w:rPr>
              <w:t>Non-stationary</w:t>
            </w:r>
          </w:p>
        </w:tc>
      </w:tr>
      <w:tr>
        <w:trPr>
          <w:trHeight w:val="251" w:hRule="atLeast"/>
        </w:trPr>
        <w:tc>
          <w:tcPr>
            <w:tcW w:w="991" w:type="dxa"/>
          </w:tcPr>
          <w:p>
            <w:pPr>
              <w:pStyle w:val="TableParagraph"/>
              <w:spacing w:line="240" w:lineRule="auto" w:before="0"/>
              <w:ind w:left="24" w:right="3"/>
              <w:jc w:val="center"/>
              <w:rPr>
                <w:rFonts w:ascii="Times New Roman"/>
                <w:sz w:val="20"/>
              </w:rPr>
            </w:pPr>
            <w:r>
              <w:rPr>
                <w:rFonts w:ascii="Times New Roman"/>
                <w:spacing w:val="-5"/>
                <w:sz w:val="20"/>
              </w:rPr>
              <w:t>FDI</w:t>
            </w:r>
          </w:p>
        </w:tc>
        <w:tc>
          <w:tcPr>
            <w:tcW w:w="1260" w:type="dxa"/>
          </w:tcPr>
          <w:p>
            <w:pPr>
              <w:pStyle w:val="TableParagraph"/>
              <w:spacing w:line="240" w:lineRule="auto" w:before="0"/>
              <w:ind w:left="60" w:right="53"/>
              <w:jc w:val="center"/>
              <w:rPr>
                <w:rFonts w:ascii="Times New Roman"/>
                <w:sz w:val="20"/>
              </w:rPr>
            </w:pPr>
            <w:r>
              <w:rPr>
                <w:rFonts w:ascii="Times New Roman"/>
                <w:spacing w:val="-2"/>
                <w:sz w:val="20"/>
              </w:rPr>
              <w:t>-0.597874</w:t>
            </w:r>
          </w:p>
        </w:tc>
        <w:tc>
          <w:tcPr>
            <w:tcW w:w="1261" w:type="dxa"/>
          </w:tcPr>
          <w:p>
            <w:pPr>
              <w:pStyle w:val="TableParagraph"/>
              <w:spacing w:line="240" w:lineRule="auto" w:before="0"/>
              <w:ind w:left="11" w:right="4"/>
              <w:jc w:val="center"/>
              <w:rPr>
                <w:rFonts w:ascii="Times New Roman"/>
                <w:sz w:val="20"/>
              </w:rPr>
            </w:pPr>
            <w:r>
              <w:rPr>
                <w:rFonts w:ascii="Times New Roman"/>
                <w:spacing w:val="-2"/>
                <w:sz w:val="20"/>
              </w:rPr>
              <w:t>-3.646342</w:t>
            </w:r>
          </w:p>
        </w:tc>
        <w:tc>
          <w:tcPr>
            <w:tcW w:w="1385" w:type="dxa"/>
          </w:tcPr>
          <w:p>
            <w:pPr>
              <w:pStyle w:val="TableParagraph"/>
              <w:spacing w:line="240" w:lineRule="auto" w:before="0"/>
              <w:ind w:left="10" w:right="4"/>
              <w:jc w:val="center"/>
              <w:rPr>
                <w:rFonts w:ascii="Times New Roman"/>
                <w:sz w:val="20"/>
              </w:rPr>
            </w:pPr>
            <w:r>
              <w:rPr>
                <w:rFonts w:ascii="Times New Roman"/>
                <w:spacing w:val="-2"/>
                <w:sz w:val="20"/>
              </w:rPr>
              <w:t>-2.954021</w:t>
            </w:r>
          </w:p>
        </w:tc>
        <w:tc>
          <w:tcPr>
            <w:tcW w:w="1250" w:type="dxa"/>
          </w:tcPr>
          <w:p>
            <w:pPr>
              <w:pStyle w:val="TableParagraph"/>
              <w:spacing w:line="240" w:lineRule="auto" w:before="0"/>
              <w:ind w:left="35" w:right="49"/>
              <w:jc w:val="center"/>
              <w:rPr>
                <w:rFonts w:ascii="Times New Roman"/>
                <w:sz w:val="20"/>
              </w:rPr>
            </w:pPr>
            <w:r>
              <w:rPr>
                <w:rFonts w:ascii="Times New Roman"/>
                <w:spacing w:val="-2"/>
                <w:sz w:val="20"/>
              </w:rPr>
              <w:t>-2.615817</w:t>
            </w:r>
          </w:p>
        </w:tc>
        <w:tc>
          <w:tcPr>
            <w:tcW w:w="983" w:type="dxa"/>
          </w:tcPr>
          <w:p>
            <w:pPr>
              <w:pStyle w:val="TableParagraph"/>
              <w:spacing w:line="240" w:lineRule="auto" w:before="0"/>
              <w:ind w:right="17"/>
              <w:jc w:val="center"/>
              <w:rPr>
                <w:rFonts w:ascii="Times New Roman"/>
                <w:sz w:val="20"/>
              </w:rPr>
            </w:pPr>
            <w:r>
              <w:rPr>
                <w:rFonts w:ascii="Times New Roman"/>
                <w:spacing w:val="-4"/>
                <w:sz w:val="20"/>
              </w:rPr>
              <w:t>1(0)</w:t>
            </w:r>
          </w:p>
        </w:tc>
        <w:tc>
          <w:tcPr>
            <w:tcW w:w="901" w:type="dxa"/>
            <w:gridSpan w:val="2"/>
          </w:tcPr>
          <w:p>
            <w:pPr>
              <w:pStyle w:val="TableParagraph"/>
              <w:spacing w:line="240" w:lineRule="auto" w:before="0"/>
              <w:ind w:left="197"/>
              <w:rPr>
                <w:rFonts w:ascii="Times New Roman"/>
                <w:sz w:val="20"/>
              </w:rPr>
            </w:pPr>
            <w:r>
              <w:rPr>
                <w:rFonts w:ascii="Times New Roman"/>
                <w:spacing w:val="-2"/>
                <w:sz w:val="20"/>
              </w:rPr>
              <w:t>0.8578</w:t>
            </w:r>
          </w:p>
        </w:tc>
        <w:tc>
          <w:tcPr>
            <w:tcW w:w="1514" w:type="dxa"/>
            <w:gridSpan w:val="2"/>
          </w:tcPr>
          <w:p>
            <w:pPr>
              <w:pStyle w:val="TableParagraph"/>
              <w:spacing w:line="240" w:lineRule="auto" w:before="0"/>
              <w:ind w:left="106"/>
              <w:rPr>
                <w:rFonts w:ascii="Times New Roman"/>
                <w:sz w:val="20"/>
              </w:rPr>
            </w:pPr>
            <w:r>
              <w:rPr>
                <w:rFonts w:ascii="Times New Roman"/>
                <w:spacing w:val="-2"/>
                <w:sz w:val="20"/>
              </w:rPr>
              <w:t>Non-stationary</w:t>
            </w:r>
          </w:p>
        </w:tc>
      </w:tr>
      <w:tr>
        <w:trPr>
          <w:trHeight w:val="249" w:hRule="atLeast"/>
        </w:trPr>
        <w:tc>
          <w:tcPr>
            <w:tcW w:w="991" w:type="dxa"/>
          </w:tcPr>
          <w:p>
            <w:pPr>
              <w:pStyle w:val="TableParagraph"/>
              <w:spacing w:line="229" w:lineRule="exact" w:before="0"/>
              <w:ind w:left="24" w:right="4"/>
              <w:jc w:val="center"/>
              <w:rPr>
                <w:rFonts w:ascii="Times New Roman"/>
                <w:sz w:val="20"/>
              </w:rPr>
            </w:pPr>
            <w:r>
              <w:rPr>
                <w:rFonts w:ascii="Times New Roman"/>
                <w:spacing w:val="-5"/>
                <w:sz w:val="20"/>
              </w:rPr>
              <w:t>FPI</w:t>
            </w:r>
          </w:p>
        </w:tc>
        <w:tc>
          <w:tcPr>
            <w:tcW w:w="1260" w:type="dxa"/>
          </w:tcPr>
          <w:p>
            <w:pPr>
              <w:pStyle w:val="TableParagraph"/>
              <w:spacing w:line="229" w:lineRule="exact" w:before="0"/>
              <w:ind w:left="60" w:right="53"/>
              <w:jc w:val="center"/>
              <w:rPr>
                <w:rFonts w:ascii="Times New Roman"/>
                <w:sz w:val="20"/>
              </w:rPr>
            </w:pPr>
            <w:r>
              <w:rPr>
                <w:rFonts w:ascii="Times New Roman"/>
                <w:spacing w:val="-2"/>
                <w:sz w:val="20"/>
              </w:rPr>
              <w:t>-0.917336</w:t>
            </w:r>
          </w:p>
        </w:tc>
        <w:tc>
          <w:tcPr>
            <w:tcW w:w="1261" w:type="dxa"/>
          </w:tcPr>
          <w:p>
            <w:pPr>
              <w:pStyle w:val="TableParagraph"/>
              <w:spacing w:line="229" w:lineRule="exact" w:before="0"/>
              <w:ind w:left="11" w:right="4"/>
              <w:jc w:val="center"/>
              <w:rPr>
                <w:rFonts w:ascii="Times New Roman"/>
                <w:sz w:val="20"/>
              </w:rPr>
            </w:pPr>
            <w:r>
              <w:rPr>
                <w:rFonts w:ascii="Times New Roman"/>
                <w:spacing w:val="-2"/>
                <w:sz w:val="20"/>
              </w:rPr>
              <w:t>-3.639407</w:t>
            </w:r>
          </w:p>
        </w:tc>
        <w:tc>
          <w:tcPr>
            <w:tcW w:w="1385" w:type="dxa"/>
          </w:tcPr>
          <w:p>
            <w:pPr>
              <w:pStyle w:val="TableParagraph"/>
              <w:spacing w:line="229" w:lineRule="exact" w:before="0"/>
              <w:ind w:left="10" w:right="4"/>
              <w:jc w:val="center"/>
              <w:rPr>
                <w:rFonts w:ascii="Times New Roman"/>
                <w:sz w:val="20"/>
              </w:rPr>
            </w:pPr>
            <w:r>
              <w:rPr>
                <w:rFonts w:ascii="Times New Roman"/>
                <w:spacing w:val="-2"/>
                <w:sz w:val="20"/>
              </w:rPr>
              <w:t>-2.951125</w:t>
            </w:r>
          </w:p>
        </w:tc>
        <w:tc>
          <w:tcPr>
            <w:tcW w:w="1250" w:type="dxa"/>
          </w:tcPr>
          <w:p>
            <w:pPr>
              <w:pStyle w:val="TableParagraph"/>
              <w:spacing w:line="229" w:lineRule="exact" w:before="0"/>
              <w:ind w:left="35" w:right="49"/>
              <w:jc w:val="center"/>
              <w:rPr>
                <w:rFonts w:ascii="Times New Roman"/>
                <w:sz w:val="20"/>
              </w:rPr>
            </w:pPr>
            <w:r>
              <w:rPr>
                <w:rFonts w:ascii="Times New Roman"/>
                <w:spacing w:val="-2"/>
                <w:sz w:val="20"/>
              </w:rPr>
              <w:t>-2.614300</w:t>
            </w:r>
          </w:p>
        </w:tc>
        <w:tc>
          <w:tcPr>
            <w:tcW w:w="983" w:type="dxa"/>
          </w:tcPr>
          <w:p>
            <w:pPr>
              <w:pStyle w:val="TableParagraph"/>
              <w:spacing w:line="229" w:lineRule="exact" w:before="0"/>
              <w:ind w:right="17"/>
              <w:jc w:val="center"/>
              <w:rPr>
                <w:rFonts w:ascii="Times New Roman"/>
                <w:sz w:val="20"/>
              </w:rPr>
            </w:pPr>
            <w:r>
              <w:rPr>
                <w:rFonts w:ascii="Times New Roman"/>
                <w:spacing w:val="-4"/>
                <w:sz w:val="20"/>
              </w:rPr>
              <w:t>1(0)</w:t>
            </w:r>
          </w:p>
        </w:tc>
        <w:tc>
          <w:tcPr>
            <w:tcW w:w="901" w:type="dxa"/>
            <w:gridSpan w:val="2"/>
          </w:tcPr>
          <w:p>
            <w:pPr>
              <w:pStyle w:val="TableParagraph"/>
              <w:spacing w:line="229" w:lineRule="exact" w:before="0"/>
              <w:ind w:left="173"/>
              <w:rPr>
                <w:rFonts w:ascii="Times New Roman"/>
                <w:sz w:val="20"/>
              </w:rPr>
            </w:pPr>
            <w:r>
              <w:rPr>
                <w:rFonts w:ascii="Times New Roman"/>
                <w:spacing w:val="-2"/>
                <w:sz w:val="20"/>
              </w:rPr>
              <w:t>0.7704</w:t>
            </w:r>
          </w:p>
        </w:tc>
        <w:tc>
          <w:tcPr>
            <w:tcW w:w="1514" w:type="dxa"/>
            <w:gridSpan w:val="2"/>
          </w:tcPr>
          <w:p>
            <w:pPr>
              <w:pStyle w:val="TableParagraph"/>
              <w:spacing w:line="229" w:lineRule="exact" w:before="0"/>
              <w:ind w:left="106"/>
              <w:rPr>
                <w:rFonts w:ascii="Times New Roman"/>
                <w:sz w:val="20"/>
              </w:rPr>
            </w:pPr>
            <w:r>
              <w:rPr>
                <w:rFonts w:ascii="Times New Roman"/>
                <w:spacing w:val="-2"/>
                <w:sz w:val="20"/>
              </w:rPr>
              <w:t>Non-stationary</w:t>
            </w:r>
          </w:p>
        </w:tc>
      </w:tr>
      <w:tr>
        <w:trPr>
          <w:trHeight w:val="230" w:hRule="atLeast"/>
        </w:trPr>
        <w:tc>
          <w:tcPr>
            <w:tcW w:w="991" w:type="dxa"/>
          </w:tcPr>
          <w:p>
            <w:pPr>
              <w:pStyle w:val="TableParagraph"/>
              <w:spacing w:line="210" w:lineRule="exact" w:before="1"/>
              <w:ind w:left="24" w:right="3"/>
              <w:jc w:val="center"/>
              <w:rPr>
                <w:rFonts w:ascii="Times New Roman"/>
                <w:sz w:val="20"/>
              </w:rPr>
            </w:pPr>
            <w:r>
              <w:rPr>
                <w:rFonts w:ascii="Times New Roman"/>
                <w:spacing w:val="-5"/>
                <w:sz w:val="20"/>
              </w:rPr>
              <w:t>ODA</w:t>
            </w:r>
          </w:p>
        </w:tc>
        <w:tc>
          <w:tcPr>
            <w:tcW w:w="1260" w:type="dxa"/>
          </w:tcPr>
          <w:p>
            <w:pPr>
              <w:pStyle w:val="TableParagraph"/>
              <w:spacing w:line="210" w:lineRule="exact" w:before="1"/>
              <w:ind w:left="60"/>
              <w:jc w:val="center"/>
              <w:rPr>
                <w:rFonts w:ascii="Times New Roman"/>
                <w:sz w:val="20"/>
              </w:rPr>
            </w:pPr>
            <w:r>
              <w:rPr>
                <w:rFonts w:ascii="Times New Roman"/>
                <w:spacing w:val="-2"/>
                <w:sz w:val="20"/>
              </w:rPr>
              <w:t>0.360654</w:t>
            </w:r>
          </w:p>
        </w:tc>
        <w:tc>
          <w:tcPr>
            <w:tcW w:w="1261" w:type="dxa"/>
          </w:tcPr>
          <w:p>
            <w:pPr>
              <w:pStyle w:val="TableParagraph"/>
              <w:spacing w:line="210" w:lineRule="exact" w:before="1"/>
              <w:ind w:left="11" w:right="4"/>
              <w:jc w:val="center"/>
              <w:rPr>
                <w:rFonts w:ascii="Times New Roman"/>
                <w:sz w:val="20"/>
              </w:rPr>
            </w:pPr>
            <w:r>
              <w:rPr>
                <w:rFonts w:ascii="Times New Roman"/>
                <w:spacing w:val="-2"/>
                <w:sz w:val="20"/>
              </w:rPr>
              <w:t>-3.639407</w:t>
            </w:r>
          </w:p>
        </w:tc>
        <w:tc>
          <w:tcPr>
            <w:tcW w:w="1385" w:type="dxa"/>
          </w:tcPr>
          <w:p>
            <w:pPr>
              <w:pStyle w:val="TableParagraph"/>
              <w:spacing w:line="210" w:lineRule="exact" w:before="1"/>
              <w:ind w:left="10" w:right="4"/>
              <w:jc w:val="center"/>
              <w:rPr>
                <w:rFonts w:ascii="Times New Roman"/>
                <w:sz w:val="20"/>
              </w:rPr>
            </w:pPr>
            <w:r>
              <w:rPr>
                <w:rFonts w:ascii="Times New Roman"/>
                <w:spacing w:val="-2"/>
                <w:sz w:val="20"/>
              </w:rPr>
              <w:t>-2.951125</w:t>
            </w:r>
          </w:p>
        </w:tc>
        <w:tc>
          <w:tcPr>
            <w:tcW w:w="1250" w:type="dxa"/>
          </w:tcPr>
          <w:p>
            <w:pPr>
              <w:pStyle w:val="TableParagraph"/>
              <w:spacing w:line="210" w:lineRule="exact" w:before="1"/>
              <w:ind w:left="35" w:right="49"/>
              <w:jc w:val="center"/>
              <w:rPr>
                <w:rFonts w:ascii="Times New Roman"/>
                <w:sz w:val="20"/>
              </w:rPr>
            </w:pPr>
            <w:r>
              <w:rPr>
                <w:rFonts w:ascii="Times New Roman"/>
                <w:spacing w:val="-2"/>
                <w:sz w:val="20"/>
              </w:rPr>
              <w:t>-2.614300</w:t>
            </w:r>
          </w:p>
        </w:tc>
        <w:tc>
          <w:tcPr>
            <w:tcW w:w="983" w:type="dxa"/>
          </w:tcPr>
          <w:p>
            <w:pPr>
              <w:pStyle w:val="TableParagraph"/>
              <w:spacing w:line="210" w:lineRule="exact" w:before="1"/>
              <w:ind w:right="17"/>
              <w:jc w:val="center"/>
              <w:rPr>
                <w:rFonts w:ascii="Times New Roman"/>
                <w:sz w:val="20"/>
              </w:rPr>
            </w:pPr>
            <w:r>
              <w:rPr>
                <w:rFonts w:ascii="Times New Roman"/>
                <w:spacing w:val="-4"/>
                <w:sz w:val="20"/>
              </w:rPr>
              <w:t>1(0)</w:t>
            </w:r>
          </w:p>
        </w:tc>
        <w:tc>
          <w:tcPr>
            <w:tcW w:w="901" w:type="dxa"/>
            <w:gridSpan w:val="2"/>
          </w:tcPr>
          <w:p>
            <w:pPr>
              <w:pStyle w:val="TableParagraph"/>
              <w:spacing w:line="210" w:lineRule="exact" w:before="1"/>
              <w:ind w:left="173"/>
              <w:rPr>
                <w:rFonts w:ascii="Times New Roman"/>
                <w:sz w:val="20"/>
              </w:rPr>
            </w:pPr>
            <w:r>
              <w:rPr>
                <w:rFonts w:ascii="Times New Roman"/>
                <w:spacing w:val="-2"/>
                <w:sz w:val="20"/>
              </w:rPr>
              <w:t>0.9781</w:t>
            </w:r>
          </w:p>
        </w:tc>
        <w:tc>
          <w:tcPr>
            <w:tcW w:w="1514" w:type="dxa"/>
            <w:gridSpan w:val="2"/>
          </w:tcPr>
          <w:p>
            <w:pPr>
              <w:pStyle w:val="TableParagraph"/>
              <w:spacing w:line="210" w:lineRule="exact" w:before="1"/>
              <w:ind w:left="106"/>
              <w:rPr>
                <w:rFonts w:ascii="Times New Roman"/>
                <w:sz w:val="20"/>
              </w:rPr>
            </w:pPr>
            <w:r>
              <w:rPr>
                <w:rFonts w:ascii="Times New Roman"/>
                <w:spacing w:val="-2"/>
                <w:sz w:val="20"/>
              </w:rPr>
              <w:t>Non-stationary</w:t>
            </w:r>
          </w:p>
        </w:tc>
      </w:tr>
      <w:tr>
        <w:trPr>
          <w:trHeight w:val="251" w:hRule="atLeast"/>
        </w:trPr>
        <w:tc>
          <w:tcPr>
            <w:tcW w:w="991" w:type="dxa"/>
          </w:tcPr>
          <w:p>
            <w:pPr>
              <w:pStyle w:val="TableParagraph"/>
              <w:spacing w:line="240" w:lineRule="auto" w:before="0"/>
              <w:ind w:left="24"/>
              <w:jc w:val="center"/>
              <w:rPr>
                <w:rFonts w:ascii="Times New Roman"/>
                <w:sz w:val="20"/>
              </w:rPr>
            </w:pPr>
            <w:r>
              <w:rPr>
                <w:rFonts w:ascii="Times New Roman"/>
                <w:spacing w:val="-5"/>
                <w:sz w:val="20"/>
              </w:rPr>
              <w:t>TOP</w:t>
            </w:r>
          </w:p>
        </w:tc>
        <w:tc>
          <w:tcPr>
            <w:tcW w:w="1260" w:type="dxa"/>
          </w:tcPr>
          <w:p>
            <w:pPr>
              <w:pStyle w:val="TableParagraph"/>
              <w:spacing w:line="240" w:lineRule="auto" w:before="0"/>
              <w:ind w:left="60" w:right="53"/>
              <w:jc w:val="center"/>
              <w:rPr>
                <w:rFonts w:ascii="Times New Roman"/>
                <w:sz w:val="20"/>
              </w:rPr>
            </w:pPr>
            <w:r>
              <w:rPr>
                <w:rFonts w:ascii="Times New Roman"/>
                <w:spacing w:val="-2"/>
                <w:sz w:val="20"/>
              </w:rPr>
              <w:t>-3.236628</w:t>
            </w:r>
          </w:p>
        </w:tc>
        <w:tc>
          <w:tcPr>
            <w:tcW w:w="1261" w:type="dxa"/>
          </w:tcPr>
          <w:p>
            <w:pPr>
              <w:pStyle w:val="TableParagraph"/>
              <w:spacing w:line="240" w:lineRule="auto" w:before="0"/>
              <w:ind w:left="11" w:right="4"/>
              <w:jc w:val="center"/>
              <w:rPr>
                <w:rFonts w:ascii="Times New Roman"/>
                <w:sz w:val="20"/>
              </w:rPr>
            </w:pPr>
            <w:r>
              <w:rPr>
                <w:rFonts w:ascii="Times New Roman"/>
                <w:spacing w:val="-2"/>
                <w:sz w:val="20"/>
              </w:rPr>
              <w:t>-3.661661</w:t>
            </w:r>
          </w:p>
        </w:tc>
        <w:tc>
          <w:tcPr>
            <w:tcW w:w="1385" w:type="dxa"/>
          </w:tcPr>
          <w:p>
            <w:pPr>
              <w:pStyle w:val="TableParagraph"/>
              <w:spacing w:line="240" w:lineRule="auto" w:before="0"/>
              <w:ind w:left="10" w:right="4"/>
              <w:jc w:val="center"/>
              <w:rPr>
                <w:rFonts w:ascii="Times New Roman"/>
                <w:sz w:val="20"/>
              </w:rPr>
            </w:pPr>
            <w:r>
              <w:rPr>
                <w:rFonts w:ascii="Times New Roman"/>
                <w:spacing w:val="-2"/>
                <w:sz w:val="20"/>
              </w:rPr>
              <w:t>-2.960411</w:t>
            </w:r>
          </w:p>
        </w:tc>
        <w:tc>
          <w:tcPr>
            <w:tcW w:w="1250" w:type="dxa"/>
          </w:tcPr>
          <w:p>
            <w:pPr>
              <w:pStyle w:val="TableParagraph"/>
              <w:spacing w:line="240" w:lineRule="auto" w:before="0"/>
              <w:ind w:left="35" w:right="49"/>
              <w:jc w:val="center"/>
              <w:rPr>
                <w:rFonts w:ascii="Times New Roman"/>
                <w:sz w:val="20"/>
              </w:rPr>
            </w:pPr>
            <w:r>
              <w:rPr>
                <w:rFonts w:ascii="Times New Roman"/>
                <w:spacing w:val="-2"/>
                <w:sz w:val="20"/>
              </w:rPr>
              <w:t>-2.619160</w:t>
            </w:r>
          </w:p>
        </w:tc>
        <w:tc>
          <w:tcPr>
            <w:tcW w:w="983" w:type="dxa"/>
          </w:tcPr>
          <w:p>
            <w:pPr>
              <w:pStyle w:val="TableParagraph"/>
              <w:spacing w:line="240" w:lineRule="auto" w:before="0"/>
              <w:ind w:right="17"/>
              <w:jc w:val="center"/>
              <w:rPr>
                <w:rFonts w:ascii="Times New Roman"/>
                <w:sz w:val="20"/>
              </w:rPr>
            </w:pPr>
            <w:r>
              <w:rPr>
                <w:rFonts w:ascii="Times New Roman"/>
                <w:spacing w:val="-4"/>
                <w:sz w:val="20"/>
              </w:rPr>
              <w:t>1(0)</w:t>
            </w:r>
          </w:p>
        </w:tc>
        <w:tc>
          <w:tcPr>
            <w:tcW w:w="901" w:type="dxa"/>
            <w:gridSpan w:val="2"/>
          </w:tcPr>
          <w:p>
            <w:pPr>
              <w:pStyle w:val="TableParagraph"/>
              <w:spacing w:line="240" w:lineRule="auto" w:before="0"/>
              <w:ind w:left="173"/>
              <w:rPr>
                <w:rFonts w:ascii="Times New Roman"/>
                <w:sz w:val="20"/>
              </w:rPr>
            </w:pPr>
            <w:r>
              <w:rPr>
                <w:rFonts w:ascii="Times New Roman"/>
                <w:spacing w:val="-2"/>
                <w:sz w:val="20"/>
              </w:rPr>
              <w:t>0.0272</w:t>
            </w:r>
          </w:p>
        </w:tc>
        <w:tc>
          <w:tcPr>
            <w:tcW w:w="1514" w:type="dxa"/>
            <w:gridSpan w:val="2"/>
          </w:tcPr>
          <w:p>
            <w:pPr>
              <w:pStyle w:val="TableParagraph"/>
              <w:spacing w:line="240" w:lineRule="auto" w:before="0"/>
              <w:ind w:left="106"/>
              <w:rPr>
                <w:rFonts w:ascii="Times New Roman"/>
                <w:sz w:val="20"/>
              </w:rPr>
            </w:pPr>
            <w:r>
              <w:rPr>
                <w:rFonts w:ascii="Times New Roman"/>
                <w:spacing w:val="-2"/>
                <w:sz w:val="20"/>
              </w:rPr>
              <w:t>Non-stationary</w:t>
            </w:r>
          </w:p>
        </w:tc>
      </w:tr>
      <w:tr>
        <w:trPr>
          <w:trHeight w:val="251" w:hRule="atLeast"/>
        </w:trPr>
        <w:tc>
          <w:tcPr>
            <w:tcW w:w="991" w:type="dxa"/>
          </w:tcPr>
          <w:p>
            <w:pPr>
              <w:pStyle w:val="TableParagraph"/>
              <w:spacing w:line="240" w:lineRule="auto" w:before="0"/>
              <w:ind w:left="24" w:right="3"/>
              <w:jc w:val="center"/>
              <w:rPr>
                <w:rFonts w:ascii="Times New Roman"/>
                <w:sz w:val="20"/>
              </w:rPr>
            </w:pPr>
            <w:r>
              <w:rPr>
                <w:rFonts w:ascii="Times New Roman"/>
                <w:spacing w:val="-5"/>
                <w:sz w:val="20"/>
              </w:rPr>
              <w:t>REM</w:t>
            </w:r>
          </w:p>
        </w:tc>
        <w:tc>
          <w:tcPr>
            <w:tcW w:w="1260" w:type="dxa"/>
          </w:tcPr>
          <w:p>
            <w:pPr>
              <w:pStyle w:val="TableParagraph"/>
              <w:spacing w:line="240" w:lineRule="auto" w:before="0"/>
              <w:ind w:left="60" w:right="53"/>
              <w:jc w:val="center"/>
              <w:rPr>
                <w:rFonts w:ascii="Times New Roman"/>
                <w:sz w:val="20"/>
              </w:rPr>
            </w:pPr>
            <w:r>
              <w:rPr>
                <w:rFonts w:ascii="Times New Roman"/>
                <w:spacing w:val="-2"/>
                <w:sz w:val="20"/>
              </w:rPr>
              <w:t>-2.748581</w:t>
            </w:r>
          </w:p>
        </w:tc>
        <w:tc>
          <w:tcPr>
            <w:tcW w:w="1261" w:type="dxa"/>
          </w:tcPr>
          <w:p>
            <w:pPr>
              <w:pStyle w:val="TableParagraph"/>
              <w:spacing w:line="240" w:lineRule="auto" w:before="0"/>
              <w:ind w:left="11" w:right="4"/>
              <w:jc w:val="center"/>
              <w:rPr>
                <w:rFonts w:ascii="Times New Roman"/>
                <w:sz w:val="20"/>
              </w:rPr>
            </w:pPr>
            <w:r>
              <w:rPr>
                <w:rFonts w:ascii="Times New Roman"/>
                <w:spacing w:val="-2"/>
                <w:sz w:val="20"/>
              </w:rPr>
              <w:t>-3.639407</w:t>
            </w:r>
          </w:p>
        </w:tc>
        <w:tc>
          <w:tcPr>
            <w:tcW w:w="1385" w:type="dxa"/>
          </w:tcPr>
          <w:p>
            <w:pPr>
              <w:pStyle w:val="TableParagraph"/>
              <w:spacing w:line="240" w:lineRule="auto" w:before="0"/>
              <w:ind w:left="10" w:right="4"/>
              <w:jc w:val="center"/>
              <w:rPr>
                <w:rFonts w:ascii="Times New Roman"/>
                <w:sz w:val="20"/>
              </w:rPr>
            </w:pPr>
            <w:r>
              <w:rPr>
                <w:rFonts w:ascii="Times New Roman"/>
                <w:spacing w:val="-2"/>
                <w:sz w:val="20"/>
              </w:rPr>
              <w:t>-2.951125</w:t>
            </w:r>
          </w:p>
        </w:tc>
        <w:tc>
          <w:tcPr>
            <w:tcW w:w="1250" w:type="dxa"/>
          </w:tcPr>
          <w:p>
            <w:pPr>
              <w:pStyle w:val="TableParagraph"/>
              <w:spacing w:line="240" w:lineRule="auto" w:before="0"/>
              <w:ind w:left="35" w:right="49"/>
              <w:jc w:val="center"/>
              <w:rPr>
                <w:rFonts w:ascii="Times New Roman"/>
                <w:sz w:val="20"/>
              </w:rPr>
            </w:pPr>
            <w:r>
              <w:rPr>
                <w:rFonts w:ascii="Times New Roman"/>
                <w:spacing w:val="-2"/>
                <w:sz w:val="20"/>
              </w:rPr>
              <w:t>-2.614300</w:t>
            </w:r>
          </w:p>
        </w:tc>
        <w:tc>
          <w:tcPr>
            <w:tcW w:w="983" w:type="dxa"/>
          </w:tcPr>
          <w:p>
            <w:pPr>
              <w:pStyle w:val="TableParagraph"/>
              <w:spacing w:line="240" w:lineRule="auto" w:before="0"/>
              <w:ind w:right="17"/>
              <w:jc w:val="center"/>
              <w:rPr>
                <w:rFonts w:ascii="Times New Roman"/>
                <w:sz w:val="20"/>
              </w:rPr>
            </w:pPr>
            <w:r>
              <w:rPr>
                <w:rFonts w:ascii="Times New Roman"/>
                <w:spacing w:val="-4"/>
                <w:sz w:val="20"/>
              </w:rPr>
              <w:t>1(0)</w:t>
            </w:r>
          </w:p>
        </w:tc>
        <w:tc>
          <w:tcPr>
            <w:tcW w:w="901" w:type="dxa"/>
            <w:gridSpan w:val="2"/>
          </w:tcPr>
          <w:p>
            <w:pPr>
              <w:pStyle w:val="TableParagraph"/>
              <w:spacing w:line="240" w:lineRule="auto" w:before="0"/>
              <w:ind w:left="173"/>
              <w:rPr>
                <w:rFonts w:ascii="Times New Roman"/>
                <w:sz w:val="20"/>
              </w:rPr>
            </w:pPr>
            <w:r>
              <w:rPr>
                <w:rFonts w:ascii="Times New Roman"/>
                <w:spacing w:val="-2"/>
                <w:sz w:val="20"/>
              </w:rPr>
              <w:t>0.0765</w:t>
            </w:r>
          </w:p>
        </w:tc>
        <w:tc>
          <w:tcPr>
            <w:tcW w:w="1514" w:type="dxa"/>
            <w:gridSpan w:val="2"/>
          </w:tcPr>
          <w:p>
            <w:pPr>
              <w:pStyle w:val="TableParagraph"/>
              <w:spacing w:line="240" w:lineRule="auto" w:before="0"/>
              <w:ind w:left="106"/>
              <w:rPr>
                <w:rFonts w:ascii="Times New Roman"/>
                <w:sz w:val="20"/>
              </w:rPr>
            </w:pPr>
            <w:r>
              <w:rPr>
                <w:rFonts w:ascii="Times New Roman"/>
                <w:spacing w:val="-2"/>
                <w:sz w:val="20"/>
              </w:rPr>
              <w:t>Non-stationary</w:t>
            </w:r>
          </w:p>
        </w:tc>
      </w:tr>
      <w:tr>
        <w:trPr>
          <w:trHeight w:val="251" w:hRule="atLeast"/>
        </w:trPr>
        <w:tc>
          <w:tcPr>
            <w:tcW w:w="991" w:type="dxa"/>
          </w:tcPr>
          <w:p>
            <w:pPr>
              <w:pStyle w:val="TableParagraph"/>
              <w:spacing w:line="240" w:lineRule="auto" w:before="0"/>
              <w:ind w:left="24" w:right="1"/>
              <w:jc w:val="center"/>
              <w:rPr>
                <w:rFonts w:ascii="Times New Roman"/>
                <w:sz w:val="20"/>
              </w:rPr>
            </w:pPr>
            <w:r>
              <w:rPr>
                <w:rFonts w:ascii="Times New Roman"/>
                <w:spacing w:val="-5"/>
                <w:sz w:val="20"/>
              </w:rPr>
              <w:t>INT</w:t>
            </w:r>
          </w:p>
        </w:tc>
        <w:tc>
          <w:tcPr>
            <w:tcW w:w="1260" w:type="dxa"/>
          </w:tcPr>
          <w:p>
            <w:pPr>
              <w:pStyle w:val="TableParagraph"/>
              <w:spacing w:line="240" w:lineRule="auto" w:before="0"/>
              <w:ind w:left="60" w:right="53"/>
              <w:jc w:val="center"/>
              <w:rPr>
                <w:rFonts w:ascii="Times New Roman"/>
                <w:sz w:val="20"/>
              </w:rPr>
            </w:pPr>
            <w:r>
              <w:rPr>
                <w:rFonts w:ascii="Times New Roman"/>
                <w:spacing w:val="-2"/>
                <w:sz w:val="20"/>
              </w:rPr>
              <w:t>-3.427332</w:t>
            </w:r>
          </w:p>
        </w:tc>
        <w:tc>
          <w:tcPr>
            <w:tcW w:w="1261" w:type="dxa"/>
          </w:tcPr>
          <w:p>
            <w:pPr>
              <w:pStyle w:val="TableParagraph"/>
              <w:spacing w:line="240" w:lineRule="auto" w:before="0"/>
              <w:ind w:left="11" w:right="4"/>
              <w:jc w:val="center"/>
              <w:rPr>
                <w:rFonts w:ascii="Times New Roman"/>
                <w:sz w:val="20"/>
              </w:rPr>
            </w:pPr>
            <w:r>
              <w:rPr>
                <w:rFonts w:ascii="Times New Roman"/>
                <w:spacing w:val="-2"/>
                <w:sz w:val="20"/>
              </w:rPr>
              <w:t>-3.639407</w:t>
            </w:r>
          </w:p>
        </w:tc>
        <w:tc>
          <w:tcPr>
            <w:tcW w:w="1385" w:type="dxa"/>
          </w:tcPr>
          <w:p>
            <w:pPr>
              <w:pStyle w:val="TableParagraph"/>
              <w:spacing w:line="240" w:lineRule="auto" w:before="0"/>
              <w:ind w:left="10" w:right="4"/>
              <w:jc w:val="center"/>
              <w:rPr>
                <w:rFonts w:ascii="Times New Roman"/>
                <w:sz w:val="20"/>
              </w:rPr>
            </w:pPr>
            <w:r>
              <w:rPr>
                <w:rFonts w:ascii="Times New Roman"/>
                <w:spacing w:val="-2"/>
                <w:sz w:val="20"/>
              </w:rPr>
              <w:t>-2.951125</w:t>
            </w:r>
          </w:p>
        </w:tc>
        <w:tc>
          <w:tcPr>
            <w:tcW w:w="1250" w:type="dxa"/>
          </w:tcPr>
          <w:p>
            <w:pPr>
              <w:pStyle w:val="TableParagraph"/>
              <w:spacing w:line="240" w:lineRule="auto" w:before="0"/>
              <w:ind w:left="35" w:right="49"/>
              <w:jc w:val="center"/>
              <w:rPr>
                <w:rFonts w:ascii="Times New Roman"/>
                <w:sz w:val="20"/>
              </w:rPr>
            </w:pPr>
            <w:r>
              <w:rPr>
                <w:rFonts w:ascii="Times New Roman"/>
                <w:spacing w:val="-2"/>
                <w:sz w:val="20"/>
              </w:rPr>
              <w:t>-2.614300</w:t>
            </w:r>
          </w:p>
        </w:tc>
        <w:tc>
          <w:tcPr>
            <w:tcW w:w="983" w:type="dxa"/>
          </w:tcPr>
          <w:p>
            <w:pPr>
              <w:pStyle w:val="TableParagraph"/>
              <w:spacing w:line="240" w:lineRule="auto" w:before="0"/>
              <w:ind w:right="17"/>
              <w:jc w:val="center"/>
              <w:rPr>
                <w:rFonts w:ascii="Times New Roman"/>
                <w:sz w:val="20"/>
              </w:rPr>
            </w:pPr>
            <w:r>
              <w:rPr>
                <w:rFonts w:ascii="Times New Roman"/>
                <w:spacing w:val="-4"/>
                <w:sz w:val="20"/>
              </w:rPr>
              <w:t>1(0)</w:t>
            </w:r>
          </w:p>
        </w:tc>
        <w:tc>
          <w:tcPr>
            <w:tcW w:w="901" w:type="dxa"/>
            <w:gridSpan w:val="2"/>
          </w:tcPr>
          <w:p>
            <w:pPr>
              <w:pStyle w:val="TableParagraph"/>
              <w:spacing w:line="240" w:lineRule="auto" w:before="0"/>
              <w:ind w:left="173"/>
              <w:rPr>
                <w:rFonts w:ascii="Times New Roman"/>
                <w:sz w:val="20"/>
              </w:rPr>
            </w:pPr>
            <w:r>
              <w:rPr>
                <w:rFonts w:ascii="Times New Roman"/>
                <w:spacing w:val="-2"/>
                <w:sz w:val="20"/>
              </w:rPr>
              <w:t>0.0868</w:t>
            </w:r>
          </w:p>
        </w:tc>
        <w:tc>
          <w:tcPr>
            <w:tcW w:w="1514" w:type="dxa"/>
            <w:gridSpan w:val="2"/>
          </w:tcPr>
          <w:p>
            <w:pPr>
              <w:pStyle w:val="TableParagraph"/>
              <w:spacing w:line="240" w:lineRule="auto" w:before="0"/>
              <w:ind w:left="106"/>
              <w:rPr>
                <w:rFonts w:ascii="Times New Roman"/>
                <w:sz w:val="20"/>
              </w:rPr>
            </w:pPr>
            <w:r>
              <w:rPr>
                <w:rFonts w:ascii="Times New Roman"/>
                <w:spacing w:val="-2"/>
                <w:sz w:val="20"/>
              </w:rPr>
              <w:t>Non-stationary</w:t>
            </w:r>
          </w:p>
        </w:tc>
      </w:tr>
      <w:tr>
        <w:trPr>
          <w:trHeight w:val="249" w:hRule="atLeast"/>
        </w:trPr>
        <w:tc>
          <w:tcPr>
            <w:tcW w:w="991" w:type="dxa"/>
          </w:tcPr>
          <w:p>
            <w:pPr>
              <w:pStyle w:val="TableParagraph"/>
              <w:spacing w:line="207" w:lineRule="exact" w:before="0"/>
              <w:ind w:left="24" w:right="3"/>
              <w:jc w:val="center"/>
              <w:rPr>
                <w:rFonts w:ascii="Times New Roman"/>
                <w:sz w:val="18"/>
              </w:rPr>
            </w:pPr>
            <w:r>
              <w:rPr>
                <w:rFonts w:ascii="Times New Roman"/>
                <w:spacing w:val="-2"/>
                <w:sz w:val="18"/>
              </w:rPr>
              <w:t>CPS/GDP</w:t>
            </w:r>
          </w:p>
        </w:tc>
        <w:tc>
          <w:tcPr>
            <w:tcW w:w="1260" w:type="dxa"/>
          </w:tcPr>
          <w:p>
            <w:pPr>
              <w:pStyle w:val="TableParagraph"/>
              <w:spacing w:line="229" w:lineRule="exact" w:before="0"/>
              <w:ind w:left="60" w:right="53"/>
              <w:jc w:val="center"/>
              <w:rPr>
                <w:rFonts w:ascii="Times New Roman"/>
                <w:sz w:val="20"/>
              </w:rPr>
            </w:pPr>
            <w:r>
              <w:rPr>
                <w:rFonts w:ascii="Times New Roman"/>
                <w:spacing w:val="-2"/>
                <w:sz w:val="20"/>
              </w:rPr>
              <w:t>-0.683402</w:t>
            </w:r>
          </w:p>
        </w:tc>
        <w:tc>
          <w:tcPr>
            <w:tcW w:w="1261" w:type="dxa"/>
          </w:tcPr>
          <w:p>
            <w:pPr>
              <w:pStyle w:val="TableParagraph"/>
              <w:spacing w:line="229" w:lineRule="exact" w:before="0"/>
              <w:ind w:left="11" w:right="4"/>
              <w:jc w:val="center"/>
              <w:rPr>
                <w:rFonts w:ascii="Times New Roman"/>
                <w:sz w:val="20"/>
              </w:rPr>
            </w:pPr>
            <w:r>
              <w:rPr>
                <w:rFonts w:ascii="Times New Roman"/>
                <w:spacing w:val="-2"/>
                <w:sz w:val="20"/>
              </w:rPr>
              <w:t>-3.653730</w:t>
            </w:r>
          </w:p>
        </w:tc>
        <w:tc>
          <w:tcPr>
            <w:tcW w:w="1385" w:type="dxa"/>
          </w:tcPr>
          <w:p>
            <w:pPr>
              <w:pStyle w:val="TableParagraph"/>
              <w:spacing w:line="229" w:lineRule="exact" w:before="0"/>
              <w:ind w:left="10" w:right="4"/>
              <w:jc w:val="center"/>
              <w:rPr>
                <w:rFonts w:ascii="Times New Roman"/>
                <w:sz w:val="20"/>
              </w:rPr>
            </w:pPr>
            <w:r>
              <w:rPr>
                <w:rFonts w:ascii="Times New Roman"/>
                <w:spacing w:val="-2"/>
                <w:sz w:val="20"/>
              </w:rPr>
              <w:t>-2.957110</w:t>
            </w:r>
          </w:p>
        </w:tc>
        <w:tc>
          <w:tcPr>
            <w:tcW w:w="1250" w:type="dxa"/>
          </w:tcPr>
          <w:p>
            <w:pPr>
              <w:pStyle w:val="TableParagraph"/>
              <w:spacing w:line="229" w:lineRule="exact" w:before="0"/>
              <w:ind w:left="35" w:right="49"/>
              <w:jc w:val="center"/>
              <w:rPr>
                <w:rFonts w:ascii="Times New Roman"/>
                <w:sz w:val="20"/>
              </w:rPr>
            </w:pPr>
            <w:r>
              <w:rPr>
                <w:rFonts w:ascii="Times New Roman"/>
                <w:spacing w:val="-2"/>
                <w:sz w:val="20"/>
              </w:rPr>
              <w:t>-2.617434</w:t>
            </w:r>
          </w:p>
        </w:tc>
        <w:tc>
          <w:tcPr>
            <w:tcW w:w="983" w:type="dxa"/>
          </w:tcPr>
          <w:p>
            <w:pPr>
              <w:pStyle w:val="TableParagraph"/>
              <w:spacing w:line="229" w:lineRule="exact" w:before="0"/>
              <w:ind w:right="17"/>
              <w:jc w:val="center"/>
              <w:rPr>
                <w:rFonts w:ascii="Times New Roman"/>
                <w:sz w:val="20"/>
              </w:rPr>
            </w:pPr>
            <w:r>
              <w:rPr>
                <w:rFonts w:ascii="Times New Roman"/>
                <w:spacing w:val="-4"/>
                <w:sz w:val="20"/>
              </w:rPr>
              <w:t>1(0)</w:t>
            </w:r>
          </w:p>
        </w:tc>
        <w:tc>
          <w:tcPr>
            <w:tcW w:w="901" w:type="dxa"/>
            <w:gridSpan w:val="2"/>
          </w:tcPr>
          <w:p>
            <w:pPr>
              <w:pStyle w:val="TableParagraph"/>
              <w:spacing w:line="229" w:lineRule="exact" w:before="0"/>
              <w:ind w:left="173"/>
              <w:rPr>
                <w:rFonts w:ascii="Times New Roman"/>
                <w:sz w:val="20"/>
              </w:rPr>
            </w:pPr>
            <w:r>
              <w:rPr>
                <w:rFonts w:ascii="Times New Roman"/>
                <w:spacing w:val="-2"/>
                <w:sz w:val="20"/>
              </w:rPr>
              <w:t>0.8370</w:t>
            </w:r>
          </w:p>
        </w:tc>
        <w:tc>
          <w:tcPr>
            <w:tcW w:w="1514" w:type="dxa"/>
            <w:gridSpan w:val="2"/>
          </w:tcPr>
          <w:p>
            <w:pPr>
              <w:pStyle w:val="TableParagraph"/>
              <w:spacing w:line="229" w:lineRule="exact" w:before="0"/>
              <w:ind w:left="106"/>
              <w:rPr>
                <w:rFonts w:ascii="Times New Roman"/>
                <w:sz w:val="20"/>
              </w:rPr>
            </w:pPr>
            <w:r>
              <w:rPr>
                <w:rFonts w:ascii="Times New Roman"/>
                <w:spacing w:val="-2"/>
                <w:sz w:val="20"/>
              </w:rPr>
              <w:t>Non-stationary</w:t>
            </w:r>
          </w:p>
        </w:tc>
      </w:tr>
      <w:tr>
        <w:trPr>
          <w:trHeight w:val="251" w:hRule="atLeast"/>
        </w:trPr>
        <w:tc>
          <w:tcPr>
            <w:tcW w:w="991" w:type="dxa"/>
          </w:tcPr>
          <w:p>
            <w:pPr>
              <w:pStyle w:val="TableParagraph"/>
              <w:spacing w:line="240" w:lineRule="auto" w:before="0"/>
              <w:ind w:left="24" w:right="3"/>
              <w:jc w:val="center"/>
              <w:rPr>
                <w:rFonts w:ascii="Times New Roman"/>
                <w:sz w:val="20"/>
              </w:rPr>
            </w:pPr>
            <w:r>
              <w:rPr>
                <w:rFonts w:ascii="Times New Roman"/>
                <w:spacing w:val="-4"/>
                <w:sz w:val="20"/>
              </w:rPr>
              <w:t>EXCH</w:t>
            </w:r>
          </w:p>
        </w:tc>
        <w:tc>
          <w:tcPr>
            <w:tcW w:w="1260" w:type="dxa"/>
          </w:tcPr>
          <w:p>
            <w:pPr>
              <w:pStyle w:val="TableParagraph"/>
              <w:spacing w:line="240" w:lineRule="auto" w:before="0"/>
              <w:ind w:left="60" w:right="53"/>
              <w:jc w:val="center"/>
              <w:rPr>
                <w:rFonts w:ascii="Times New Roman"/>
                <w:sz w:val="20"/>
              </w:rPr>
            </w:pPr>
            <w:r>
              <w:rPr>
                <w:rFonts w:ascii="Times New Roman"/>
                <w:spacing w:val="-2"/>
                <w:sz w:val="20"/>
              </w:rPr>
              <w:t>-0.981612</w:t>
            </w:r>
          </w:p>
        </w:tc>
        <w:tc>
          <w:tcPr>
            <w:tcW w:w="1261" w:type="dxa"/>
          </w:tcPr>
          <w:p>
            <w:pPr>
              <w:pStyle w:val="TableParagraph"/>
              <w:spacing w:line="240" w:lineRule="auto" w:before="0"/>
              <w:ind w:left="11" w:right="4"/>
              <w:jc w:val="center"/>
              <w:rPr>
                <w:rFonts w:ascii="Times New Roman"/>
                <w:sz w:val="20"/>
              </w:rPr>
            </w:pPr>
            <w:r>
              <w:rPr>
                <w:rFonts w:ascii="Times New Roman"/>
                <w:spacing w:val="-2"/>
                <w:sz w:val="20"/>
              </w:rPr>
              <w:t>-3.639407</w:t>
            </w:r>
          </w:p>
        </w:tc>
        <w:tc>
          <w:tcPr>
            <w:tcW w:w="1385" w:type="dxa"/>
          </w:tcPr>
          <w:p>
            <w:pPr>
              <w:pStyle w:val="TableParagraph"/>
              <w:spacing w:line="240" w:lineRule="auto" w:before="0"/>
              <w:ind w:left="10" w:right="4"/>
              <w:jc w:val="center"/>
              <w:rPr>
                <w:rFonts w:ascii="Times New Roman"/>
                <w:sz w:val="20"/>
              </w:rPr>
            </w:pPr>
            <w:r>
              <w:rPr>
                <w:rFonts w:ascii="Times New Roman"/>
                <w:spacing w:val="-2"/>
                <w:sz w:val="20"/>
              </w:rPr>
              <w:t>-2.951125</w:t>
            </w:r>
          </w:p>
        </w:tc>
        <w:tc>
          <w:tcPr>
            <w:tcW w:w="1250" w:type="dxa"/>
          </w:tcPr>
          <w:p>
            <w:pPr>
              <w:pStyle w:val="TableParagraph"/>
              <w:spacing w:line="240" w:lineRule="auto" w:before="0"/>
              <w:ind w:left="35" w:right="49"/>
              <w:jc w:val="center"/>
              <w:rPr>
                <w:rFonts w:ascii="Times New Roman"/>
                <w:sz w:val="20"/>
              </w:rPr>
            </w:pPr>
            <w:r>
              <w:rPr>
                <w:rFonts w:ascii="Times New Roman"/>
                <w:spacing w:val="-2"/>
                <w:sz w:val="20"/>
              </w:rPr>
              <w:t>-2.614300</w:t>
            </w:r>
          </w:p>
        </w:tc>
        <w:tc>
          <w:tcPr>
            <w:tcW w:w="983" w:type="dxa"/>
          </w:tcPr>
          <w:p>
            <w:pPr>
              <w:pStyle w:val="TableParagraph"/>
              <w:spacing w:line="240" w:lineRule="auto" w:before="0"/>
              <w:ind w:right="17"/>
              <w:jc w:val="center"/>
              <w:rPr>
                <w:rFonts w:ascii="Times New Roman"/>
                <w:sz w:val="20"/>
              </w:rPr>
            </w:pPr>
            <w:r>
              <w:rPr>
                <w:rFonts w:ascii="Times New Roman"/>
                <w:spacing w:val="-4"/>
                <w:sz w:val="20"/>
              </w:rPr>
              <w:t>1(0)</w:t>
            </w:r>
          </w:p>
        </w:tc>
        <w:tc>
          <w:tcPr>
            <w:tcW w:w="901" w:type="dxa"/>
            <w:gridSpan w:val="2"/>
          </w:tcPr>
          <w:p>
            <w:pPr>
              <w:pStyle w:val="TableParagraph"/>
              <w:spacing w:line="240" w:lineRule="auto" w:before="0"/>
              <w:ind w:left="197"/>
              <w:rPr>
                <w:rFonts w:ascii="Times New Roman"/>
                <w:sz w:val="20"/>
              </w:rPr>
            </w:pPr>
            <w:r>
              <w:rPr>
                <w:rFonts w:ascii="Times New Roman"/>
                <w:spacing w:val="-2"/>
                <w:sz w:val="20"/>
              </w:rPr>
              <w:t>0.7486</w:t>
            </w:r>
          </w:p>
        </w:tc>
        <w:tc>
          <w:tcPr>
            <w:tcW w:w="1514" w:type="dxa"/>
            <w:gridSpan w:val="2"/>
          </w:tcPr>
          <w:p>
            <w:pPr>
              <w:pStyle w:val="TableParagraph"/>
              <w:spacing w:line="240" w:lineRule="auto" w:before="0"/>
              <w:ind w:left="106"/>
              <w:rPr>
                <w:rFonts w:ascii="Times New Roman"/>
                <w:sz w:val="20"/>
              </w:rPr>
            </w:pPr>
            <w:r>
              <w:rPr>
                <w:rFonts w:ascii="Times New Roman"/>
                <w:spacing w:val="-2"/>
                <w:sz w:val="20"/>
              </w:rPr>
              <w:t>Non-stationary</w:t>
            </w:r>
          </w:p>
        </w:tc>
      </w:tr>
      <w:tr>
        <w:trPr>
          <w:trHeight w:val="251" w:hRule="atLeast"/>
        </w:trPr>
        <w:tc>
          <w:tcPr>
            <w:tcW w:w="9545" w:type="dxa"/>
            <w:gridSpan w:val="10"/>
          </w:tcPr>
          <w:p>
            <w:pPr>
              <w:pStyle w:val="TableParagraph"/>
              <w:spacing w:line="240" w:lineRule="auto" w:before="0"/>
              <w:ind w:left="3" w:right="1"/>
              <w:jc w:val="center"/>
              <w:rPr>
                <w:rFonts w:ascii="Times New Roman"/>
                <w:b/>
                <w:sz w:val="20"/>
              </w:rPr>
            </w:pPr>
            <w:r>
              <w:rPr>
                <w:rFonts w:ascii="Times New Roman"/>
                <w:b/>
                <w:sz w:val="20"/>
              </w:rPr>
              <w:t>AT</w:t>
            </w:r>
            <w:r>
              <w:rPr>
                <w:rFonts w:ascii="Times New Roman"/>
                <w:b/>
                <w:spacing w:val="-5"/>
                <w:sz w:val="20"/>
              </w:rPr>
              <w:t> </w:t>
            </w:r>
            <w:r>
              <w:rPr>
                <w:rFonts w:ascii="Times New Roman"/>
                <w:b/>
                <w:sz w:val="20"/>
              </w:rPr>
              <w:t>FIRST</w:t>
            </w:r>
            <w:r>
              <w:rPr>
                <w:rFonts w:ascii="Times New Roman"/>
                <w:b/>
                <w:spacing w:val="-5"/>
                <w:sz w:val="20"/>
              </w:rPr>
              <w:t> </w:t>
            </w:r>
            <w:r>
              <w:rPr>
                <w:rFonts w:ascii="Times New Roman"/>
                <w:b/>
                <w:spacing w:val="-2"/>
                <w:sz w:val="20"/>
              </w:rPr>
              <w:t>DIFFERENCE</w:t>
            </w:r>
          </w:p>
        </w:tc>
      </w:tr>
      <w:tr>
        <w:trPr>
          <w:trHeight w:val="234" w:hRule="atLeast"/>
        </w:trPr>
        <w:tc>
          <w:tcPr>
            <w:tcW w:w="991" w:type="dxa"/>
            <w:vMerge w:val="restart"/>
          </w:tcPr>
          <w:p>
            <w:pPr>
              <w:pStyle w:val="TableParagraph"/>
              <w:spacing w:line="240" w:lineRule="auto" w:before="0"/>
              <w:ind w:left="463" w:right="103" w:hanging="334"/>
              <w:rPr>
                <w:rFonts w:ascii="Times New Roman"/>
                <w:b/>
                <w:sz w:val="20"/>
              </w:rPr>
            </w:pPr>
            <w:r>
              <w:rPr>
                <w:rFonts w:ascii="Times New Roman"/>
                <w:b/>
                <w:spacing w:val="-2"/>
                <w:sz w:val="20"/>
              </w:rPr>
              <w:t>Variable </w:t>
            </w:r>
            <w:r>
              <w:rPr>
                <w:rFonts w:ascii="Times New Roman"/>
                <w:b/>
                <w:spacing w:val="-10"/>
                <w:sz w:val="20"/>
              </w:rPr>
              <w:t>s</w:t>
            </w:r>
          </w:p>
        </w:tc>
        <w:tc>
          <w:tcPr>
            <w:tcW w:w="1260" w:type="dxa"/>
            <w:vMerge w:val="restart"/>
          </w:tcPr>
          <w:p>
            <w:pPr>
              <w:pStyle w:val="TableParagraph"/>
              <w:spacing w:line="240" w:lineRule="auto" w:before="0"/>
              <w:ind w:left="60" w:right="52"/>
              <w:jc w:val="center"/>
              <w:rPr>
                <w:rFonts w:ascii="Times New Roman"/>
                <w:b/>
                <w:sz w:val="20"/>
              </w:rPr>
            </w:pPr>
            <w:r>
              <w:rPr>
                <w:rFonts w:ascii="Times New Roman"/>
                <w:b/>
                <w:spacing w:val="-5"/>
                <w:sz w:val="20"/>
              </w:rPr>
              <w:t>ADF</w:t>
            </w:r>
          </w:p>
          <w:p>
            <w:pPr>
              <w:pStyle w:val="TableParagraph"/>
              <w:spacing w:line="240" w:lineRule="auto" w:before="0"/>
              <w:ind w:left="60" w:right="51"/>
              <w:jc w:val="center"/>
              <w:rPr>
                <w:rFonts w:ascii="Times New Roman"/>
                <w:b/>
                <w:sz w:val="20"/>
              </w:rPr>
            </w:pPr>
            <w:r>
              <w:rPr>
                <w:rFonts w:ascii="Times New Roman"/>
                <w:b/>
                <w:spacing w:val="-2"/>
                <w:sz w:val="20"/>
              </w:rPr>
              <w:t>Statistics</w:t>
            </w:r>
          </w:p>
        </w:tc>
        <w:tc>
          <w:tcPr>
            <w:tcW w:w="3896" w:type="dxa"/>
            <w:gridSpan w:val="3"/>
          </w:tcPr>
          <w:p>
            <w:pPr>
              <w:pStyle w:val="TableParagraph"/>
              <w:spacing w:line="215" w:lineRule="exact" w:before="0"/>
              <w:ind w:left="1318"/>
              <w:rPr>
                <w:rFonts w:ascii="Times New Roman"/>
                <w:b/>
                <w:sz w:val="20"/>
              </w:rPr>
            </w:pPr>
            <w:r>
              <w:rPr>
                <w:rFonts w:ascii="Times New Roman"/>
                <w:b/>
                <w:sz w:val="20"/>
              </w:rPr>
              <w:t>Critical</w:t>
            </w:r>
            <w:r>
              <w:rPr>
                <w:rFonts w:ascii="Times New Roman"/>
                <w:b/>
                <w:spacing w:val="-6"/>
                <w:sz w:val="20"/>
              </w:rPr>
              <w:t> </w:t>
            </w:r>
            <w:r>
              <w:rPr>
                <w:rFonts w:ascii="Times New Roman"/>
                <w:b/>
                <w:spacing w:val="-2"/>
                <w:sz w:val="20"/>
              </w:rPr>
              <w:t>Values</w:t>
            </w:r>
          </w:p>
        </w:tc>
        <w:tc>
          <w:tcPr>
            <w:tcW w:w="1235" w:type="dxa"/>
            <w:gridSpan w:val="2"/>
            <w:vMerge w:val="restart"/>
          </w:tcPr>
          <w:p>
            <w:pPr>
              <w:pStyle w:val="TableParagraph"/>
              <w:spacing w:line="240" w:lineRule="auto" w:before="0"/>
              <w:ind w:left="144" w:firstLine="108"/>
              <w:rPr>
                <w:rFonts w:ascii="Times New Roman"/>
                <w:b/>
                <w:sz w:val="20"/>
              </w:rPr>
            </w:pPr>
            <w:r>
              <w:rPr>
                <w:rFonts w:ascii="Times New Roman"/>
                <w:b/>
                <w:sz w:val="20"/>
              </w:rPr>
              <w:t>Order of </w:t>
            </w:r>
            <w:r>
              <w:rPr>
                <w:rFonts w:ascii="Times New Roman"/>
                <w:b/>
                <w:spacing w:val="-2"/>
                <w:sz w:val="20"/>
              </w:rPr>
              <w:t>Integration</w:t>
            </w:r>
          </w:p>
        </w:tc>
        <w:tc>
          <w:tcPr>
            <w:tcW w:w="993" w:type="dxa"/>
            <w:gridSpan w:val="2"/>
            <w:vMerge w:val="restart"/>
          </w:tcPr>
          <w:p>
            <w:pPr>
              <w:pStyle w:val="TableParagraph"/>
              <w:spacing w:line="240" w:lineRule="auto" w:before="0"/>
              <w:ind w:left="4" w:right="1"/>
              <w:jc w:val="center"/>
              <w:rPr>
                <w:rFonts w:ascii="Times New Roman" w:hAnsi="Times New Roman"/>
                <w:b/>
                <w:sz w:val="20"/>
              </w:rPr>
            </w:pPr>
            <w:r>
              <w:rPr>
                <w:rFonts w:ascii="Times New Roman" w:hAnsi="Times New Roman"/>
                <w:b/>
                <w:sz w:val="20"/>
              </w:rPr>
              <w:t>P</w:t>
            </w:r>
            <w:r>
              <w:rPr>
                <w:rFonts w:ascii="Times New Roman" w:hAnsi="Times New Roman"/>
                <w:b/>
                <w:spacing w:val="-1"/>
                <w:sz w:val="20"/>
              </w:rPr>
              <w:t> </w:t>
            </w:r>
            <w:r>
              <w:rPr>
                <w:rFonts w:ascii="Times New Roman" w:hAnsi="Times New Roman"/>
                <w:b/>
                <w:spacing w:val="-10"/>
                <w:sz w:val="20"/>
              </w:rPr>
              <w:t>–</w:t>
            </w:r>
          </w:p>
          <w:p>
            <w:pPr>
              <w:pStyle w:val="TableParagraph"/>
              <w:spacing w:line="240" w:lineRule="auto" w:before="0"/>
              <w:ind w:left="4"/>
              <w:jc w:val="center"/>
              <w:rPr>
                <w:rFonts w:ascii="Times New Roman"/>
                <w:b/>
                <w:sz w:val="20"/>
              </w:rPr>
            </w:pPr>
            <w:r>
              <w:rPr>
                <w:rFonts w:ascii="Times New Roman"/>
                <w:b/>
                <w:spacing w:val="-2"/>
                <w:sz w:val="20"/>
              </w:rPr>
              <w:t>Value</w:t>
            </w:r>
          </w:p>
        </w:tc>
        <w:tc>
          <w:tcPr>
            <w:tcW w:w="1170" w:type="dxa"/>
            <w:vMerge w:val="restart"/>
          </w:tcPr>
          <w:p>
            <w:pPr>
              <w:pStyle w:val="TableParagraph"/>
              <w:spacing w:line="240" w:lineRule="auto" w:before="0"/>
              <w:ind w:left="230"/>
              <w:rPr>
                <w:rFonts w:ascii="Times New Roman"/>
                <w:b/>
                <w:sz w:val="20"/>
              </w:rPr>
            </w:pPr>
            <w:r>
              <w:rPr>
                <w:rFonts w:ascii="Times New Roman"/>
                <w:b/>
                <w:spacing w:val="-2"/>
                <w:sz w:val="20"/>
              </w:rPr>
              <w:t>Remark</w:t>
            </w:r>
          </w:p>
        </w:tc>
      </w:tr>
      <w:tr>
        <w:trPr>
          <w:trHeight w:val="299" w:hRule="atLeast"/>
        </w:trPr>
        <w:tc>
          <w:tcPr>
            <w:tcW w:w="991" w:type="dxa"/>
            <w:vMerge/>
            <w:tcBorders>
              <w:top w:val="nil"/>
            </w:tcBorders>
          </w:tcPr>
          <w:p>
            <w:pPr>
              <w:rPr>
                <w:sz w:val="2"/>
                <w:szCs w:val="2"/>
              </w:rPr>
            </w:pPr>
          </w:p>
        </w:tc>
        <w:tc>
          <w:tcPr>
            <w:tcW w:w="1260" w:type="dxa"/>
            <w:vMerge/>
            <w:tcBorders>
              <w:top w:val="nil"/>
            </w:tcBorders>
          </w:tcPr>
          <w:p>
            <w:pPr>
              <w:rPr>
                <w:sz w:val="2"/>
                <w:szCs w:val="2"/>
              </w:rPr>
            </w:pPr>
          </w:p>
        </w:tc>
        <w:tc>
          <w:tcPr>
            <w:tcW w:w="1261" w:type="dxa"/>
          </w:tcPr>
          <w:p>
            <w:pPr>
              <w:pStyle w:val="TableParagraph"/>
              <w:spacing w:line="240" w:lineRule="auto" w:before="0"/>
              <w:ind w:left="11"/>
              <w:jc w:val="center"/>
              <w:rPr>
                <w:rFonts w:ascii="Times New Roman"/>
                <w:b/>
                <w:sz w:val="20"/>
              </w:rPr>
            </w:pPr>
            <w:r>
              <w:rPr>
                <w:rFonts w:ascii="Times New Roman"/>
                <w:b/>
                <w:spacing w:val="-5"/>
                <w:sz w:val="20"/>
              </w:rPr>
              <w:t>1%</w:t>
            </w:r>
          </w:p>
        </w:tc>
        <w:tc>
          <w:tcPr>
            <w:tcW w:w="1385" w:type="dxa"/>
          </w:tcPr>
          <w:p>
            <w:pPr>
              <w:pStyle w:val="TableParagraph"/>
              <w:spacing w:line="240" w:lineRule="auto" w:before="0"/>
              <w:ind w:left="10"/>
              <w:jc w:val="center"/>
              <w:rPr>
                <w:rFonts w:ascii="Times New Roman"/>
                <w:b/>
                <w:sz w:val="20"/>
              </w:rPr>
            </w:pPr>
            <w:r>
              <w:rPr>
                <w:rFonts w:ascii="Times New Roman"/>
                <w:b/>
                <w:spacing w:val="-5"/>
                <w:sz w:val="20"/>
              </w:rPr>
              <w:t>5%</w:t>
            </w:r>
          </w:p>
        </w:tc>
        <w:tc>
          <w:tcPr>
            <w:tcW w:w="1250" w:type="dxa"/>
          </w:tcPr>
          <w:p>
            <w:pPr>
              <w:pStyle w:val="TableParagraph"/>
              <w:spacing w:line="240" w:lineRule="auto" w:before="0"/>
              <w:ind w:left="50" w:right="15"/>
              <w:jc w:val="center"/>
              <w:rPr>
                <w:rFonts w:ascii="Times New Roman"/>
                <w:b/>
                <w:sz w:val="20"/>
              </w:rPr>
            </w:pPr>
            <w:r>
              <w:rPr>
                <w:rFonts w:ascii="Times New Roman"/>
                <w:b/>
                <w:spacing w:val="-5"/>
                <w:sz w:val="20"/>
              </w:rPr>
              <w:t>10%</w:t>
            </w:r>
          </w:p>
        </w:tc>
        <w:tc>
          <w:tcPr>
            <w:tcW w:w="1235" w:type="dxa"/>
            <w:gridSpan w:val="2"/>
            <w:vMerge/>
            <w:tcBorders>
              <w:top w:val="nil"/>
            </w:tcBorders>
          </w:tcPr>
          <w:p>
            <w:pPr>
              <w:rPr>
                <w:sz w:val="2"/>
                <w:szCs w:val="2"/>
              </w:rPr>
            </w:pPr>
          </w:p>
        </w:tc>
        <w:tc>
          <w:tcPr>
            <w:tcW w:w="993" w:type="dxa"/>
            <w:gridSpan w:val="2"/>
            <w:vMerge/>
            <w:tcBorders>
              <w:top w:val="nil"/>
            </w:tcBorders>
          </w:tcPr>
          <w:p>
            <w:pPr>
              <w:rPr>
                <w:sz w:val="2"/>
                <w:szCs w:val="2"/>
              </w:rPr>
            </w:pPr>
          </w:p>
        </w:tc>
        <w:tc>
          <w:tcPr>
            <w:tcW w:w="1170" w:type="dxa"/>
            <w:vMerge/>
            <w:tcBorders>
              <w:top w:val="nil"/>
            </w:tcBorders>
          </w:tcPr>
          <w:p>
            <w:pPr>
              <w:rPr>
                <w:sz w:val="2"/>
                <w:szCs w:val="2"/>
              </w:rPr>
            </w:pPr>
          </w:p>
        </w:tc>
      </w:tr>
      <w:tr>
        <w:trPr>
          <w:trHeight w:val="251" w:hRule="atLeast"/>
        </w:trPr>
        <w:tc>
          <w:tcPr>
            <w:tcW w:w="991" w:type="dxa"/>
          </w:tcPr>
          <w:p>
            <w:pPr>
              <w:pStyle w:val="TableParagraph"/>
              <w:spacing w:line="240" w:lineRule="auto" w:before="0"/>
              <w:ind w:left="24" w:right="5"/>
              <w:jc w:val="center"/>
              <w:rPr>
                <w:rFonts w:ascii="Times New Roman"/>
                <w:sz w:val="20"/>
              </w:rPr>
            </w:pPr>
            <w:r>
              <w:rPr>
                <w:rFonts w:ascii="Times New Roman"/>
                <w:spacing w:val="-4"/>
                <w:sz w:val="20"/>
              </w:rPr>
              <w:t>RGDP</w:t>
            </w:r>
          </w:p>
        </w:tc>
        <w:tc>
          <w:tcPr>
            <w:tcW w:w="1260" w:type="dxa"/>
          </w:tcPr>
          <w:p>
            <w:pPr>
              <w:pStyle w:val="TableParagraph"/>
              <w:spacing w:line="240" w:lineRule="auto" w:before="0"/>
              <w:ind w:left="60" w:right="53"/>
              <w:jc w:val="center"/>
              <w:rPr>
                <w:rFonts w:ascii="Times New Roman"/>
                <w:sz w:val="20"/>
              </w:rPr>
            </w:pPr>
            <w:r>
              <w:rPr>
                <w:rFonts w:ascii="Times New Roman"/>
                <w:spacing w:val="-2"/>
                <w:sz w:val="20"/>
              </w:rPr>
              <w:t>-4.146308</w:t>
            </w:r>
          </w:p>
        </w:tc>
        <w:tc>
          <w:tcPr>
            <w:tcW w:w="1261" w:type="dxa"/>
          </w:tcPr>
          <w:p>
            <w:pPr>
              <w:pStyle w:val="TableParagraph"/>
              <w:spacing w:line="240" w:lineRule="auto" w:before="0"/>
              <w:ind w:left="11" w:right="4"/>
              <w:jc w:val="center"/>
              <w:rPr>
                <w:rFonts w:ascii="Times New Roman"/>
                <w:sz w:val="20"/>
              </w:rPr>
            </w:pPr>
            <w:r>
              <w:rPr>
                <w:rFonts w:ascii="Times New Roman"/>
                <w:spacing w:val="-2"/>
                <w:sz w:val="20"/>
              </w:rPr>
              <w:t>-3.646342</w:t>
            </w:r>
          </w:p>
        </w:tc>
        <w:tc>
          <w:tcPr>
            <w:tcW w:w="1385" w:type="dxa"/>
          </w:tcPr>
          <w:p>
            <w:pPr>
              <w:pStyle w:val="TableParagraph"/>
              <w:spacing w:line="240" w:lineRule="auto" w:before="0"/>
              <w:ind w:left="10" w:right="4"/>
              <w:jc w:val="center"/>
              <w:rPr>
                <w:rFonts w:ascii="Times New Roman"/>
                <w:sz w:val="20"/>
              </w:rPr>
            </w:pPr>
            <w:r>
              <w:rPr>
                <w:rFonts w:ascii="Times New Roman"/>
                <w:spacing w:val="-2"/>
                <w:sz w:val="20"/>
              </w:rPr>
              <w:t>-2.954021</w:t>
            </w:r>
          </w:p>
        </w:tc>
        <w:tc>
          <w:tcPr>
            <w:tcW w:w="1250" w:type="dxa"/>
          </w:tcPr>
          <w:p>
            <w:pPr>
              <w:pStyle w:val="TableParagraph"/>
              <w:spacing w:line="240" w:lineRule="auto" w:before="0"/>
              <w:ind w:left="46" w:right="15"/>
              <w:jc w:val="center"/>
              <w:rPr>
                <w:rFonts w:ascii="Times New Roman"/>
                <w:sz w:val="20"/>
              </w:rPr>
            </w:pPr>
            <w:r>
              <w:rPr>
                <w:rFonts w:ascii="Times New Roman"/>
                <w:spacing w:val="-2"/>
                <w:sz w:val="20"/>
              </w:rPr>
              <w:t>-2.615817</w:t>
            </w:r>
          </w:p>
        </w:tc>
        <w:tc>
          <w:tcPr>
            <w:tcW w:w="1235" w:type="dxa"/>
            <w:gridSpan w:val="2"/>
          </w:tcPr>
          <w:p>
            <w:pPr>
              <w:pStyle w:val="TableParagraph"/>
              <w:spacing w:line="240" w:lineRule="auto" w:before="0"/>
              <w:ind w:left="31"/>
              <w:jc w:val="center"/>
              <w:rPr>
                <w:rFonts w:ascii="Times New Roman"/>
                <w:sz w:val="20"/>
              </w:rPr>
            </w:pPr>
            <w:r>
              <w:rPr>
                <w:rFonts w:ascii="Times New Roman"/>
                <w:spacing w:val="-4"/>
                <w:sz w:val="20"/>
              </w:rPr>
              <w:t>1(1)</w:t>
            </w:r>
          </w:p>
        </w:tc>
        <w:tc>
          <w:tcPr>
            <w:tcW w:w="993" w:type="dxa"/>
            <w:gridSpan w:val="2"/>
          </w:tcPr>
          <w:p>
            <w:pPr>
              <w:pStyle w:val="TableParagraph"/>
              <w:spacing w:line="240" w:lineRule="auto" w:before="0"/>
              <w:ind w:left="244"/>
              <w:rPr>
                <w:rFonts w:ascii="Times New Roman"/>
                <w:sz w:val="20"/>
              </w:rPr>
            </w:pPr>
            <w:r>
              <w:rPr>
                <w:rFonts w:ascii="Times New Roman"/>
                <w:spacing w:val="-2"/>
                <w:sz w:val="20"/>
              </w:rPr>
              <w:t>0.0009</w:t>
            </w:r>
          </w:p>
        </w:tc>
        <w:tc>
          <w:tcPr>
            <w:tcW w:w="1170" w:type="dxa"/>
          </w:tcPr>
          <w:p>
            <w:pPr>
              <w:pStyle w:val="TableParagraph"/>
              <w:spacing w:line="240" w:lineRule="auto" w:before="0"/>
              <w:ind w:left="1"/>
              <w:jc w:val="center"/>
              <w:rPr>
                <w:rFonts w:ascii="Times New Roman"/>
                <w:sz w:val="20"/>
              </w:rPr>
            </w:pPr>
            <w:r>
              <w:rPr>
                <w:rFonts w:ascii="Times New Roman"/>
                <w:spacing w:val="-2"/>
                <w:sz w:val="20"/>
              </w:rPr>
              <w:t>Stationary</w:t>
            </w:r>
          </w:p>
        </w:tc>
      </w:tr>
      <w:tr>
        <w:trPr>
          <w:trHeight w:val="251" w:hRule="atLeast"/>
        </w:trPr>
        <w:tc>
          <w:tcPr>
            <w:tcW w:w="991" w:type="dxa"/>
          </w:tcPr>
          <w:p>
            <w:pPr>
              <w:pStyle w:val="TableParagraph"/>
              <w:spacing w:line="240" w:lineRule="auto" w:before="0"/>
              <w:ind w:left="24" w:right="3"/>
              <w:jc w:val="center"/>
              <w:rPr>
                <w:rFonts w:ascii="Times New Roman"/>
                <w:sz w:val="20"/>
              </w:rPr>
            </w:pPr>
            <w:r>
              <w:rPr>
                <w:rFonts w:ascii="Times New Roman"/>
                <w:spacing w:val="-5"/>
                <w:sz w:val="20"/>
              </w:rPr>
              <w:t>FDI</w:t>
            </w:r>
          </w:p>
        </w:tc>
        <w:tc>
          <w:tcPr>
            <w:tcW w:w="1260" w:type="dxa"/>
          </w:tcPr>
          <w:p>
            <w:pPr>
              <w:pStyle w:val="TableParagraph"/>
              <w:spacing w:line="240" w:lineRule="auto" w:before="0"/>
              <w:ind w:left="60" w:right="53"/>
              <w:jc w:val="center"/>
              <w:rPr>
                <w:rFonts w:ascii="Times New Roman"/>
                <w:sz w:val="20"/>
              </w:rPr>
            </w:pPr>
            <w:r>
              <w:rPr>
                <w:rFonts w:ascii="Times New Roman"/>
                <w:spacing w:val="-2"/>
                <w:sz w:val="20"/>
              </w:rPr>
              <w:t>-4.154537</w:t>
            </w:r>
          </w:p>
        </w:tc>
        <w:tc>
          <w:tcPr>
            <w:tcW w:w="1261" w:type="dxa"/>
          </w:tcPr>
          <w:p>
            <w:pPr>
              <w:pStyle w:val="TableParagraph"/>
              <w:spacing w:line="240" w:lineRule="auto" w:before="0"/>
              <w:ind w:left="11" w:right="4"/>
              <w:jc w:val="center"/>
              <w:rPr>
                <w:rFonts w:ascii="Times New Roman"/>
                <w:sz w:val="20"/>
              </w:rPr>
            </w:pPr>
            <w:r>
              <w:rPr>
                <w:rFonts w:ascii="Times New Roman"/>
                <w:spacing w:val="-2"/>
                <w:sz w:val="20"/>
              </w:rPr>
              <w:t>-3.646342</w:t>
            </w:r>
          </w:p>
        </w:tc>
        <w:tc>
          <w:tcPr>
            <w:tcW w:w="1385" w:type="dxa"/>
          </w:tcPr>
          <w:p>
            <w:pPr>
              <w:pStyle w:val="TableParagraph"/>
              <w:spacing w:line="240" w:lineRule="auto" w:before="0"/>
              <w:ind w:left="10" w:right="4"/>
              <w:jc w:val="center"/>
              <w:rPr>
                <w:rFonts w:ascii="Times New Roman"/>
                <w:sz w:val="20"/>
              </w:rPr>
            </w:pPr>
            <w:r>
              <w:rPr>
                <w:rFonts w:ascii="Times New Roman"/>
                <w:spacing w:val="-2"/>
                <w:sz w:val="20"/>
              </w:rPr>
              <w:t>-2.954021</w:t>
            </w:r>
          </w:p>
        </w:tc>
        <w:tc>
          <w:tcPr>
            <w:tcW w:w="1250" w:type="dxa"/>
          </w:tcPr>
          <w:p>
            <w:pPr>
              <w:pStyle w:val="TableParagraph"/>
              <w:spacing w:line="240" w:lineRule="auto" w:before="0"/>
              <w:ind w:left="46" w:right="15"/>
              <w:jc w:val="center"/>
              <w:rPr>
                <w:rFonts w:ascii="Times New Roman"/>
                <w:sz w:val="20"/>
              </w:rPr>
            </w:pPr>
            <w:r>
              <w:rPr>
                <w:rFonts w:ascii="Times New Roman"/>
                <w:spacing w:val="-2"/>
                <w:sz w:val="20"/>
              </w:rPr>
              <w:t>-2.615817</w:t>
            </w:r>
          </w:p>
        </w:tc>
        <w:tc>
          <w:tcPr>
            <w:tcW w:w="1235" w:type="dxa"/>
            <w:gridSpan w:val="2"/>
          </w:tcPr>
          <w:p>
            <w:pPr>
              <w:pStyle w:val="TableParagraph"/>
              <w:spacing w:line="240" w:lineRule="auto" w:before="0"/>
              <w:ind w:left="31"/>
              <w:jc w:val="center"/>
              <w:rPr>
                <w:rFonts w:ascii="Times New Roman"/>
                <w:sz w:val="20"/>
              </w:rPr>
            </w:pPr>
            <w:r>
              <w:rPr>
                <w:rFonts w:ascii="Times New Roman"/>
                <w:spacing w:val="-4"/>
                <w:sz w:val="20"/>
              </w:rPr>
              <w:t>1(1)</w:t>
            </w:r>
          </w:p>
        </w:tc>
        <w:tc>
          <w:tcPr>
            <w:tcW w:w="993" w:type="dxa"/>
            <w:gridSpan w:val="2"/>
          </w:tcPr>
          <w:p>
            <w:pPr>
              <w:pStyle w:val="TableParagraph"/>
              <w:spacing w:line="240" w:lineRule="auto" w:before="0"/>
              <w:ind w:left="217"/>
              <w:rPr>
                <w:rFonts w:ascii="Times New Roman"/>
                <w:sz w:val="20"/>
              </w:rPr>
            </w:pPr>
            <w:r>
              <w:rPr>
                <w:rFonts w:ascii="Times New Roman"/>
                <w:spacing w:val="-2"/>
                <w:sz w:val="20"/>
              </w:rPr>
              <w:t>0.0027</w:t>
            </w:r>
          </w:p>
        </w:tc>
        <w:tc>
          <w:tcPr>
            <w:tcW w:w="1170" w:type="dxa"/>
          </w:tcPr>
          <w:p>
            <w:pPr>
              <w:pStyle w:val="TableParagraph"/>
              <w:spacing w:line="240" w:lineRule="auto" w:before="0"/>
              <w:ind w:left="1"/>
              <w:jc w:val="center"/>
              <w:rPr>
                <w:rFonts w:ascii="Times New Roman"/>
                <w:sz w:val="20"/>
              </w:rPr>
            </w:pPr>
            <w:r>
              <w:rPr>
                <w:rFonts w:ascii="Times New Roman"/>
                <w:spacing w:val="-2"/>
                <w:sz w:val="20"/>
              </w:rPr>
              <w:t>Stationary</w:t>
            </w:r>
          </w:p>
        </w:tc>
      </w:tr>
      <w:tr>
        <w:trPr>
          <w:trHeight w:val="249" w:hRule="atLeast"/>
        </w:trPr>
        <w:tc>
          <w:tcPr>
            <w:tcW w:w="991" w:type="dxa"/>
          </w:tcPr>
          <w:p>
            <w:pPr>
              <w:pStyle w:val="TableParagraph"/>
              <w:spacing w:line="229" w:lineRule="exact" w:before="0"/>
              <w:ind w:left="24" w:right="4"/>
              <w:jc w:val="center"/>
              <w:rPr>
                <w:rFonts w:ascii="Times New Roman"/>
                <w:sz w:val="20"/>
              </w:rPr>
            </w:pPr>
            <w:r>
              <w:rPr>
                <w:rFonts w:ascii="Times New Roman"/>
                <w:spacing w:val="-5"/>
                <w:sz w:val="20"/>
              </w:rPr>
              <w:t>FPI</w:t>
            </w:r>
          </w:p>
        </w:tc>
        <w:tc>
          <w:tcPr>
            <w:tcW w:w="1260" w:type="dxa"/>
          </w:tcPr>
          <w:p>
            <w:pPr>
              <w:pStyle w:val="TableParagraph"/>
              <w:spacing w:line="229" w:lineRule="exact" w:before="0"/>
              <w:ind w:left="60" w:right="53"/>
              <w:jc w:val="center"/>
              <w:rPr>
                <w:rFonts w:ascii="Times New Roman"/>
                <w:sz w:val="20"/>
              </w:rPr>
            </w:pPr>
            <w:r>
              <w:rPr>
                <w:rFonts w:ascii="Times New Roman"/>
                <w:spacing w:val="-2"/>
                <w:sz w:val="20"/>
              </w:rPr>
              <w:t>-4.840869</w:t>
            </w:r>
          </w:p>
        </w:tc>
        <w:tc>
          <w:tcPr>
            <w:tcW w:w="1261" w:type="dxa"/>
          </w:tcPr>
          <w:p>
            <w:pPr>
              <w:pStyle w:val="TableParagraph"/>
              <w:spacing w:line="229" w:lineRule="exact" w:before="0"/>
              <w:ind w:left="11" w:right="4"/>
              <w:jc w:val="center"/>
              <w:rPr>
                <w:rFonts w:ascii="Times New Roman"/>
                <w:sz w:val="20"/>
              </w:rPr>
            </w:pPr>
            <w:r>
              <w:rPr>
                <w:rFonts w:ascii="Times New Roman"/>
                <w:spacing w:val="-2"/>
                <w:sz w:val="20"/>
              </w:rPr>
              <w:t>-3.646342</w:t>
            </w:r>
          </w:p>
        </w:tc>
        <w:tc>
          <w:tcPr>
            <w:tcW w:w="1385" w:type="dxa"/>
          </w:tcPr>
          <w:p>
            <w:pPr>
              <w:pStyle w:val="TableParagraph"/>
              <w:spacing w:line="229" w:lineRule="exact" w:before="0"/>
              <w:ind w:left="10" w:right="4"/>
              <w:jc w:val="center"/>
              <w:rPr>
                <w:rFonts w:ascii="Times New Roman"/>
                <w:sz w:val="20"/>
              </w:rPr>
            </w:pPr>
            <w:r>
              <w:rPr>
                <w:rFonts w:ascii="Times New Roman"/>
                <w:spacing w:val="-2"/>
                <w:sz w:val="20"/>
              </w:rPr>
              <w:t>-2.954021</w:t>
            </w:r>
          </w:p>
        </w:tc>
        <w:tc>
          <w:tcPr>
            <w:tcW w:w="1250" w:type="dxa"/>
          </w:tcPr>
          <w:p>
            <w:pPr>
              <w:pStyle w:val="TableParagraph"/>
              <w:spacing w:line="229" w:lineRule="exact" w:before="0"/>
              <w:ind w:left="46" w:right="15"/>
              <w:jc w:val="center"/>
              <w:rPr>
                <w:rFonts w:ascii="Times New Roman"/>
                <w:sz w:val="20"/>
              </w:rPr>
            </w:pPr>
            <w:r>
              <w:rPr>
                <w:rFonts w:ascii="Times New Roman"/>
                <w:spacing w:val="-2"/>
                <w:sz w:val="20"/>
              </w:rPr>
              <w:t>-2.615817</w:t>
            </w:r>
          </w:p>
        </w:tc>
        <w:tc>
          <w:tcPr>
            <w:tcW w:w="1235" w:type="dxa"/>
            <w:gridSpan w:val="2"/>
          </w:tcPr>
          <w:p>
            <w:pPr>
              <w:pStyle w:val="TableParagraph"/>
              <w:spacing w:line="229" w:lineRule="exact" w:before="0"/>
              <w:ind w:left="31"/>
              <w:jc w:val="center"/>
              <w:rPr>
                <w:rFonts w:ascii="Times New Roman"/>
                <w:sz w:val="20"/>
              </w:rPr>
            </w:pPr>
            <w:r>
              <w:rPr>
                <w:rFonts w:ascii="Times New Roman"/>
                <w:spacing w:val="-4"/>
                <w:sz w:val="20"/>
              </w:rPr>
              <w:t>1(1)</w:t>
            </w:r>
          </w:p>
        </w:tc>
        <w:tc>
          <w:tcPr>
            <w:tcW w:w="993" w:type="dxa"/>
            <w:gridSpan w:val="2"/>
          </w:tcPr>
          <w:p>
            <w:pPr>
              <w:pStyle w:val="TableParagraph"/>
              <w:spacing w:line="229" w:lineRule="exact" w:before="0"/>
              <w:ind w:left="244"/>
              <w:rPr>
                <w:rFonts w:ascii="Times New Roman"/>
                <w:sz w:val="20"/>
              </w:rPr>
            </w:pPr>
            <w:r>
              <w:rPr>
                <w:rFonts w:ascii="Times New Roman"/>
                <w:spacing w:val="-2"/>
                <w:sz w:val="20"/>
              </w:rPr>
              <w:t>0.0004</w:t>
            </w:r>
          </w:p>
        </w:tc>
        <w:tc>
          <w:tcPr>
            <w:tcW w:w="1170" w:type="dxa"/>
          </w:tcPr>
          <w:p>
            <w:pPr>
              <w:pStyle w:val="TableParagraph"/>
              <w:spacing w:line="229" w:lineRule="exact" w:before="0"/>
              <w:ind w:left="1"/>
              <w:jc w:val="center"/>
              <w:rPr>
                <w:rFonts w:ascii="Times New Roman"/>
                <w:sz w:val="20"/>
              </w:rPr>
            </w:pPr>
            <w:r>
              <w:rPr>
                <w:rFonts w:ascii="Times New Roman"/>
                <w:spacing w:val="-2"/>
                <w:sz w:val="20"/>
              </w:rPr>
              <w:t>Stationary</w:t>
            </w:r>
          </w:p>
        </w:tc>
      </w:tr>
      <w:tr>
        <w:trPr>
          <w:trHeight w:val="251" w:hRule="atLeast"/>
        </w:trPr>
        <w:tc>
          <w:tcPr>
            <w:tcW w:w="991" w:type="dxa"/>
          </w:tcPr>
          <w:p>
            <w:pPr>
              <w:pStyle w:val="TableParagraph"/>
              <w:spacing w:line="240" w:lineRule="auto" w:before="0"/>
              <w:ind w:left="24" w:right="3"/>
              <w:jc w:val="center"/>
              <w:rPr>
                <w:rFonts w:ascii="Times New Roman"/>
                <w:sz w:val="20"/>
              </w:rPr>
            </w:pPr>
            <w:r>
              <w:rPr>
                <w:rFonts w:ascii="Times New Roman"/>
                <w:spacing w:val="-5"/>
                <w:sz w:val="20"/>
              </w:rPr>
              <w:t>ODA</w:t>
            </w:r>
          </w:p>
        </w:tc>
        <w:tc>
          <w:tcPr>
            <w:tcW w:w="1260" w:type="dxa"/>
          </w:tcPr>
          <w:p>
            <w:pPr>
              <w:pStyle w:val="TableParagraph"/>
              <w:spacing w:line="240" w:lineRule="auto" w:before="0"/>
              <w:ind w:left="60" w:right="53"/>
              <w:jc w:val="center"/>
              <w:rPr>
                <w:rFonts w:ascii="Times New Roman"/>
                <w:sz w:val="20"/>
              </w:rPr>
            </w:pPr>
            <w:r>
              <w:rPr>
                <w:rFonts w:ascii="Times New Roman"/>
                <w:spacing w:val="-2"/>
                <w:sz w:val="20"/>
              </w:rPr>
              <w:t>-5.567952</w:t>
            </w:r>
          </w:p>
        </w:tc>
        <w:tc>
          <w:tcPr>
            <w:tcW w:w="1261" w:type="dxa"/>
          </w:tcPr>
          <w:p>
            <w:pPr>
              <w:pStyle w:val="TableParagraph"/>
              <w:spacing w:line="240" w:lineRule="auto" w:before="0"/>
              <w:ind w:left="11" w:right="4"/>
              <w:jc w:val="center"/>
              <w:rPr>
                <w:rFonts w:ascii="Times New Roman"/>
                <w:sz w:val="20"/>
              </w:rPr>
            </w:pPr>
            <w:r>
              <w:rPr>
                <w:rFonts w:ascii="Times New Roman"/>
                <w:spacing w:val="-2"/>
                <w:sz w:val="20"/>
              </w:rPr>
              <w:t>-3.646342</w:t>
            </w:r>
          </w:p>
        </w:tc>
        <w:tc>
          <w:tcPr>
            <w:tcW w:w="1385" w:type="dxa"/>
          </w:tcPr>
          <w:p>
            <w:pPr>
              <w:pStyle w:val="TableParagraph"/>
              <w:spacing w:line="240" w:lineRule="auto" w:before="0"/>
              <w:ind w:left="10" w:right="4"/>
              <w:jc w:val="center"/>
              <w:rPr>
                <w:rFonts w:ascii="Times New Roman"/>
                <w:sz w:val="20"/>
              </w:rPr>
            </w:pPr>
            <w:r>
              <w:rPr>
                <w:rFonts w:ascii="Times New Roman"/>
                <w:spacing w:val="-2"/>
                <w:sz w:val="20"/>
              </w:rPr>
              <w:t>-2.954021</w:t>
            </w:r>
          </w:p>
        </w:tc>
        <w:tc>
          <w:tcPr>
            <w:tcW w:w="1250" w:type="dxa"/>
          </w:tcPr>
          <w:p>
            <w:pPr>
              <w:pStyle w:val="TableParagraph"/>
              <w:spacing w:line="240" w:lineRule="auto" w:before="0"/>
              <w:ind w:left="46" w:right="15"/>
              <w:jc w:val="center"/>
              <w:rPr>
                <w:rFonts w:ascii="Times New Roman"/>
                <w:sz w:val="20"/>
              </w:rPr>
            </w:pPr>
            <w:r>
              <w:rPr>
                <w:rFonts w:ascii="Times New Roman"/>
                <w:spacing w:val="-2"/>
                <w:sz w:val="20"/>
              </w:rPr>
              <w:t>--2.615817</w:t>
            </w:r>
          </w:p>
        </w:tc>
        <w:tc>
          <w:tcPr>
            <w:tcW w:w="1235" w:type="dxa"/>
            <w:gridSpan w:val="2"/>
          </w:tcPr>
          <w:p>
            <w:pPr>
              <w:pStyle w:val="TableParagraph"/>
              <w:spacing w:line="240" w:lineRule="auto" w:before="0"/>
              <w:ind w:left="31"/>
              <w:jc w:val="center"/>
              <w:rPr>
                <w:rFonts w:ascii="Times New Roman"/>
                <w:sz w:val="20"/>
              </w:rPr>
            </w:pPr>
            <w:r>
              <w:rPr>
                <w:rFonts w:ascii="Times New Roman"/>
                <w:spacing w:val="-4"/>
                <w:sz w:val="20"/>
              </w:rPr>
              <w:t>1(1)</w:t>
            </w:r>
          </w:p>
        </w:tc>
        <w:tc>
          <w:tcPr>
            <w:tcW w:w="993" w:type="dxa"/>
            <w:gridSpan w:val="2"/>
          </w:tcPr>
          <w:p>
            <w:pPr>
              <w:pStyle w:val="TableParagraph"/>
              <w:spacing w:line="240" w:lineRule="auto" w:before="0"/>
              <w:ind w:left="244"/>
              <w:rPr>
                <w:rFonts w:ascii="Times New Roman"/>
                <w:sz w:val="20"/>
              </w:rPr>
            </w:pPr>
            <w:r>
              <w:rPr>
                <w:rFonts w:ascii="Times New Roman"/>
                <w:spacing w:val="-2"/>
                <w:sz w:val="20"/>
              </w:rPr>
              <w:t>0.0001</w:t>
            </w:r>
          </w:p>
        </w:tc>
        <w:tc>
          <w:tcPr>
            <w:tcW w:w="1170" w:type="dxa"/>
          </w:tcPr>
          <w:p>
            <w:pPr>
              <w:pStyle w:val="TableParagraph"/>
              <w:spacing w:line="240" w:lineRule="auto" w:before="0"/>
              <w:ind w:left="1"/>
              <w:jc w:val="center"/>
              <w:rPr>
                <w:rFonts w:ascii="Times New Roman"/>
                <w:sz w:val="20"/>
              </w:rPr>
            </w:pPr>
            <w:r>
              <w:rPr>
                <w:rFonts w:ascii="Times New Roman"/>
                <w:spacing w:val="-2"/>
                <w:sz w:val="20"/>
              </w:rPr>
              <w:t>Stationary</w:t>
            </w:r>
          </w:p>
        </w:tc>
      </w:tr>
      <w:tr>
        <w:trPr>
          <w:trHeight w:val="251" w:hRule="atLeast"/>
        </w:trPr>
        <w:tc>
          <w:tcPr>
            <w:tcW w:w="991" w:type="dxa"/>
          </w:tcPr>
          <w:p>
            <w:pPr>
              <w:pStyle w:val="TableParagraph"/>
              <w:spacing w:line="240" w:lineRule="auto" w:before="0"/>
              <w:ind w:left="24"/>
              <w:jc w:val="center"/>
              <w:rPr>
                <w:rFonts w:ascii="Times New Roman"/>
                <w:sz w:val="20"/>
              </w:rPr>
            </w:pPr>
            <w:r>
              <w:rPr>
                <w:rFonts w:ascii="Times New Roman"/>
                <w:spacing w:val="-5"/>
                <w:sz w:val="20"/>
              </w:rPr>
              <w:t>TOP</w:t>
            </w:r>
          </w:p>
        </w:tc>
        <w:tc>
          <w:tcPr>
            <w:tcW w:w="1260" w:type="dxa"/>
          </w:tcPr>
          <w:p>
            <w:pPr>
              <w:pStyle w:val="TableParagraph"/>
              <w:spacing w:line="240" w:lineRule="auto" w:before="0"/>
              <w:ind w:left="60" w:right="53"/>
              <w:jc w:val="center"/>
              <w:rPr>
                <w:rFonts w:ascii="Times New Roman"/>
                <w:sz w:val="20"/>
              </w:rPr>
            </w:pPr>
            <w:r>
              <w:rPr>
                <w:rFonts w:ascii="Times New Roman"/>
                <w:spacing w:val="-2"/>
                <w:sz w:val="20"/>
              </w:rPr>
              <w:t>-4.349859</w:t>
            </w:r>
          </w:p>
        </w:tc>
        <w:tc>
          <w:tcPr>
            <w:tcW w:w="1261" w:type="dxa"/>
          </w:tcPr>
          <w:p>
            <w:pPr>
              <w:pStyle w:val="TableParagraph"/>
              <w:spacing w:line="240" w:lineRule="auto" w:before="0"/>
              <w:ind w:left="11" w:right="4"/>
              <w:jc w:val="center"/>
              <w:rPr>
                <w:rFonts w:ascii="Times New Roman"/>
                <w:sz w:val="20"/>
              </w:rPr>
            </w:pPr>
            <w:r>
              <w:rPr>
                <w:rFonts w:ascii="Times New Roman"/>
                <w:spacing w:val="-2"/>
                <w:sz w:val="20"/>
              </w:rPr>
              <w:t>-3.670170</w:t>
            </w:r>
          </w:p>
        </w:tc>
        <w:tc>
          <w:tcPr>
            <w:tcW w:w="1385" w:type="dxa"/>
          </w:tcPr>
          <w:p>
            <w:pPr>
              <w:pStyle w:val="TableParagraph"/>
              <w:spacing w:line="240" w:lineRule="auto" w:before="0"/>
              <w:ind w:left="10" w:right="4"/>
              <w:jc w:val="center"/>
              <w:rPr>
                <w:rFonts w:ascii="Times New Roman"/>
                <w:sz w:val="20"/>
              </w:rPr>
            </w:pPr>
            <w:r>
              <w:rPr>
                <w:rFonts w:ascii="Times New Roman"/>
                <w:spacing w:val="-2"/>
                <w:sz w:val="20"/>
              </w:rPr>
              <w:t>-2.963972</w:t>
            </w:r>
          </w:p>
        </w:tc>
        <w:tc>
          <w:tcPr>
            <w:tcW w:w="1250" w:type="dxa"/>
          </w:tcPr>
          <w:p>
            <w:pPr>
              <w:pStyle w:val="TableParagraph"/>
              <w:spacing w:line="240" w:lineRule="auto" w:before="0"/>
              <w:ind w:left="46" w:right="15"/>
              <w:jc w:val="center"/>
              <w:rPr>
                <w:rFonts w:ascii="Times New Roman"/>
                <w:sz w:val="20"/>
              </w:rPr>
            </w:pPr>
            <w:r>
              <w:rPr>
                <w:rFonts w:ascii="Times New Roman"/>
                <w:spacing w:val="-2"/>
                <w:sz w:val="20"/>
              </w:rPr>
              <w:t>-2.621007</w:t>
            </w:r>
          </w:p>
        </w:tc>
        <w:tc>
          <w:tcPr>
            <w:tcW w:w="1235" w:type="dxa"/>
            <w:gridSpan w:val="2"/>
          </w:tcPr>
          <w:p>
            <w:pPr>
              <w:pStyle w:val="TableParagraph"/>
              <w:spacing w:line="240" w:lineRule="auto" w:before="0"/>
              <w:ind w:left="31"/>
              <w:jc w:val="center"/>
              <w:rPr>
                <w:rFonts w:ascii="Times New Roman"/>
                <w:sz w:val="20"/>
              </w:rPr>
            </w:pPr>
            <w:r>
              <w:rPr>
                <w:rFonts w:ascii="Times New Roman"/>
                <w:spacing w:val="-4"/>
                <w:sz w:val="20"/>
              </w:rPr>
              <w:t>1(1)</w:t>
            </w:r>
          </w:p>
        </w:tc>
        <w:tc>
          <w:tcPr>
            <w:tcW w:w="993" w:type="dxa"/>
            <w:gridSpan w:val="2"/>
          </w:tcPr>
          <w:p>
            <w:pPr>
              <w:pStyle w:val="TableParagraph"/>
              <w:spacing w:line="240" w:lineRule="auto" w:before="0"/>
              <w:ind w:left="217"/>
              <w:rPr>
                <w:rFonts w:ascii="Times New Roman"/>
                <w:sz w:val="20"/>
              </w:rPr>
            </w:pPr>
            <w:r>
              <w:rPr>
                <w:rFonts w:ascii="Times New Roman"/>
                <w:spacing w:val="-2"/>
                <w:sz w:val="20"/>
              </w:rPr>
              <w:t>0.0013</w:t>
            </w:r>
          </w:p>
        </w:tc>
        <w:tc>
          <w:tcPr>
            <w:tcW w:w="1170" w:type="dxa"/>
          </w:tcPr>
          <w:p>
            <w:pPr>
              <w:pStyle w:val="TableParagraph"/>
              <w:spacing w:line="240" w:lineRule="auto" w:before="0"/>
              <w:ind w:left="1"/>
              <w:jc w:val="center"/>
              <w:rPr>
                <w:rFonts w:ascii="Times New Roman"/>
                <w:sz w:val="20"/>
              </w:rPr>
            </w:pPr>
            <w:r>
              <w:rPr>
                <w:rFonts w:ascii="Times New Roman"/>
                <w:spacing w:val="-2"/>
                <w:sz w:val="20"/>
              </w:rPr>
              <w:t>Stationary</w:t>
            </w:r>
          </w:p>
        </w:tc>
      </w:tr>
      <w:tr>
        <w:trPr>
          <w:trHeight w:val="251" w:hRule="atLeast"/>
        </w:trPr>
        <w:tc>
          <w:tcPr>
            <w:tcW w:w="991" w:type="dxa"/>
          </w:tcPr>
          <w:p>
            <w:pPr>
              <w:pStyle w:val="TableParagraph"/>
              <w:spacing w:line="240" w:lineRule="auto" w:before="0"/>
              <w:ind w:left="24" w:right="3"/>
              <w:jc w:val="center"/>
              <w:rPr>
                <w:rFonts w:ascii="Times New Roman"/>
                <w:sz w:val="20"/>
              </w:rPr>
            </w:pPr>
            <w:r>
              <w:rPr>
                <w:rFonts w:ascii="Times New Roman"/>
                <w:spacing w:val="-5"/>
                <w:sz w:val="20"/>
              </w:rPr>
              <w:t>REM</w:t>
            </w:r>
          </w:p>
        </w:tc>
        <w:tc>
          <w:tcPr>
            <w:tcW w:w="1260" w:type="dxa"/>
          </w:tcPr>
          <w:p>
            <w:pPr>
              <w:pStyle w:val="TableParagraph"/>
              <w:spacing w:line="240" w:lineRule="auto" w:before="0"/>
              <w:ind w:left="60" w:right="53"/>
              <w:jc w:val="center"/>
              <w:rPr>
                <w:rFonts w:ascii="Times New Roman"/>
                <w:sz w:val="20"/>
              </w:rPr>
            </w:pPr>
            <w:r>
              <w:rPr>
                <w:rFonts w:ascii="Times New Roman"/>
                <w:spacing w:val="-2"/>
                <w:sz w:val="20"/>
              </w:rPr>
              <w:t>-7.879545</w:t>
            </w:r>
          </w:p>
        </w:tc>
        <w:tc>
          <w:tcPr>
            <w:tcW w:w="1261" w:type="dxa"/>
          </w:tcPr>
          <w:p>
            <w:pPr>
              <w:pStyle w:val="TableParagraph"/>
              <w:spacing w:line="240" w:lineRule="auto" w:before="0"/>
              <w:ind w:left="11" w:right="4"/>
              <w:jc w:val="center"/>
              <w:rPr>
                <w:rFonts w:ascii="Times New Roman"/>
                <w:sz w:val="20"/>
              </w:rPr>
            </w:pPr>
            <w:r>
              <w:rPr>
                <w:rFonts w:ascii="Times New Roman"/>
                <w:spacing w:val="-2"/>
                <w:sz w:val="20"/>
              </w:rPr>
              <w:t>-3.646342</w:t>
            </w:r>
          </w:p>
        </w:tc>
        <w:tc>
          <w:tcPr>
            <w:tcW w:w="1385" w:type="dxa"/>
          </w:tcPr>
          <w:p>
            <w:pPr>
              <w:pStyle w:val="TableParagraph"/>
              <w:spacing w:line="240" w:lineRule="auto" w:before="0"/>
              <w:ind w:left="10" w:right="4"/>
              <w:jc w:val="center"/>
              <w:rPr>
                <w:rFonts w:ascii="Times New Roman"/>
                <w:sz w:val="20"/>
              </w:rPr>
            </w:pPr>
            <w:r>
              <w:rPr>
                <w:rFonts w:ascii="Times New Roman"/>
                <w:spacing w:val="-2"/>
                <w:sz w:val="20"/>
              </w:rPr>
              <w:t>-2.954021</w:t>
            </w:r>
          </w:p>
        </w:tc>
        <w:tc>
          <w:tcPr>
            <w:tcW w:w="1250" w:type="dxa"/>
          </w:tcPr>
          <w:p>
            <w:pPr>
              <w:pStyle w:val="TableParagraph"/>
              <w:spacing w:line="240" w:lineRule="auto" w:before="0"/>
              <w:ind w:left="46" w:right="15"/>
              <w:jc w:val="center"/>
              <w:rPr>
                <w:rFonts w:ascii="Times New Roman"/>
                <w:sz w:val="20"/>
              </w:rPr>
            </w:pPr>
            <w:r>
              <w:rPr>
                <w:rFonts w:ascii="Times New Roman"/>
                <w:spacing w:val="-2"/>
                <w:sz w:val="20"/>
              </w:rPr>
              <w:t>-2.615817</w:t>
            </w:r>
          </w:p>
        </w:tc>
        <w:tc>
          <w:tcPr>
            <w:tcW w:w="1235" w:type="dxa"/>
            <w:gridSpan w:val="2"/>
          </w:tcPr>
          <w:p>
            <w:pPr>
              <w:pStyle w:val="TableParagraph"/>
              <w:spacing w:line="240" w:lineRule="auto" w:before="0"/>
              <w:ind w:left="31"/>
              <w:jc w:val="center"/>
              <w:rPr>
                <w:rFonts w:ascii="Times New Roman"/>
                <w:sz w:val="20"/>
              </w:rPr>
            </w:pPr>
            <w:r>
              <w:rPr>
                <w:rFonts w:ascii="Times New Roman"/>
                <w:spacing w:val="-4"/>
                <w:sz w:val="20"/>
              </w:rPr>
              <w:t>1(1)</w:t>
            </w:r>
          </w:p>
        </w:tc>
        <w:tc>
          <w:tcPr>
            <w:tcW w:w="993" w:type="dxa"/>
            <w:gridSpan w:val="2"/>
          </w:tcPr>
          <w:p>
            <w:pPr>
              <w:pStyle w:val="TableParagraph"/>
              <w:spacing w:line="240" w:lineRule="auto" w:before="0"/>
              <w:ind w:left="244"/>
              <w:rPr>
                <w:rFonts w:ascii="Times New Roman"/>
                <w:sz w:val="20"/>
              </w:rPr>
            </w:pPr>
            <w:r>
              <w:rPr>
                <w:rFonts w:ascii="Times New Roman"/>
                <w:spacing w:val="-2"/>
                <w:sz w:val="20"/>
              </w:rPr>
              <w:t>0.0000</w:t>
            </w:r>
          </w:p>
        </w:tc>
        <w:tc>
          <w:tcPr>
            <w:tcW w:w="1170" w:type="dxa"/>
          </w:tcPr>
          <w:p>
            <w:pPr>
              <w:pStyle w:val="TableParagraph"/>
              <w:spacing w:line="240" w:lineRule="auto" w:before="0"/>
              <w:ind w:left="1"/>
              <w:jc w:val="center"/>
              <w:rPr>
                <w:rFonts w:ascii="Times New Roman"/>
                <w:sz w:val="20"/>
              </w:rPr>
            </w:pPr>
            <w:r>
              <w:rPr>
                <w:rFonts w:ascii="Times New Roman"/>
                <w:spacing w:val="-2"/>
                <w:sz w:val="20"/>
              </w:rPr>
              <w:t>Stationary</w:t>
            </w:r>
          </w:p>
        </w:tc>
      </w:tr>
      <w:tr>
        <w:trPr>
          <w:trHeight w:val="249" w:hRule="atLeast"/>
        </w:trPr>
        <w:tc>
          <w:tcPr>
            <w:tcW w:w="991" w:type="dxa"/>
          </w:tcPr>
          <w:p>
            <w:pPr>
              <w:pStyle w:val="TableParagraph"/>
              <w:spacing w:line="229" w:lineRule="exact" w:before="0"/>
              <w:ind w:left="24" w:right="1"/>
              <w:jc w:val="center"/>
              <w:rPr>
                <w:rFonts w:ascii="Times New Roman"/>
                <w:sz w:val="20"/>
              </w:rPr>
            </w:pPr>
            <w:r>
              <w:rPr>
                <w:rFonts w:ascii="Times New Roman"/>
                <w:spacing w:val="-5"/>
                <w:sz w:val="20"/>
              </w:rPr>
              <w:t>INT</w:t>
            </w:r>
          </w:p>
        </w:tc>
        <w:tc>
          <w:tcPr>
            <w:tcW w:w="1260" w:type="dxa"/>
          </w:tcPr>
          <w:p>
            <w:pPr>
              <w:pStyle w:val="TableParagraph"/>
              <w:spacing w:line="229" w:lineRule="exact" w:before="0"/>
              <w:ind w:left="60" w:right="53"/>
              <w:jc w:val="center"/>
              <w:rPr>
                <w:rFonts w:ascii="Times New Roman"/>
                <w:sz w:val="20"/>
              </w:rPr>
            </w:pPr>
            <w:r>
              <w:rPr>
                <w:rFonts w:ascii="Times New Roman"/>
                <w:spacing w:val="-2"/>
                <w:sz w:val="20"/>
              </w:rPr>
              <w:t>-4.586719</w:t>
            </w:r>
          </w:p>
        </w:tc>
        <w:tc>
          <w:tcPr>
            <w:tcW w:w="1261" w:type="dxa"/>
          </w:tcPr>
          <w:p>
            <w:pPr>
              <w:pStyle w:val="TableParagraph"/>
              <w:spacing w:line="229" w:lineRule="exact" w:before="0"/>
              <w:ind w:left="11" w:right="4"/>
              <w:jc w:val="center"/>
              <w:rPr>
                <w:rFonts w:ascii="Times New Roman"/>
                <w:sz w:val="20"/>
              </w:rPr>
            </w:pPr>
            <w:r>
              <w:rPr>
                <w:rFonts w:ascii="Times New Roman"/>
                <w:spacing w:val="-2"/>
                <w:sz w:val="20"/>
              </w:rPr>
              <w:t>-3.711457</w:t>
            </w:r>
          </w:p>
        </w:tc>
        <w:tc>
          <w:tcPr>
            <w:tcW w:w="1385" w:type="dxa"/>
          </w:tcPr>
          <w:p>
            <w:pPr>
              <w:pStyle w:val="TableParagraph"/>
              <w:spacing w:line="229" w:lineRule="exact" w:before="0"/>
              <w:ind w:left="10" w:right="4"/>
              <w:jc w:val="center"/>
              <w:rPr>
                <w:rFonts w:ascii="Times New Roman"/>
                <w:sz w:val="20"/>
              </w:rPr>
            </w:pPr>
            <w:r>
              <w:rPr>
                <w:rFonts w:ascii="Times New Roman"/>
                <w:spacing w:val="-2"/>
                <w:sz w:val="20"/>
              </w:rPr>
              <w:t>-2.981038</w:t>
            </w:r>
          </w:p>
        </w:tc>
        <w:tc>
          <w:tcPr>
            <w:tcW w:w="1250" w:type="dxa"/>
          </w:tcPr>
          <w:p>
            <w:pPr>
              <w:pStyle w:val="TableParagraph"/>
              <w:spacing w:line="229" w:lineRule="exact" w:before="0"/>
              <w:ind w:left="46" w:right="15"/>
              <w:jc w:val="center"/>
              <w:rPr>
                <w:rFonts w:ascii="Times New Roman"/>
                <w:sz w:val="20"/>
              </w:rPr>
            </w:pPr>
            <w:r>
              <w:rPr>
                <w:rFonts w:ascii="Times New Roman"/>
                <w:spacing w:val="-2"/>
                <w:sz w:val="20"/>
              </w:rPr>
              <w:t>-2.629906</w:t>
            </w:r>
          </w:p>
        </w:tc>
        <w:tc>
          <w:tcPr>
            <w:tcW w:w="1235" w:type="dxa"/>
            <w:gridSpan w:val="2"/>
          </w:tcPr>
          <w:p>
            <w:pPr>
              <w:pStyle w:val="TableParagraph"/>
              <w:spacing w:line="229" w:lineRule="exact" w:before="0"/>
              <w:ind w:left="31"/>
              <w:jc w:val="center"/>
              <w:rPr>
                <w:rFonts w:ascii="Times New Roman"/>
                <w:sz w:val="20"/>
              </w:rPr>
            </w:pPr>
            <w:r>
              <w:rPr>
                <w:rFonts w:ascii="Times New Roman"/>
                <w:spacing w:val="-4"/>
                <w:sz w:val="20"/>
              </w:rPr>
              <w:t>1(1)</w:t>
            </w:r>
          </w:p>
        </w:tc>
        <w:tc>
          <w:tcPr>
            <w:tcW w:w="993" w:type="dxa"/>
            <w:gridSpan w:val="2"/>
          </w:tcPr>
          <w:p>
            <w:pPr>
              <w:pStyle w:val="TableParagraph"/>
              <w:spacing w:line="229" w:lineRule="exact" w:before="0"/>
              <w:ind w:left="217"/>
              <w:rPr>
                <w:rFonts w:ascii="Times New Roman"/>
                <w:sz w:val="20"/>
              </w:rPr>
            </w:pPr>
            <w:r>
              <w:rPr>
                <w:rFonts w:ascii="Times New Roman"/>
                <w:spacing w:val="-2"/>
                <w:sz w:val="20"/>
              </w:rPr>
              <w:t>0.0012</w:t>
            </w:r>
          </w:p>
        </w:tc>
        <w:tc>
          <w:tcPr>
            <w:tcW w:w="1170" w:type="dxa"/>
          </w:tcPr>
          <w:p>
            <w:pPr>
              <w:pStyle w:val="TableParagraph"/>
              <w:spacing w:line="229" w:lineRule="exact" w:before="0"/>
              <w:ind w:left="1"/>
              <w:jc w:val="center"/>
              <w:rPr>
                <w:rFonts w:ascii="Times New Roman"/>
                <w:sz w:val="20"/>
              </w:rPr>
            </w:pPr>
            <w:r>
              <w:rPr>
                <w:rFonts w:ascii="Times New Roman"/>
                <w:spacing w:val="-2"/>
                <w:sz w:val="20"/>
              </w:rPr>
              <w:t>Stationary</w:t>
            </w:r>
          </w:p>
        </w:tc>
      </w:tr>
      <w:tr>
        <w:trPr>
          <w:trHeight w:val="251" w:hRule="atLeast"/>
        </w:trPr>
        <w:tc>
          <w:tcPr>
            <w:tcW w:w="991" w:type="dxa"/>
          </w:tcPr>
          <w:p>
            <w:pPr>
              <w:pStyle w:val="TableParagraph"/>
              <w:spacing w:line="240" w:lineRule="auto" w:before="2"/>
              <w:ind w:left="24" w:right="3"/>
              <w:jc w:val="center"/>
              <w:rPr>
                <w:rFonts w:ascii="Times New Roman"/>
                <w:sz w:val="18"/>
              </w:rPr>
            </w:pPr>
            <w:r>
              <w:rPr>
                <w:rFonts w:ascii="Times New Roman"/>
                <w:spacing w:val="-2"/>
                <w:sz w:val="18"/>
              </w:rPr>
              <w:t>CPS/GDP</w:t>
            </w:r>
          </w:p>
        </w:tc>
        <w:tc>
          <w:tcPr>
            <w:tcW w:w="1260" w:type="dxa"/>
          </w:tcPr>
          <w:p>
            <w:pPr>
              <w:pStyle w:val="TableParagraph"/>
              <w:spacing w:line="240" w:lineRule="auto" w:before="0"/>
              <w:ind w:left="60" w:right="53"/>
              <w:jc w:val="center"/>
              <w:rPr>
                <w:rFonts w:ascii="Times New Roman"/>
                <w:sz w:val="20"/>
              </w:rPr>
            </w:pPr>
            <w:r>
              <w:rPr>
                <w:rFonts w:ascii="Times New Roman"/>
                <w:spacing w:val="-2"/>
                <w:sz w:val="20"/>
              </w:rPr>
              <w:t>-5.317146</w:t>
            </w:r>
          </w:p>
        </w:tc>
        <w:tc>
          <w:tcPr>
            <w:tcW w:w="1261" w:type="dxa"/>
          </w:tcPr>
          <w:p>
            <w:pPr>
              <w:pStyle w:val="TableParagraph"/>
              <w:spacing w:line="240" w:lineRule="auto" w:before="0"/>
              <w:ind w:left="11" w:right="4"/>
              <w:jc w:val="center"/>
              <w:rPr>
                <w:rFonts w:ascii="Times New Roman"/>
                <w:sz w:val="20"/>
              </w:rPr>
            </w:pPr>
            <w:r>
              <w:rPr>
                <w:rFonts w:ascii="Times New Roman"/>
                <w:spacing w:val="-2"/>
                <w:sz w:val="20"/>
              </w:rPr>
              <w:t>-3.653730</w:t>
            </w:r>
          </w:p>
        </w:tc>
        <w:tc>
          <w:tcPr>
            <w:tcW w:w="1385" w:type="dxa"/>
          </w:tcPr>
          <w:p>
            <w:pPr>
              <w:pStyle w:val="TableParagraph"/>
              <w:spacing w:line="240" w:lineRule="auto" w:before="0"/>
              <w:ind w:left="10" w:right="4"/>
              <w:jc w:val="center"/>
              <w:rPr>
                <w:rFonts w:ascii="Times New Roman"/>
                <w:sz w:val="20"/>
              </w:rPr>
            </w:pPr>
            <w:r>
              <w:rPr>
                <w:rFonts w:ascii="Times New Roman"/>
                <w:spacing w:val="-2"/>
                <w:sz w:val="20"/>
              </w:rPr>
              <w:t>-2.957110</w:t>
            </w:r>
          </w:p>
        </w:tc>
        <w:tc>
          <w:tcPr>
            <w:tcW w:w="1250" w:type="dxa"/>
          </w:tcPr>
          <w:p>
            <w:pPr>
              <w:pStyle w:val="TableParagraph"/>
              <w:spacing w:line="240" w:lineRule="auto" w:before="0"/>
              <w:ind w:left="46" w:right="15"/>
              <w:jc w:val="center"/>
              <w:rPr>
                <w:rFonts w:ascii="Times New Roman"/>
                <w:sz w:val="20"/>
              </w:rPr>
            </w:pPr>
            <w:r>
              <w:rPr>
                <w:rFonts w:ascii="Times New Roman"/>
                <w:spacing w:val="-2"/>
                <w:sz w:val="20"/>
              </w:rPr>
              <w:t>-2.617434</w:t>
            </w:r>
          </w:p>
        </w:tc>
        <w:tc>
          <w:tcPr>
            <w:tcW w:w="1235" w:type="dxa"/>
            <w:gridSpan w:val="2"/>
          </w:tcPr>
          <w:p>
            <w:pPr>
              <w:pStyle w:val="TableParagraph"/>
              <w:spacing w:line="240" w:lineRule="auto" w:before="0"/>
              <w:ind w:left="31"/>
              <w:jc w:val="center"/>
              <w:rPr>
                <w:rFonts w:ascii="Times New Roman"/>
                <w:sz w:val="20"/>
              </w:rPr>
            </w:pPr>
            <w:r>
              <w:rPr>
                <w:rFonts w:ascii="Times New Roman"/>
                <w:spacing w:val="-4"/>
                <w:sz w:val="20"/>
              </w:rPr>
              <w:t>1(1)</w:t>
            </w:r>
          </w:p>
        </w:tc>
        <w:tc>
          <w:tcPr>
            <w:tcW w:w="993" w:type="dxa"/>
            <w:gridSpan w:val="2"/>
          </w:tcPr>
          <w:p>
            <w:pPr>
              <w:pStyle w:val="TableParagraph"/>
              <w:spacing w:line="240" w:lineRule="auto" w:before="0"/>
              <w:ind w:left="217"/>
              <w:rPr>
                <w:rFonts w:ascii="Times New Roman"/>
                <w:sz w:val="20"/>
              </w:rPr>
            </w:pPr>
            <w:r>
              <w:rPr>
                <w:rFonts w:ascii="Times New Roman"/>
                <w:spacing w:val="-2"/>
                <w:sz w:val="20"/>
              </w:rPr>
              <w:t>0.0001</w:t>
            </w:r>
          </w:p>
        </w:tc>
        <w:tc>
          <w:tcPr>
            <w:tcW w:w="1170" w:type="dxa"/>
          </w:tcPr>
          <w:p>
            <w:pPr>
              <w:pStyle w:val="TableParagraph"/>
              <w:spacing w:line="240" w:lineRule="auto" w:before="0"/>
              <w:ind w:left="1"/>
              <w:jc w:val="center"/>
              <w:rPr>
                <w:rFonts w:ascii="Times New Roman"/>
                <w:sz w:val="20"/>
              </w:rPr>
            </w:pPr>
            <w:r>
              <w:rPr>
                <w:rFonts w:ascii="Times New Roman"/>
                <w:spacing w:val="-2"/>
                <w:sz w:val="20"/>
              </w:rPr>
              <w:t>Stationary</w:t>
            </w:r>
          </w:p>
        </w:tc>
      </w:tr>
      <w:tr>
        <w:trPr>
          <w:trHeight w:val="251" w:hRule="atLeast"/>
        </w:trPr>
        <w:tc>
          <w:tcPr>
            <w:tcW w:w="991" w:type="dxa"/>
          </w:tcPr>
          <w:p>
            <w:pPr>
              <w:pStyle w:val="TableParagraph"/>
              <w:spacing w:line="240" w:lineRule="auto" w:before="0"/>
              <w:ind w:left="24" w:right="3"/>
              <w:jc w:val="center"/>
              <w:rPr>
                <w:rFonts w:ascii="Times New Roman"/>
                <w:sz w:val="20"/>
              </w:rPr>
            </w:pPr>
            <w:r>
              <w:rPr>
                <w:rFonts w:ascii="Times New Roman"/>
                <w:spacing w:val="-4"/>
                <w:sz w:val="20"/>
              </w:rPr>
              <w:t>EXCH</w:t>
            </w:r>
          </w:p>
        </w:tc>
        <w:tc>
          <w:tcPr>
            <w:tcW w:w="1260" w:type="dxa"/>
          </w:tcPr>
          <w:p>
            <w:pPr>
              <w:pStyle w:val="TableParagraph"/>
              <w:spacing w:line="240" w:lineRule="auto" w:before="0"/>
              <w:ind w:left="60" w:right="53"/>
              <w:jc w:val="center"/>
              <w:rPr>
                <w:rFonts w:ascii="Times New Roman"/>
                <w:sz w:val="20"/>
              </w:rPr>
            </w:pPr>
            <w:r>
              <w:rPr>
                <w:rFonts w:ascii="Times New Roman"/>
                <w:spacing w:val="-2"/>
                <w:sz w:val="20"/>
              </w:rPr>
              <w:t>-5.654742</w:t>
            </w:r>
          </w:p>
        </w:tc>
        <w:tc>
          <w:tcPr>
            <w:tcW w:w="1261" w:type="dxa"/>
          </w:tcPr>
          <w:p>
            <w:pPr>
              <w:pStyle w:val="TableParagraph"/>
              <w:spacing w:line="240" w:lineRule="auto" w:before="0"/>
              <w:ind w:left="11" w:right="4"/>
              <w:jc w:val="center"/>
              <w:rPr>
                <w:rFonts w:ascii="Times New Roman"/>
                <w:sz w:val="20"/>
              </w:rPr>
            </w:pPr>
            <w:r>
              <w:rPr>
                <w:rFonts w:ascii="Times New Roman"/>
                <w:spacing w:val="-2"/>
                <w:sz w:val="20"/>
              </w:rPr>
              <w:t>-3.646342</w:t>
            </w:r>
          </w:p>
        </w:tc>
        <w:tc>
          <w:tcPr>
            <w:tcW w:w="1385" w:type="dxa"/>
          </w:tcPr>
          <w:p>
            <w:pPr>
              <w:pStyle w:val="TableParagraph"/>
              <w:spacing w:line="240" w:lineRule="auto" w:before="0"/>
              <w:ind w:left="10" w:right="4"/>
              <w:jc w:val="center"/>
              <w:rPr>
                <w:rFonts w:ascii="Times New Roman"/>
                <w:sz w:val="20"/>
              </w:rPr>
            </w:pPr>
            <w:r>
              <w:rPr>
                <w:rFonts w:ascii="Times New Roman"/>
                <w:spacing w:val="-2"/>
                <w:sz w:val="20"/>
              </w:rPr>
              <w:t>-2.954021</w:t>
            </w:r>
          </w:p>
        </w:tc>
        <w:tc>
          <w:tcPr>
            <w:tcW w:w="1250" w:type="dxa"/>
          </w:tcPr>
          <w:p>
            <w:pPr>
              <w:pStyle w:val="TableParagraph"/>
              <w:spacing w:line="240" w:lineRule="auto" w:before="0"/>
              <w:ind w:left="46" w:right="15"/>
              <w:jc w:val="center"/>
              <w:rPr>
                <w:rFonts w:ascii="Times New Roman"/>
                <w:sz w:val="20"/>
              </w:rPr>
            </w:pPr>
            <w:r>
              <w:rPr>
                <w:rFonts w:ascii="Times New Roman"/>
                <w:spacing w:val="-2"/>
                <w:sz w:val="20"/>
              </w:rPr>
              <w:t>-2.615817</w:t>
            </w:r>
          </w:p>
        </w:tc>
        <w:tc>
          <w:tcPr>
            <w:tcW w:w="1235" w:type="dxa"/>
            <w:gridSpan w:val="2"/>
          </w:tcPr>
          <w:p>
            <w:pPr>
              <w:pStyle w:val="TableParagraph"/>
              <w:spacing w:line="240" w:lineRule="auto" w:before="0"/>
              <w:ind w:left="31"/>
              <w:jc w:val="center"/>
              <w:rPr>
                <w:rFonts w:ascii="Times New Roman"/>
                <w:sz w:val="20"/>
              </w:rPr>
            </w:pPr>
            <w:r>
              <w:rPr>
                <w:rFonts w:ascii="Times New Roman"/>
                <w:spacing w:val="-4"/>
                <w:sz w:val="20"/>
              </w:rPr>
              <w:t>1(1)</w:t>
            </w:r>
          </w:p>
        </w:tc>
        <w:tc>
          <w:tcPr>
            <w:tcW w:w="993" w:type="dxa"/>
            <w:gridSpan w:val="2"/>
          </w:tcPr>
          <w:p>
            <w:pPr>
              <w:pStyle w:val="TableParagraph"/>
              <w:spacing w:line="240" w:lineRule="auto" w:before="0"/>
              <w:ind w:left="217"/>
              <w:rPr>
                <w:rFonts w:ascii="Times New Roman"/>
                <w:sz w:val="20"/>
              </w:rPr>
            </w:pPr>
            <w:r>
              <w:rPr>
                <w:rFonts w:ascii="Times New Roman"/>
                <w:spacing w:val="-2"/>
                <w:sz w:val="20"/>
              </w:rPr>
              <w:t>0.0000</w:t>
            </w:r>
          </w:p>
        </w:tc>
        <w:tc>
          <w:tcPr>
            <w:tcW w:w="1170" w:type="dxa"/>
          </w:tcPr>
          <w:p>
            <w:pPr>
              <w:pStyle w:val="TableParagraph"/>
              <w:spacing w:line="240" w:lineRule="auto" w:before="0"/>
              <w:ind w:left="1"/>
              <w:jc w:val="center"/>
              <w:rPr>
                <w:rFonts w:ascii="Times New Roman"/>
                <w:sz w:val="20"/>
              </w:rPr>
            </w:pPr>
            <w:r>
              <w:rPr>
                <w:rFonts w:ascii="Times New Roman"/>
                <w:spacing w:val="-2"/>
                <w:sz w:val="20"/>
              </w:rPr>
              <w:t>Stationary</w:t>
            </w:r>
          </w:p>
        </w:tc>
      </w:tr>
    </w:tbl>
    <w:p>
      <w:pPr>
        <w:pStyle w:val="BodyText"/>
        <w:spacing w:before="173"/>
        <w:jc w:val="both"/>
      </w:pPr>
      <w:r>
        <w:rPr/>
        <mc:AlternateContent>
          <mc:Choice Requires="wps">
            <w:drawing>
              <wp:anchor distT="0" distB="0" distL="0" distR="0" allowOverlap="1" layoutInCell="1" locked="0" behindDoc="1" simplePos="0" relativeHeight="478095872">
                <wp:simplePos x="0" y="0"/>
                <wp:positionH relativeFrom="page">
                  <wp:posOffset>950112</wp:posOffset>
                </wp:positionH>
                <wp:positionV relativeFrom="paragraph">
                  <wp:posOffset>-577431</wp:posOffset>
                </wp:positionV>
                <wp:extent cx="2223770" cy="2362200"/>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5.46701pt;width:175.1pt;height:186pt;mso-position-horizontal-relative:page;mso-position-vertical-relative:paragraph;z-index:-25220608" id="docshape188" coordorigin="1496,-909" coordsize="3502,3720" path="m2562,2616l1691,1745,1496,1940,2367,2811,2562,2616xm3154,1940l3153,1900,3148,1857,3139,1814,3125,1770,3106,1726,3083,1683,3055,1641,3025,1599,2991,1559,2954,1520,2435,1001,2241,1195,2772,1727,2805,1763,2829,1798,2846,1833,2856,1867,2858,1900,2851,1930,2837,1959,2816,1985,2790,2007,2761,2021,2730,2026,2697,2024,2663,2015,2628,1998,2593,1974,2557,1942,2026,1410,1831,1604,2351,2124,2385,2156,2424,2188,2468,2221,2516,2253,2548,2272,2583,2288,2620,2301,2658,2312,2697,2320,2733,2323,2767,2324,2800,2320,2831,2313,2863,2301,2895,2285,2926,2265,2957,2242,2985,2219,3011,2196,3035,2173,3071,2133,3102,2092,3125,2050,3142,2008,3150,1976,3154,1940xm3882,1156l3876,1092,3860,1027,3834,960,3806,906,3771,850,3728,792,3678,733,3661,714,3621,673,3597,650,3597,1144,3592,1185,3577,1221,3551,1254,3518,1280,3481,1295,3441,1299,3396,1293,3347,1275,3294,1243,3235,1198,3171,1139,3112,1075,3066,1016,3035,962,3016,913,3010,868,3014,828,3029,792,3053,760,3086,735,3122,719,3163,714,3207,719,3255,737,3307,766,3363,809,3423,864,3488,933,3538,996,3572,1052,3591,1101,3597,1144,3597,650,3551,608,3482,552,3413,507,3344,472,3276,446,3209,430,3130,425,3055,435,2983,460,2914,501,2850,556,2796,620,2756,687,2732,759,2723,835,2729,914,2746,983,2772,1052,2808,1121,2854,1191,2910,1262,2976,1333,3036,1390,3096,1439,3156,1481,3215,1516,3273,1543,3344,1568,3411,1581,3475,1585,3535,1579,3593,1562,3649,1535,3705,1497,3758,1449,3805,1396,3841,1339,3858,1299,3866,1281,3879,1219,3882,1156xm4153,577l3966,390,3712,644,3899,831,4153,577xm4664,514l3793,-357,3598,-162,4469,709,4664,514xm4998,180l4675,-143,4781,-250,4832,-310,4837,-320,4866,-371,4883,-435,4882,-499,4866,-565,4843,-616,4836,-631,4792,-697,4733,-763,4670,-820,4607,-863,4598,-867,4598,-474,4597,-448,4587,-422,4570,-395,4546,-367,4498,-320,4304,-514,4359,-570,4386,-593,4412,-608,4438,-616,4462,-615,4486,-609,4509,-599,4531,-584,4552,-566,4570,-544,4584,-522,4593,-498,4598,-474,4598,-867,4544,-892,4483,-908,4423,-909,4365,-895,4309,-864,4255,-819,3931,-496,4803,375,4998,180xe" filled="true" fillcolor="#c0c0c0" stroked="false">
                <v:path arrowok="t"/>
                <v:fill opacity="32896f" type="solid"/>
                <w10:wrap type="none"/>
              </v:shape>
            </w:pict>
          </mc:Fallback>
        </mc:AlternateContent>
      </w:r>
      <w:r>
        <w:rPr/>
        <w:t>Source:</w:t>
      </w:r>
      <w:r>
        <w:rPr>
          <w:spacing w:val="-9"/>
        </w:rPr>
        <w:t> </w:t>
      </w:r>
      <w:r>
        <w:rPr/>
        <w:t>Author’s</w:t>
      </w:r>
      <w:r>
        <w:rPr>
          <w:spacing w:val="-8"/>
        </w:rPr>
        <w:t> </w:t>
      </w:r>
      <w:r>
        <w:rPr/>
        <w:t>Computation</w:t>
      </w:r>
      <w:r>
        <w:rPr>
          <w:spacing w:val="-9"/>
        </w:rPr>
        <w:t> </w:t>
      </w:r>
      <w:r>
        <w:rPr/>
        <w:t>Using</w:t>
      </w:r>
      <w:r>
        <w:rPr>
          <w:spacing w:val="-9"/>
        </w:rPr>
        <w:t> </w:t>
      </w:r>
      <w:r>
        <w:rPr/>
        <w:t>E-View</w:t>
      </w:r>
      <w:r>
        <w:rPr>
          <w:spacing w:val="-9"/>
        </w:rPr>
        <w:t> </w:t>
      </w:r>
      <w:r>
        <w:rPr/>
        <w:t>Version</w:t>
      </w:r>
      <w:r>
        <w:rPr>
          <w:spacing w:val="-9"/>
        </w:rPr>
        <w:t> </w:t>
      </w:r>
      <w:r>
        <w:rPr>
          <w:spacing w:val="-5"/>
        </w:rPr>
        <w:t>9.0</w:t>
      </w:r>
    </w:p>
    <w:p>
      <w:pPr>
        <w:pStyle w:val="BodyText"/>
        <w:spacing w:before="159"/>
        <w:ind w:left="0"/>
      </w:pPr>
    </w:p>
    <w:p>
      <w:pPr>
        <w:pStyle w:val="BodyText"/>
        <w:spacing w:line="480" w:lineRule="auto"/>
        <w:ind w:right="734"/>
        <w:jc w:val="both"/>
      </w:pPr>
      <w:r>
        <w:rPr/>
        <w:t>From the unit root table above, it wasobserved that all the variablesare integrated at 1</w:t>
      </w:r>
      <w:r>
        <w:rPr>
          <w:vertAlign w:val="superscript"/>
        </w:rPr>
        <w:t>st</w:t>
      </w:r>
      <w:r>
        <w:rPr>
          <w:vertAlign w:val="baseline"/>
        </w:rPr>
        <w:t> difference. Since the decisionrule is to reject stationarity if ADFstatistics is less than 5% critical value, and acceptstationarity when ADFstatistics is greater than 5% criteriavalue, the ADF absolute valueof each of these variables is greaterthan the 5% critical value attheir first difference butless than 5% critical value in theirlevel form. Therefore, all thevariables are all </w:t>
      </w:r>
      <w:r>
        <w:rPr>
          <w:spacing w:val="-2"/>
          <w:vertAlign w:val="baseline"/>
        </w:rPr>
        <w:t>stationary.</w:t>
      </w:r>
    </w:p>
    <w:p>
      <w:pPr>
        <w:spacing w:after="0" w:line="480" w:lineRule="auto"/>
        <w:jc w:val="both"/>
        <w:sectPr>
          <w:pgSz w:w="12240" w:h="15840"/>
          <w:pgMar w:header="0" w:footer="1012" w:top="1380" w:bottom="1200" w:left="1220" w:right="700"/>
        </w:sectPr>
      </w:pPr>
    </w:p>
    <w:p>
      <w:pPr>
        <w:pStyle w:val="Heading2"/>
        <w:numPr>
          <w:ilvl w:val="1"/>
          <w:numId w:val="24"/>
        </w:numPr>
        <w:tabs>
          <w:tab w:pos="593" w:val="left" w:leader="none"/>
        </w:tabs>
        <w:spacing w:line="240" w:lineRule="auto" w:before="60" w:after="0"/>
        <w:ind w:left="593" w:right="0" w:hanging="373"/>
        <w:jc w:val="left"/>
      </w:pPr>
      <w:bookmarkStart w:name="_TOC_250020" w:id="55"/>
      <w:r>
        <w:rPr>
          <w:spacing w:val="-2"/>
        </w:rPr>
        <w:t>Cointegration</w:t>
      </w:r>
      <w:r>
        <w:rPr>
          <w:spacing w:val="10"/>
        </w:rPr>
        <w:t> </w:t>
      </w:r>
      <w:bookmarkEnd w:id="55"/>
      <w:r>
        <w:rPr>
          <w:spacing w:val="-4"/>
        </w:rPr>
        <w:t>Test</w:t>
      </w:r>
    </w:p>
    <w:p>
      <w:pPr>
        <w:pStyle w:val="BodyText"/>
        <w:ind w:left="0"/>
        <w:rPr>
          <w:b/>
        </w:rPr>
      </w:pPr>
    </w:p>
    <w:p>
      <w:pPr>
        <w:pStyle w:val="BodyText"/>
        <w:spacing w:line="480" w:lineRule="auto" w:before="1"/>
        <w:ind w:right="734"/>
        <w:jc w:val="both"/>
      </w:pPr>
      <w:r>
        <w:rPr/>
        <mc:AlternateContent>
          <mc:Choice Requires="wps">
            <w:drawing>
              <wp:anchor distT="0" distB="0" distL="0" distR="0" allowOverlap="1" layoutInCell="1" locked="0" behindDoc="1" simplePos="0" relativeHeight="478096896">
                <wp:simplePos x="0" y="0"/>
                <wp:positionH relativeFrom="page">
                  <wp:posOffset>950112</wp:posOffset>
                </wp:positionH>
                <wp:positionV relativeFrom="paragraph">
                  <wp:posOffset>917859</wp:posOffset>
                </wp:positionV>
                <wp:extent cx="5505450" cy="5661025"/>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72.272415pt;width:433.5pt;height:445.75pt;mso-position-horizontal-relative:page;mso-position-vertical-relative:paragraph;z-index:-25219584" id="docshape189" coordorigin="1496,1445" coordsize="8670,8915" path="m2562,10165l1691,9294,1496,9489,2367,10360,2562,10165xm3154,9489l3153,9450,3148,9407,3139,9363,3125,9319,3106,9275,3083,9232,3055,9190,3025,9149,2991,9109,2954,9070,2435,8550,2241,8744,2772,9276,2805,9312,2829,9348,2846,9382,2856,9416,2858,9449,2851,9480,2837,9508,2816,9534,2790,9556,2761,9570,2730,9576,2697,9574,2663,9564,2628,9548,2593,9523,2557,9491,2026,8960,1831,9154,2351,9673,2385,9705,2424,9738,2468,9770,2516,9803,2548,9821,2583,9837,2620,9850,2658,9861,2697,9869,2733,9873,2767,9873,2800,9870,2831,9863,2863,9851,2895,9835,2926,9814,2957,9791,2985,9768,3011,9745,3035,9722,3071,9682,3102,9641,3125,9600,3142,9558,3150,9525,3154,9489xm3882,8706l3876,8642,3860,8576,3834,8509,3806,8455,3771,8399,3728,8341,3678,8282,3661,8264,3621,8222,3597,8200,3597,8694,3592,8734,3577,8771,3551,8804,3518,8829,3481,8844,3441,8849,3396,8842,3347,8824,3294,8793,3235,8748,3171,8688,3112,8625,3066,8565,3035,8511,3016,8462,3010,8418,3014,8377,3029,8341,3053,8310,3086,8284,3122,8269,3163,8264,3207,8269,3255,8286,3307,8316,3363,8358,3423,8413,3488,8483,3538,8546,3572,8602,3591,8650,3597,8694,3597,8200,3551,8157,3482,8102,3413,8057,3344,8021,3276,7996,3209,7980,3130,7974,3055,7984,2983,8010,2914,8050,2850,8106,2796,8169,2756,8237,2732,8309,2723,8384,2729,8464,2746,8532,2772,8601,2808,8671,2854,8741,2910,8811,2976,8882,3036,8939,3096,8989,3156,9031,3215,9065,3273,9093,3344,9117,3411,9131,3475,9134,3535,9128,3593,9112,3649,9085,3705,9047,3758,8999,3805,8945,3841,8889,3858,8849,3866,8830,3879,8769,3882,8706xm4153,8126l3966,7939,3712,8193,3899,8380,4153,8126xm4664,8064l3793,7192,3598,7387,4469,8259,4664,8064xm4998,7729l4675,7406,4781,7299,4832,7240,4837,7230,4866,7178,4883,7115,4882,7050,4866,6984,4843,6934,4836,6919,4792,6853,4733,6787,4670,6730,4607,6686,4598,6682,4598,7075,4597,7101,4587,7127,4570,7154,4546,7182,4498,7230,4304,7035,4359,6980,4386,6956,4412,6941,4438,6934,4462,6934,4486,6941,4509,6951,4531,6965,4552,6984,4570,7005,4584,7028,4593,7051,4598,7075,4598,6682,4544,6657,4483,6641,4423,6640,4365,6655,4309,6685,4255,6730,3931,7054,4803,7925,4998,7729xm5788,6940l5132,6284,5330,6085,5115,5870,4524,6462,4739,6677,4937,6478,5593,7134,5788,6940xm6423,6304l5767,5648,5966,5450,5751,5235,5159,5826,5374,6041,5573,5843,6229,6499,6423,6304xm7157,5431l7151,5367,7135,5301,7109,5234,7081,5180,7046,5124,7003,5067,6953,5008,6935,4989,6896,4947,6872,4925,6872,5419,6867,5459,6851,5496,6825,5529,6793,5554,6756,5569,6716,5574,6671,5567,6622,5549,6569,5518,6510,5473,6446,5414,6387,5350,6341,5290,6309,5236,6291,5187,6285,5143,6289,5103,6304,5067,6328,5035,6361,5010,6397,4994,6438,4989,6482,4994,6530,5011,6582,5041,6638,5083,6698,5138,6763,5208,6813,5271,6847,5327,6866,5375,6872,5419,6872,4925,6826,4882,6756,4827,6687,4782,6619,4747,6551,4721,6483,4705,6405,4699,6329,4709,6258,4735,6189,4775,6125,4831,6071,4894,6031,4962,6007,5034,5998,5109,6004,5189,6021,5257,6047,5326,6083,5396,6129,5466,6184,5536,6250,5607,6311,5664,6371,5714,6431,5756,6490,5791,6548,5818,6619,5842,6686,5856,6750,5859,6810,5853,6868,5837,6924,5810,6979,5772,7033,5724,7080,5670,7116,5614,7133,5574,7141,5555,7154,5494,7157,5431xm8170,4436l8165,4387,8153,4336,8134,4283,8109,4229,8079,4173,8041,4116,7980,4141,7799,4215,7831,4262,7855,4305,7873,4345,7884,4382,7887,4418,7881,4451,7866,4482,7843,4511,7812,4534,7778,4549,7740,4553,7700,4546,7653,4528,7600,4494,7538,4444,7469,4380,7417,4323,7375,4271,7344,4224,7324,4181,7311,4130,7312,4083,7325,4042,7352,4006,7367,3993,7384,3983,7402,3975,7422,3970,7442,3968,7464,3968,7486,3972,7509,3978,7524,3983,7542,3992,7563,4003,7586,4017,7705,3792,7622,3746,7543,3714,7469,3695,7400,3689,7333,3696,7269,3719,7206,3757,7146,3809,7092,3872,7054,3939,7030,4009,7021,4083,7027,4160,7044,4227,7070,4295,7106,4364,7153,4434,7209,4505,7276,4576,7341,4637,7404,4689,7467,4733,7529,4768,7590,4796,7662,4819,7730,4832,7791,4835,7847,4828,7900,4811,7952,4785,8004,4748,8056,4701,8094,4659,8125,4616,8147,4572,8161,4528,8169,4483,8170,4436xm8868,3720l8861,3656,8846,3590,8820,3524,8792,3469,8757,3413,8714,3356,8664,3297,8646,3278,8607,3236,8583,3214,8583,3708,8578,3748,8562,3785,8536,3818,8504,3843,8467,3859,8427,3863,8382,3857,8333,3839,8279,3807,8221,3762,8157,3703,8098,3639,8052,3580,8020,3526,8002,3476,7996,3432,8000,3392,8014,3356,8039,3324,8071,3299,8108,3283,8149,3278,8193,3283,8241,3300,8293,3330,8349,3372,8409,3427,8474,3497,8524,3560,8558,3616,8577,3665,8583,3708,8583,3214,8537,3171,8467,3116,8398,3071,8330,3036,8262,3010,8194,2994,8116,2989,8040,2999,7968,3024,7900,3065,7835,3120,7781,3184,7742,3251,7718,3323,7709,3399,7715,3478,7731,3547,7758,3616,7794,3685,7839,3755,7895,3825,7961,3896,8022,3953,8082,4003,8142,4045,8201,4080,8259,4107,8329,4131,8397,4145,8461,4149,8521,4142,8579,4126,8635,4099,8690,4061,8744,4013,8791,3959,8827,3903,8844,3863,8852,3844,8865,3783,8868,3720xm9348,3379l9025,3056,9132,2949,9182,2889,9188,2879,9216,2828,9233,2764,9233,2700,9217,2634,9194,2583,9187,2568,9142,2502,9084,2436,9020,2379,8957,2336,8948,2332,8948,2725,8947,2751,8938,2777,8921,2804,8896,2832,8849,2879,8654,2685,8710,2630,8737,2606,8763,2591,8788,2583,8812,2584,8836,2590,8859,2601,8881,2615,8902,2634,8920,2655,8934,2678,8943,2701,8948,2725,8948,2332,8895,2307,8833,2291,8773,2290,8715,2305,8659,2335,8605,2380,8282,2703,9153,3575,9348,3379xm10166,2561l9801,2197,9748,2047,9593,1595,9540,1445,9325,1661,9353,1731,9436,1942,9492,2082,9422,2054,9211,1971,9071,1915,8854,2131,9005,2184,9456,2339,9606,2392,9971,2756,10166,2561xe" filled="true" fillcolor="#c0c0c0" stroked="false">
                <v:path arrowok="t"/>
                <v:fill opacity="32896f" type="solid"/>
                <w10:wrap type="none"/>
              </v:shape>
            </w:pict>
          </mc:Fallback>
        </mc:AlternateContent>
      </w:r>
      <w:r>
        <w:rPr/>
        <w:t>Cointegration means that there is acorrelationship among thevariables. Cointegration test is done on the residualof the model. Since theunit root test shows that all thevariables are stationary,</w:t>
      </w:r>
      <w:r>
        <w:rPr>
          <w:spacing w:val="-2"/>
        </w:rPr>
        <w:t> </w:t>
      </w:r>
      <w:r>
        <w:rPr/>
        <w:t>we</w:t>
      </w:r>
      <w:r>
        <w:rPr>
          <w:spacing w:val="-3"/>
        </w:rPr>
        <w:t> </w:t>
      </w:r>
      <w:r>
        <w:rPr/>
        <w:t>go</w:t>
      </w:r>
      <w:r>
        <w:rPr>
          <w:spacing w:val="-3"/>
        </w:rPr>
        <w:t> </w:t>
      </w:r>
      <w:r>
        <w:rPr/>
        <w:t>furtherto</w:t>
      </w:r>
      <w:r>
        <w:rPr>
          <w:spacing w:val="-3"/>
        </w:rPr>
        <w:t> </w:t>
      </w:r>
      <w:r>
        <w:rPr/>
        <w:t>carry</w:t>
      </w:r>
      <w:r>
        <w:rPr>
          <w:spacing w:val="-3"/>
        </w:rPr>
        <w:t> </w:t>
      </w:r>
      <w:r>
        <w:rPr/>
        <w:t>out</w:t>
      </w:r>
      <w:r>
        <w:rPr>
          <w:spacing w:val="-3"/>
        </w:rPr>
        <w:t> </w:t>
      </w:r>
      <w:r>
        <w:rPr/>
        <w:t>the</w:t>
      </w:r>
      <w:r>
        <w:rPr>
          <w:spacing w:val="-2"/>
        </w:rPr>
        <w:t> </w:t>
      </w:r>
      <w:r>
        <w:rPr/>
        <w:t>cointegration</w:t>
      </w:r>
      <w:r>
        <w:rPr>
          <w:spacing w:val="-3"/>
        </w:rPr>
        <w:t> </w:t>
      </w:r>
      <w:r>
        <w:rPr/>
        <w:t>test.</w:t>
      </w:r>
      <w:r>
        <w:rPr>
          <w:spacing w:val="-3"/>
        </w:rPr>
        <w:t> </w:t>
      </w:r>
      <w:r>
        <w:rPr/>
        <w:t>The</w:t>
      </w:r>
      <w:r>
        <w:rPr>
          <w:spacing w:val="-3"/>
        </w:rPr>
        <w:t> </w:t>
      </w:r>
      <w:r>
        <w:rPr/>
        <w:t>essenceis</w:t>
      </w:r>
      <w:r>
        <w:rPr>
          <w:spacing w:val="-1"/>
        </w:rPr>
        <w:t> </w:t>
      </w:r>
      <w:r>
        <w:rPr/>
        <w:t>to</w:t>
      </w:r>
      <w:r>
        <w:rPr>
          <w:spacing w:val="-3"/>
        </w:rPr>
        <w:t> </w:t>
      </w:r>
      <w:r>
        <w:rPr/>
        <w:t>show</w:t>
      </w:r>
      <w:r>
        <w:rPr>
          <w:spacing w:val="-3"/>
        </w:rPr>
        <w:t> </w:t>
      </w:r>
      <w:r>
        <w:rPr/>
        <w:t>whether</w:t>
      </w:r>
      <w:r>
        <w:rPr>
          <w:spacing w:val="-1"/>
        </w:rPr>
        <w:t> </w:t>
      </w:r>
      <w:r>
        <w:rPr/>
        <w:t>the variables have a long termrelationship or equilibriumamong them. That is, thevariables are cointegratedand will not</w:t>
      </w:r>
      <w:r>
        <w:rPr>
          <w:spacing w:val="-1"/>
        </w:rPr>
        <w:t> </w:t>
      </w:r>
      <w:r>
        <w:rPr/>
        <w:t>produce aspurious regression. The result is presentedin table 3 </w:t>
      </w:r>
      <w:r>
        <w:rPr>
          <w:spacing w:val="-2"/>
        </w:rPr>
        <w:t>below.</w:t>
      </w:r>
    </w:p>
    <w:p>
      <w:pPr>
        <w:pStyle w:val="Heading2"/>
        <w:spacing w:line="287" w:lineRule="exact" w:after="23"/>
        <w:ind w:left="220" w:firstLine="0"/>
        <w:jc w:val="both"/>
      </w:pPr>
      <w:r>
        <w:rPr/>
        <w:t>Table</w:t>
      </w:r>
      <w:r>
        <w:rPr>
          <w:spacing w:val="-8"/>
        </w:rPr>
        <w:t> </w:t>
      </w:r>
      <w:r>
        <w:rPr/>
        <w:t>3:</w:t>
      </w:r>
      <w:r>
        <w:rPr>
          <w:spacing w:val="-7"/>
        </w:rPr>
        <w:t> </w:t>
      </w:r>
      <w:r>
        <w:rPr/>
        <w:t>Result</w:t>
      </w:r>
      <w:r>
        <w:rPr>
          <w:spacing w:val="-6"/>
        </w:rPr>
        <w:t> </w:t>
      </w:r>
      <w:r>
        <w:rPr/>
        <w:t>of</w:t>
      </w:r>
      <w:r>
        <w:rPr>
          <w:spacing w:val="-7"/>
        </w:rPr>
        <w:t> </w:t>
      </w:r>
      <w:r>
        <w:rPr/>
        <w:t>Cointegration</w:t>
      </w:r>
      <w:r>
        <w:rPr>
          <w:spacing w:val="-7"/>
        </w:rPr>
        <w:t> </w:t>
      </w:r>
      <w:r>
        <w:rPr>
          <w:spacing w:val="-4"/>
        </w:rPr>
        <w:t>Test</w:t>
      </w:r>
    </w:p>
    <w:tbl>
      <w:tblPr>
        <w:tblW w:w="0" w:type="auto"/>
        <w:jc w:val="left"/>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4"/>
        <w:gridCol w:w="1407"/>
        <w:gridCol w:w="1321"/>
        <w:gridCol w:w="1592"/>
        <w:gridCol w:w="1295"/>
      </w:tblGrid>
      <w:tr>
        <w:trPr>
          <w:trHeight w:val="291" w:hRule="atLeast"/>
        </w:trPr>
        <w:tc>
          <w:tcPr>
            <w:tcW w:w="7059" w:type="dxa"/>
            <w:gridSpan w:val="5"/>
            <w:tcBorders>
              <w:bottom w:val="double" w:sz="6" w:space="0" w:color="000000"/>
            </w:tcBorders>
          </w:tcPr>
          <w:p>
            <w:pPr>
              <w:pStyle w:val="TableParagraph"/>
              <w:spacing w:line="201" w:lineRule="exact" w:before="0"/>
              <w:rPr>
                <w:sz w:val="18"/>
              </w:rPr>
            </w:pPr>
            <w:r>
              <w:rPr>
                <w:sz w:val="18"/>
              </w:rPr>
              <w:t>Unrestricted</w:t>
            </w:r>
            <w:r>
              <w:rPr>
                <w:spacing w:val="-12"/>
                <w:sz w:val="18"/>
              </w:rPr>
              <w:t> </w:t>
            </w:r>
            <w:r>
              <w:rPr>
                <w:sz w:val="18"/>
              </w:rPr>
              <w:t>Cointegration</w:t>
            </w:r>
            <w:r>
              <w:rPr>
                <w:spacing w:val="-12"/>
                <w:sz w:val="18"/>
              </w:rPr>
              <w:t> </w:t>
            </w:r>
            <w:r>
              <w:rPr>
                <w:sz w:val="18"/>
              </w:rPr>
              <w:t>Rank</w:t>
            </w:r>
            <w:r>
              <w:rPr>
                <w:spacing w:val="-11"/>
                <w:sz w:val="18"/>
              </w:rPr>
              <w:t> </w:t>
            </w:r>
            <w:r>
              <w:rPr>
                <w:sz w:val="18"/>
              </w:rPr>
              <w:t>Test</w:t>
            </w:r>
            <w:r>
              <w:rPr>
                <w:spacing w:val="-12"/>
                <w:sz w:val="18"/>
              </w:rPr>
              <w:t> </w:t>
            </w:r>
            <w:r>
              <w:rPr>
                <w:spacing w:val="-2"/>
                <w:sz w:val="18"/>
              </w:rPr>
              <w:t>(Trace)</w:t>
            </w:r>
          </w:p>
        </w:tc>
      </w:tr>
      <w:tr>
        <w:trPr>
          <w:trHeight w:val="326" w:hRule="atLeast"/>
        </w:trPr>
        <w:tc>
          <w:tcPr>
            <w:tcW w:w="1444" w:type="dxa"/>
            <w:tcBorders>
              <w:top w:val="double" w:sz="6" w:space="0" w:color="000000"/>
            </w:tcBorders>
          </w:tcPr>
          <w:p>
            <w:pPr>
              <w:pStyle w:val="TableParagraph"/>
              <w:spacing w:line="198" w:lineRule="exact" w:before="108"/>
              <w:ind w:left="1" w:right="56"/>
              <w:jc w:val="center"/>
              <w:rPr>
                <w:sz w:val="18"/>
              </w:rPr>
            </w:pPr>
            <w:r>
              <w:rPr>
                <w:spacing w:val="-2"/>
                <w:sz w:val="18"/>
              </w:rPr>
              <w:t>Hypothesized</w:t>
            </w:r>
          </w:p>
        </w:tc>
        <w:tc>
          <w:tcPr>
            <w:tcW w:w="1407" w:type="dxa"/>
            <w:tcBorders>
              <w:top w:val="double" w:sz="6" w:space="0" w:color="000000"/>
            </w:tcBorders>
          </w:tcPr>
          <w:p>
            <w:pPr>
              <w:pStyle w:val="TableParagraph"/>
              <w:spacing w:line="240" w:lineRule="auto" w:before="0"/>
              <w:rPr>
                <w:rFonts w:ascii="Times New Roman"/>
                <w:sz w:val="20"/>
              </w:rPr>
            </w:pPr>
          </w:p>
        </w:tc>
        <w:tc>
          <w:tcPr>
            <w:tcW w:w="1321" w:type="dxa"/>
            <w:tcBorders>
              <w:top w:val="double" w:sz="6" w:space="0" w:color="000000"/>
            </w:tcBorders>
          </w:tcPr>
          <w:p>
            <w:pPr>
              <w:pStyle w:val="TableParagraph"/>
              <w:spacing w:line="198" w:lineRule="exact" w:before="108"/>
              <w:ind w:left="53" w:right="52"/>
              <w:jc w:val="center"/>
              <w:rPr>
                <w:sz w:val="18"/>
              </w:rPr>
            </w:pPr>
            <w:r>
              <w:rPr>
                <w:spacing w:val="-2"/>
                <w:sz w:val="18"/>
              </w:rPr>
              <w:t>Trace</w:t>
            </w:r>
          </w:p>
        </w:tc>
        <w:tc>
          <w:tcPr>
            <w:tcW w:w="1592" w:type="dxa"/>
            <w:tcBorders>
              <w:top w:val="double" w:sz="6" w:space="0" w:color="000000"/>
            </w:tcBorders>
          </w:tcPr>
          <w:p>
            <w:pPr>
              <w:pStyle w:val="TableParagraph"/>
              <w:spacing w:line="198" w:lineRule="exact" w:before="108"/>
              <w:ind w:left="1" w:right="73"/>
              <w:jc w:val="center"/>
              <w:rPr>
                <w:sz w:val="18"/>
              </w:rPr>
            </w:pPr>
            <w:r>
              <w:rPr>
                <w:spacing w:val="-4"/>
                <w:sz w:val="18"/>
              </w:rPr>
              <w:t>0.05</w:t>
            </w:r>
          </w:p>
        </w:tc>
        <w:tc>
          <w:tcPr>
            <w:tcW w:w="1295" w:type="dxa"/>
            <w:tcBorders>
              <w:top w:val="double" w:sz="6" w:space="0" w:color="000000"/>
            </w:tcBorders>
          </w:tcPr>
          <w:p>
            <w:pPr>
              <w:pStyle w:val="TableParagraph"/>
              <w:spacing w:line="240" w:lineRule="auto" w:before="0"/>
              <w:rPr>
                <w:rFonts w:ascii="Times New Roman"/>
                <w:sz w:val="20"/>
              </w:rPr>
            </w:pPr>
          </w:p>
        </w:tc>
      </w:tr>
      <w:tr>
        <w:trPr>
          <w:trHeight w:val="302" w:hRule="atLeast"/>
        </w:trPr>
        <w:tc>
          <w:tcPr>
            <w:tcW w:w="1444" w:type="dxa"/>
            <w:tcBorders>
              <w:bottom w:val="double" w:sz="6" w:space="0" w:color="000000"/>
            </w:tcBorders>
          </w:tcPr>
          <w:p>
            <w:pPr>
              <w:pStyle w:val="TableParagraph"/>
              <w:spacing w:line="240" w:lineRule="auto" w:before="5"/>
              <w:ind w:left="1" w:right="56"/>
              <w:jc w:val="center"/>
              <w:rPr>
                <w:sz w:val="18"/>
              </w:rPr>
            </w:pPr>
            <w:r>
              <w:rPr>
                <w:sz w:val="18"/>
              </w:rPr>
              <w:t>No. of </w:t>
            </w:r>
            <w:r>
              <w:rPr>
                <w:spacing w:val="-2"/>
                <w:sz w:val="18"/>
              </w:rPr>
              <w:t>CE(s)</w:t>
            </w:r>
          </w:p>
        </w:tc>
        <w:tc>
          <w:tcPr>
            <w:tcW w:w="1407" w:type="dxa"/>
            <w:tcBorders>
              <w:bottom w:val="double" w:sz="6" w:space="0" w:color="000000"/>
            </w:tcBorders>
          </w:tcPr>
          <w:p>
            <w:pPr>
              <w:pStyle w:val="TableParagraph"/>
              <w:spacing w:line="240" w:lineRule="auto" w:before="5"/>
              <w:ind w:right="104"/>
              <w:jc w:val="center"/>
              <w:rPr>
                <w:sz w:val="18"/>
              </w:rPr>
            </w:pPr>
            <w:r>
              <w:rPr>
                <w:spacing w:val="-2"/>
                <w:sz w:val="18"/>
              </w:rPr>
              <w:t>Eigenvalue</w:t>
            </w:r>
          </w:p>
        </w:tc>
        <w:tc>
          <w:tcPr>
            <w:tcW w:w="1321" w:type="dxa"/>
            <w:tcBorders>
              <w:bottom w:val="double" w:sz="6" w:space="0" w:color="000000"/>
            </w:tcBorders>
          </w:tcPr>
          <w:p>
            <w:pPr>
              <w:pStyle w:val="TableParagraph"/>
              <w:spacing w:line="240" w:lineRule="auto" w:before="5"/>
              <w:ind w:left="53" w:right="54"/>
              <w:jc w:val="center"/>
              <w:rPr>
                <w:sz w:val="18"/>
              </w:rPr>
            </w:pPr>
            <w:r>
              <w:rPr>
                <w:spacing w:val="-2"/>
                <w:sz w:val="18"/>
              </w:rPr>
              <w:t>Statistic</w:t>
            </w:r>
          </w:p>
        </w:tc>
        <w:tc>
          <w:tcPr>
            <w:tcW w:w="1592" w:type="dxa"/>
            <w:tcBorders>
              <w:bottom w:val="double" w:sz="6" w:space="0" w:color="000000"/>
            </w:tcBorders>
          </w:tcPr>
          <w:p>
            <w:pPr>
              <w:pStyle w:val="TableParagraph"/>
              <w:spacing w:line="240" w:lineRule="auto" w:before="5"/>
              <w:ind w:right="73"/>
              <w:jc w:val="center"/>
              <w:rPr>
                <w:sz w:val="18"/>
              </w:rPr>
            </w:pPr>
            <w:r>
              <w:rPr>
                <w:sz w:val="18"/>
              </w:rPr>
              <w:t>Critical</w:t>
            </w:r>
            <w:r>
              <w:rPr>
                <w:spacing w:val="-6"/>
                <w:sz w:val="18"/>
              </w:rPr>
              <w:t> </w:t>
            </w:r>
            <w:r>
              <w:rPr>
                <w:spacing w:val="-2"/>
                <w:sz w:val="18"/>
              </w:rPr>
              <w:t>Value</w:t>
            </w:r>
          </w:p>
        </w:tc>
        <w:tc>
          <w:tcPr>
            <w:tcW w:w="1295" w:type="dxa"/>
            <w:tcBorders>
              <w:bottom w:val="double" w:sz="6" w:space="0" w:color="000000"/>
            </w:tcBorders>
          </w:tcPr>
          <w:p>
            <w:pPr>
              <w:pStyle w:val="TableParagraph"/>
              <w:spacing w:line="240" w:lineRule="auto" w:before="5"/>
              <w:ind w:left="299"/>
              <w:rPr>
                <w:sz w:val="18"/>
              </w:rPr>
            </w:pPr>
            <w:r>
              <w:rPr>
                <w:spacing w:val="-2"/>
                <w:sz w:val="18"/>
              </w:rPr>
              <w:t>Prob.**</w:t>
            </w:r>
          </w:p>
        </w:tc>
      </w:tr>
      <w:tr>
        <w:trPr>
          <w:trHeight w:val="327" w:hRule="atLeast"/>
        </w:trPr>
        <w:tc>
          <w:tcPr>
            <w:tcW w:w="1444" w:type="dxa"/>
            <w:tcBorders>
              <w:top w:val="double" w:sz="6" w:space="0" w:color="000000"/>
            </w:tcBorders>
          </w:tcPr>
          <w:p>
            <w:pPr>
              <w:pStyle w:val="TableParagraph"/>
              <w:spacing w:before="108"/>
              <w:ind w:left="1" w:right="56"/>
              <w:jc w:val="center"/>
              <w:rPr>
                <w:sz w:val="18"/>
              </w:rPr>
            </w:pPr>
            <w:r>
              <w:rPr>
                <w:sz w:val="18"/>
              </w:rPr>
              <w:t>None</w:t>
            </w:r>
            <w:r>
              <w:rPr>
                <w:spacing w:val="-7"/>
                <w:sz w:val="18"/>
              </w:rPr>
              <w:t> </w:t>
            </w:r>
            <w:r>
              <w:rPr>
                <w:spacing w:val="-10"/>
                <w:sz w:val="18"/>
              </w:rPr>
              <w:t>*</w:t>
            </w:r>
          </w:p>
        </w:tc>
        <w:tc>
          <w:tcPr>
            <w:tcW w:w="1407" w:type="dxa"/>
            <w:tcBorders>
              <w:top w:val="double" w:sz="6" w:space="0" w:color="000000"/>
            </w:tcBorders>
          </w:tcPr>
          <w:p>
            <w:pPr>
              <w:pStyle w:val="TableParagraph"/>
              <w:spacing w:before="108"/>
              <w:ind w:left="48" w:right="104"/>
              <w:jc w:val="center"/>
              <w:rPr>
                <w:sz w:val="18"/>
              </w:rPr>
            </w:pPr>
            <w:r>
              <w:rPr>
                <w:spacing w:val="-2"/>
                <w:sz w:val="18"/>
              </w:rPr>
              <w:t>0.936456</w:t>
            </w:r>
          </w:p>
        </w:tc>
        <w:tc>
          <w:tcPr>
            <w:tcW w:w="1321" w:type="dxa"/>
            <w:tcBorders>
              <w:top w:val="double" w:sz="6" w:space="0" w:color="000000"/>
            </w:tcBorders>
          </w:tcPr>
          <w:p>
            <w:pPr>
              <w:pStyle w:val="TableParagraph"/>
              <w:spacing w:before="108"/>
              <w:ind w:left="53" w:right="2"/>
              <w:jc w:val="center"/>
              <w:rPr>
                <w:sz w:val="18"/>
              </w:rPr>
            </w:pPr>
            <w:r>
              <w:rPr>
                <w:spacing w:val="-2"/>
                <w:sz w:val="18"/>
              </w:rPr>
              <w:t>328.3464</w:t>
            </w:r>
          </w:p>
        </w:tc>
        <w:tc>
          <w:tcPr>
            <w:tcW w:w="1592" w:type="dxa"/>
            <w:tcBorders>
              <w:top w:val="double" w:sz="6" w:space="0" w:color="000000"/>
            </w:tcBorders>
          </w:tcPr>
          <w:p>
            <w:pPr>
              <w:pStyle w:val="TableParagraph"/>
              <w:spacing w:before="108"/>
              <w:ind w:left="51" w:right="73"/>
              <w:jc w:val="center"/>
              <w:rPr>
                <w:sz w:val="18"/>
              </w:rPr>
            </w:pPr>
            <w:r>
              <w:rPr>
                <w:spacing w:val="-2"/>
                <w:sz w:val="18"/>
              </w:rPr>
              <w:t>197.3709</w:t>
            </w:r>
          </w:p>
        </w:tc>
        <w:tc>
          <w:tcPr>
            <w:tcW w:w="1295" w:type="dxa"/>
            <w:tcBorders>
              <w:top w:val="double" w:sz="6" w:space="0" w:color="000000"/>
            </w:tcBorders>
          </w:tcPr>
          <w:p>
            <w:pPr>
              <w:pStyle w:val="TableParagraph"/>
              <w:spacing w:before="108"/>
              <w:ind w:left="335"/>
              <w:rPr>
                <w:sz w:val="18"/>
              </w:rPr>
            </w:pPr>
            <w:r>
              <w:rPr>
                <w:spacing w:val="-2"/>
                <w:sz w:val="18"/>
              </w:rPr>
              <w:t>0.0000</w:t>
            </w:r>
          </w:p>
        </w:tc>
      </w:tr>
      <w:tr>
        <w:trPr>
          <w:trHeight w:val="224" w:hRule="atLeast"/>
        </w:trPr>
        <w:tc>
          <w:tcPr>
            <w:tcW w:w="1444" w:type="dxa"/>
          </w:tcPr>
          <w:p>
            <w:pPr>
              <w:pStyle w:val="TableParagraph"/>
              <w:spacing w:line="198" w:lineRule="exact"/>
              <w:ind w:left="1" w:right="56"/>
              <w:jc w:val="center"/>
              <w:rPr>
                <w:sz w:val="18"/>
              </w:rPr>
            </w:pPr>
            <w:r>
              <w:rPr>
                <w:sz w:val="18"/>
              </w:rPr>
              <w:t>At</w:t>
            </w:r>
            <w:r>
              <w:rPr>
                <w:spacing w:val="-3"/>
                <w:sz w:val="18"/>
              </w:rPr>
              <w:t> </w:t>
            </w:r>
            <w:r>
              <w:rPr>
                <w:sz w:val="18"/>
              </w:rPr>
              <w:t>most 1 </w:t>
            </w:r>
            <w:r>
              <w:rPr>
                <w:spacing w:val="-10"/>
                <w:sz w:val="18"/>
              </w:rPr>
              <w:t>*</w:t>
            </w:r>
          </w:p>
        </w:tc>
        <w:tc>
          <w:tcPr>
            <w:tcW w:w="1407" w:type="dxa"/>
          </w:tcPr>
          <w:p>
            <w:pPr>
              <w:pStyle w:val="TableParagraph"/>
              <w:spacing w:line="198" w:lineRule="exact"/>
              <w:ind w:left="48" w:right="104"/>
              <w:jc w:val="center"/>
              <w:rPr>
                <w:sz w:val="18"/>
              </w:rPr>
            </w:pPr>
            <w:r>
              <w:rPr>
                <w:spacing w:val="-2"/>
                <w:sz w:val="18"/>
              </w:rPr>
              <w:t>0.883467</w:t>
            </w:r>
          </w:p>
        </w:tc>
        <w:tc>
          <w:tcPr>
            <w:tcW w:w="1321" w:type="dxa"/>
          </w:tcPr>
          <w:p>
            <w:pPr>
              <w:pStyle w:val="TableParagraph"/>
              <w:spacing w:line="198" w:lineRule="exact"/>
              <w:ind w:left="53" w:right="2"/>
              <w:jc w:val="center"/>
              <w:rPr>
                <w:sz w:val="18"/>
              </w:rPr>
            </w:pPr>
            <w:r>
              <w:rPr>
                <w:spacing w:val="-2"/>
                <w:sz w:val="18"/>
              </w:rPr>
              <w:t>237.3978</w:t>
            </w:r>
          </w:p>
        </w:tc>
        <w:tc>
          <w:tcPr>
            <w:tcW w:w="1592" w:type="dxa"/>
          </w:tcPr>
          <w:p>
            <w:pPr>
              <w:pStyle w:val="TableParagraph"/>
              <w:spacing w:line="198" w:lineRule="exact"/>
              <w:ind w:left="51" w:right="73"/>
              <w:jc w:val="center"/>
              <w:rPr>
                <w:sz w:val="18"/>
              </w:rPr>
            </w:pPr>
            <w:r>
              <w:rPr>
                <w:spacing w:val="-2"/>
                <w:sz w:val="18"/>
              </w:rPr>
              <w:t>159.5297</w:t>
            </w:r>
          </w:p>
        </w:tc>
        <w:tc>
          <w:tcPr>
            <w:tcW w:w="1295" w:type="dxa"/>
          </w:tcPr>
          <w:p>
            <w:pPr>
              <w:pStyle w:val="TableParagraph"/>
              <w:spacing w:line="198" w:lineRule="exact"/>
              <w:ind w:left="335"/>
              <w:rPr>
                <w:sz w:val="18"/>
              </w:rPr>
            </w:pPr>
            <w:r>
              <w:rPr>
                <w:spacing w:val="-2"/>
                <w:sz w:val="18"/>
              </w:rPr>
              <w:t>0.0000</w:t>
            </w:r>
          </w:p>
        </w:tc>
      </w:tr>
      <w:tr>
        <w:trPr>
          <w:trHeight w:val="224" w:hRule="atLeast"/>
        </w:trPr>
        <w:tc>
          <w:tcPr>
            <w:tcW w:w="1444" w:type="dxa"/>
          </w:tcPr>
          <w:p>
            <w:pPr>
              <w:pStyle w:val="TableParagraph"/>
              <w:spacing w:before="5"/>
              <w:ind w:left="1" w:right="56"/>
              <w:jc w:val="center"/>
              <w:rPr>
                <w:sz w:val="18"/>
              </w:rPr>
            </w:pPr>
            <w:r>
              <w:rPr>
                <w:sz w:val="18"/>
              </w:rPr>
              <w:t>At</w:t>
            </w:r>
            <w:r>
              <w:rPr>
                <w:spacing w:val="-3"/>
                <w:sz w:val="18"/>
              </w:rPr>
              <w:t> </w:t>
            </w:r>
            <w:r>
              <w:rPr>
                <w:sz w:val="18"/>
              </w:rPr>
              <w:t>most 2 </w:t>
            </w:r>
            <w:r>
              <w:rPr>
                <w:spacing w:val="-10"/>
                <w:sz w:val="18"/>
              </w:rPr>
              <w:t>*</w:t>
            </w:r>
          </w:p>
        </w:tc>
        <w:tc>
          <w:tcPr>
            <w:tcW w:w="1407" w:type="dxa"/>
          </w:tcPr>
          <w:p>
            <w:pPr>
              <w:pStyle w:val="TableParagraph"/>
              <w:spacing w:before="5"/>
              <w:ind w:left="48" w:right="104"/>
              <w:jc w:val="center"/>
              <w:rPr>
                <w:sz w:val="18"/>
              </w:rPr>
            </w:pPr>
            <w:r>
              <w:rPr>
                <w:spacing w:val="-2"/>
                <w:sz w:val="18"/>
              </w:rPr>
              <w:t>0.809735</w:t>
            </w:r>
          </w:p>
        </w:tc>
        <w:tc>
          <w:tcPr>
            <w:tcW w:w="1321" w:type="dxa"/>
          </w:tcPr>
          <w:p>
            <w:pPr>
              <w:pStyle w:val="TableParagraph"/>
              <w:spacing w:before="5"/>
              <w:ind w:left="53" w:right="2"/>
              <w:jc w:val="center"/>
              <w:rPr>
                <w:sz w:val="18"/>
              </w:rPr>
            </w:pPr>
            <w:r>
              <w:rPr>
                <w:spacing w:val="-2"/>
                <w:sz w:val="18"/>
              </w:rPr>
              <w:t>166.4616</w:t>
            </w:r>
          </w:p>
        </w:tc>
        <w:tc>
          <w:tcPr>
            <w:tcW w:w="1592" w:type="dxa"/>
          </w:tcPr>
          <w:p>
            <w:pPr>
              <w:pStyle w:val="TableParagraph"/>
              <w:spacing w:before="5"/>
              <w:ind w:left="51" w:right="73"/>
              <w:jc w:val="center"/>
              <w:rPr>
                <w:sz w:val="18"/>
              </w:rPr>
            </w:pPr>
            <w:r>
              <w:rPr>
                <w:spacing w:val="-2"/>
                <w:sz w:val="18"/>
              </w:rPr>
              <w:t>125.6154</w:t>
            </w:r>
          </w:p>
        </w:tc>
        <w:tc>
          <w:tcPr>
            <w:tcW w:w="1295" w:type="dxa"/>
          </w:tcPr>
          <w:p>
            <w:pPr>
              <w:pStyle w:val="TableParagraph"/>
              <w:spacing w:before="5"/>
              <w:ind w:left="335"/>
              <w:rPr>
                <w:sz w:val="18"/>
              </w:rPr>
            </w:pPr>
            <w:r>
              <w:rPr>
                <w:spacing w:val="-2"/>
                <w:sz w:val="18"/>
              </w:rPr>
              <w:t>0.0000</w:t>
            </w:r>
          </w:p>
        </w:tc>
      </w:tr>
      <w:tr>
        <w:trPr>
          <w:trHeight w:val="225" w:hRule="atLeast"/>
        </w:trPr>
        <w:tc>
          <w:tcPr>
            <w:tcW w:w="1444" w:type="dxa"/>
          </w:tcPr>
          <w:p>
            <w:pPr>
              <w:pStyle w:val="TableParagraph"/>
              <w:ind w:left="1" w:right="56"/>
              <w:jc w:val="center"/>
              <w:rPr>
                <w:sz w:val="18"/>
              </w:rPr>
            </w:pPr>
            <w:r>
              <w:rPr>
                <w:sz w:val="18"/>
              </w:rPr>
              <w:t>At</w:t>
            </w:r>
            <w:r>
              <w:rPr>
                <w:spacing w:val="-3"/>
                <w:sz w:val="18"/>
              </w:rPr>
              <w:t> </w:t>
            </w:r>
            <w:r>
              <w:rPr>
                <w:sz w:val="18"/>
              </w:rPr>
              <w:t>most 3 </w:t>
            </w:r>
            <w:r>
              <w:rPr>
                <w:spacing w:val="-10"/>
                <w:sz w:val="18"/>
              </w:rPr>
              <w:t>*</w:t>
            </w:r>
          </w:p>
        </w:tc>
        <w:tc>
          <w:tcPr>
            <w:tcW w:w="1407" w:type="dxa"/>
          </w:tcPr>
          <w:p>
            <w:pPr>
              <w:pStyle w:val="TableParagraph"/>
              <w:ind w:left="48" w:right="104"/>
              <w:jc w:val="center"/>
              <w:rPr>
                <w:sz w:val="18"/>
              </w:rPr>
            </w:pPr>
            <w:r>
              <w:rPr>
                <w:spacing w:val="-2"/>
                <w:sz w:val="18"/>
              </w:rPr>
              <w:t>0.648905</w:t>
            </w:r>
          </w:p>
        </w:tc>
        <w:tc>
          <w:tcPr>
            <w:tcW w:w="1321" w:type="dxa"/>
          </w:tcPr>
          <w:p>
            <w:pPr>
              <w:pStyle w:val="TableParagraph"/>
              <w:ind w:left="53" w:right="2"/>
              <w:jc w:val="center"/>
              <w:rPr>
                <w:sz w:val="18"/>
              </w:rPr>
            </w:pPr>
            <w:r>
              <w:rPr>
                <w:spacing w:val="-2"/>
                <w:sz w:val="18"/>
              </w:rPr>
              <w:t>111.7034</w:t>
            </w:r>
          </w:p>
        </w:tc>
        <w:tc>
          <w:tcPr>
            <w:tcW w:w="1592" w:type="dxa"/>
          </w:tcPr>
          <w:p>
            <w:pPr>
              <w:pStyle w:val="TableParagraph"/>
              <w:ind w:left="51" w:right="73"/>
              <w:jc w:val="center"/>
              <w:rPr>
                <w:sz w:val="18"/>
              </w:rPr>
            </w:pPr>
            <w:r>
              <w:rPr>
                <w:spacing w:val="-2"/>
                <w:sz w:val="18"/>
              </w:rPr>
              <w:t>95.75366</w:t>
            </w:r>
          </w:p>
        </w:tc>
        <w:tc>
          <w:tcPr>
            <w:tcW w:w="1295" w:type="dxa"/>
          </w:tcPr>
          <w:p>
            <w:pPr>
              <w:pStyle w:val="TableParagraph"/>
              <w:ind w:left="335"/>
              <w:rPr>
                <w:sz w:val="18"/>
              </w:rPr>
            </w:pPr>
            <w:r>
              <w:rPr>
                <w:spacing w:val="-2"/>
                <w:sz w:val="18"/>
              </w:rPr>
              <w:t>0.0026</w:t>
            </w:r>
          </w:p>
        </w:tc>
      </w:tr>
      <w:tr>
        <w:trPr>
          <w:trHeight w:val="225" w:hRule="atLeast"/>
        </w:trPr>
        <w:tc>
          <w:tcPr>
            <w:tcW w:w="1444" w:type="dxa"/>
          </w:tcPr>
          <w:p>
            <w:pPr>
              <w:pStyle w:val="TableParagraph"/>
              <w:ind w:left="1" w:right="56"/>
              <w:jc w:val="center"/>
              <w:rPr>
                <w:sz w:val="18"/>
              </w:rPr>
            </w:pPr>
            <w:r>
              <w:rPr>
                <w:sz w:val="18"/>
              </w:rPr>
              <w:t>At</w:t>
            </w:r>
            <w:r>
              <w:rPr>
                <w:spacing w:val="-3"/>
                <w:sz w:val="18"/>
              </w:rPr>
              <w:t> </w:t>
            </w:r>
            <w:r>
              <w:rPr>
                <w:sz w:val="18"/>
              </w:rPr>
              <w:t>most 4 </w:t>
            </w:r>
            <w:r>
              <w:rPr>
                <w:spacing w:val="-10"/>
                <w:sz w:val="18"/>
              </w:rPr>
              <w:t>*</w:t>
            </w:r>
          </w:p>
        </w:tc>
        <w:tc>
          <w:tcPr>
            <w:tcW w:w="1407" w:type="dxa"/>
          </w:tcPr>
          <w:p>
            <w:pPr>
              <w:pStyle w:val="TableParagraph"/>
              <w:ind w:left="48" w:right="104"/>
              <w:jc w:val="center"/>
              <w:rPr>
                <w:sz w:val="18"/>
              </w:rPr>
            </w:pPr>
            <w:r>
              <w:rPr>
                <w:spacing w:val="-2"/>
                <w:sz w:val="18"/>
              </w:rPr>
              <w:t>0.632945</w:t>
            </w:r>
          </w:p>
        </w:tc>
        <w:tc>
          <w:tcPr>
            <w:tcW w:w="1321" w:type="dxa"/>
          </w:tcPr>
          <w:p>
            <w:pPr>
              <w:pStyle w:val="TableParagraph"/>
              <w:ind w:left="53" w:right="2"/>
              <w:jc w:val="center"/>
              <w:rPr>
                <w:sz w:val="18"/>
              </w:rPr>
            </w:pPr>
            <w:r>
              <w:rPr>
                <w:spacing w:val="-2"/>
                <w:sz w:val="18"/>
              </w:rPr>
              <w:t>77.16236</w:t>
            </w:r>
          </w:p>
        </w:tc>
        <w:tc>
          <w:tcPr>
            <w:tcW w:w="1592" w:type="dxa"/>
          </w:tcPr>
          <w:p>
            <w:pPr>
              <w:pStyle w:val="TableParagraph"/>
              <w:ind w:left="51" w:right="73"/>
              <w:jc w:val="center"/>
              <w:rPr>
                <w:sz w:val="18"/>
              </w:rPr>
            </w:pPr>
            <w:r>
              <w:rPr>
                <w:spacing w:val="-2"/>
                <w:sz w:val="18"/>
              </w:rPr>
              <w:t>69.81889</w:t>
            </w:r>
          </w:p>
        </w:tc>
        <w:tc>
          <w:tcPr>
            <w:tcW w:w="1295" w:type="dxa"/>
          </w:tcPr>
          <w:p>
            <w:pPr>
              <w:pStyle w:val="TableParagraph"/>
              <w:ind w:left="335"/>
              <w:rPr>
                <w:sz w:val="18"/>
              </w:rPr>
            </w:pPr>
            <w:r>
              <w:rPr>
                <w:spacing w:val="-2"/>
                <w:sz w:val="18"/>
              </w:rPr>
              <w:t>0.0115</w:t>
            </w:r>
          </w:p>
        </w:tc>
      </w:tr>
      <w:tr>
        <w:trPr>
          <w:trHeight w:val="224" w:hRule="atLeast"/>
        </w:trPr>
        <w:tc>
          <w:tcPr>
            <w:tcW w:w="1444" w:type="dxa"/>
          </w:tcPr>
          <w:p>
            <w:pPr>
              <w:pStyle w:val="TableParagraph"/>
              <w:spacing w:line="198" w:lineRule="exact"/>
              <w:ind w:right="56"/>
              <w:jc w:val="center"/>
              <w:rPr>
                <w:sz w:val="18"/>
              </w:rPr>
            </w:pPr>
            <w:r>
              <w:rPr>
                <w:sz w:val="18"/>
              </w:rPr>
              <w:t>At most </w:t>
            </w:r>
            <w:r>
              <w:rPr>
                <w:spacing w:val="-10"/>
                <w:sz w:val="18"/>
              </w:rPr>
              <w:t>5</w:t>
            </w:r>
          </w:p>
        </w:tc>
        <w:tc>
          <w:tcPr>
            <w:tcW w:w="1407" w:type="dxa"/>
          </w:tcPr>
          <w:p>
            <w:pPr>
              <w:pStyle w:val="TableParagraph"/>
              <w:spacing w:line="198" w:lineRule="exact"/>
              <w:ind w:left="48" w:right="104"/>
              <w:jc w:val="center"/>
              <w:rPr>
                <w:sz w:val="18"/>
              </w:rPr>
            </w:pPr>
            <w:r>
              <w:rPr>
                <w:spacing w:val="-2"/>
                <w:sz w:val="18"/>
              </w:rPr>
              <w:t>0.459277</w:t>
            </w:r>
          </w:p>
        </w:tc>
        <w:tc>
          <w:tcPr>
            <w:tcW w:w="1321" w:type="dxa"/>
          </w:tcPr>
          <w:p>
            <w:pPr>
              <w:pStyle w:val="TableParagraph"/>
              <w:spacing w:line="198" w:lineRule="exact"/>
              <w:ind w:left="53" w:right="2"/>
              <w:jc w:val="center"/>
              <w:rPr>
                <w:sz w:val="18"/>
              </w:rPr>
            </w:pPr>
            <w:r>
              <w:rPr>
                <w:spacing w:val="-2"/>
                <w:sz w:val="18"/>
              </w:rPr>
              <w:t>44.08830</w:t>
            </w:r>
          </w:p>
        </w:tc>
        <w:tc>
          <w:tcPr>
            <w:tcW w:w="1592" w:type="dxa"/>
          </w:tcPr>
          <w:p>
            <w:pPr>
              <w:pStyle w:val="TableParagraph"/>
              <w:spacing w:line="198" w:lineRule="exact"/>
              <w:ind w:left="51" w:right="73"/>
              <w:jc w:val="center"/>
              <w:rPr>
                <w:sz w:val="18"/>
              </w:rPr>
            </w:pPr>
            <w:r>
              <w:rPr>
                <w:spacing w:val="-2"/>
                <w:sz w:val="18"/>
              </w:rPr>
              <w:t>47.85613</w:t>
            </w:r>
          </w:p>
        </w:tc>
        <w:tc>
          <w:tcPr>
            <w:tcW w:w="1295" w:type="dxa"/>
          </w:tcPr>
          <w:p>
            <w:pPr>
              <w:pStyle w:val="TableParagraph"/>
              <w:spacing w:line="198" w:lineRule="exact"/>
              <w:ind w:left="335"/>
              <w:rPr>
                <w:sz w:val="18"/>
              </w:rPr>
            </w:pPr>
            <w:r>
              <w:rPr>
                <w:spacing w:val="-2"/>
                <w:sz w:val="18"/>
              </w:rPr>
              <w:t>0.1081</w:t>
            </w:r>
          </w:p>
        </w:tc>
      </w:tr>
      <w:tr>
        <w:trPr>
          <w:trHeight w:val="224" w:hRule="atLeast"/>
        </w:trPr>
        <w:tc>
          <w:tcPr>
            <w:tcW w:w="1444" w:type="dxa"/>
          </w:tcPr>
          <w:p>
            <w:pPr>
              <w:pStyle w:val="TableParagraph"/>
              <w:spacing w:before="5"/>
              <w:ind w:right="56"/>
              <w:jc w:val="center"/>
              <w:rPr>
                <w:sz w:val="18"/>
              </w:rPr>
            </w:pPr>
            <w:r>
              <w:rPr>
                <w:sz w:val="18"/>
              </w:rPr>
              <w:t>At most </w:t>
            </w:r>
            <w:r>
              <w:rPr>
                <w:spacing w:val="-10"/>
                <w:sz w:val="18"/>
              </w:rPr>
              <w:t>6</w:t>
            </w:r>
          </w:p>
        </w:tc>
        <w:tc>
          <w:tcPr>
            <w:tcW w:w="1407" w:type="dxa"/>
          </w:tcPr>
          <w:p>
            <w:pPr>
              <w:pStyle w:val="TableParagraph"/>
              <w:spacing w:before="5"/>
              <w:ind w:left="48" w:right="104"/>
              <w:jc w:val="center"/>
              <w:rPr>
                <w:sz w:val="18"/>
              </w:rPr>
            </w:pPr>
            <w:r>
              <w:rPr>
                <w:spacing w:val="-2"/>
                <w:sz w:val="18"/>
              </w:rPr>
              <w:t>0.375165</w:t>
            </w:r>
          </w:p>
        </w:tc>
        <w:tc>
          <w:tcPr>
            <w:tcW w:w="1321" w:type="dxa"/>
          </w:tcPr>
          <w:p>
            <w:pPr>
              <w:pStyle w:val="TableParagraph"/>
              <w:spacing w:before="5"/>
              <w:ind w:left="53" w:right="2"/>
              <w:jc w:val="center"/>
              <w:rPr>
                <w:sz w:val="18"/>
              </w:rPr>
            </w:pPr>
            <w:r>
              <w:rPr>
                <w:spacing w:val="-2"/>
                <w:sz w:val="18"/>
              </w:rPr>
              <w:t>23.79833</w:t>
            </w:r>
          </w:p>
        </w:tc>
        <w:tc>
          <w:tcPr>
            <w:tcW w:w="1592" w:type="dxa"/>
          </w:tcPr>
          <w:p>
            <w:pPr>
              <w:pStyle w:val="TableParagraph"/>
              <w:spacing w:before="5"/>
              <w:ind w:left="51" w:right="73"/>
              <w:jc w:val="center"/>
              <w:rPr>
                <w:sz w:val="18"/>
              </w:rPr>
            </w:pPr>
            <w:r>
              <w:rPr>
                <w:spacing w:val="-2"/>
                <w:sz w:val="18"/>
              </w:rPr>
              <w:t>29.79707</w:t>
            </w:r>
          </w:p>
        </w:tc>
        <w:tc>
          <w:tcPr>
            <w:tcW w:w="1295" w:type="dxa"/>
          </w:tcPr>
          <w:p>
            <w:pPr>
              <w:pStyle w:val="TableParagraph"/>
              <w:spacing w:before="5"/>
              <w:ind w:left="335"/>
              <w:rPr>
                <w:sz w:val="18"/>
              </w:rPr>
            </w:pPr>
            <w:r>
              <w:rPr>
                <w:spacing w:val="-2"/>
                <w:sz w:val="18"/>
              </w:rPr>
              <w:t>0.2091</w:t>
            </w:r>
          </w:p>
        </w:tc>
      </w:tr>
      <w:tr>
        <w:trPr>
          <w:trHeight w:val="225" w:hRule="atLeast"/>
        </w:trPr>
        <w:tc>
          <w:tcPr>
            <w:tcW w:w="1444" w:type="dxa"/>
          </w:tcPr>
          <w:p>
            <w:pPr>
              <w:pStyle w:val="TableParagraph"/>
              <w:ind w:right="56"/>
              <w:jc w:val="center"/>
              <w:rPr>
                <w:sz w:val="18"/>
              </w:rPr>
            </w:pPr>
            <w:r>
              <w:rPr>
                <w:sz w:val="18"/>
              </w:rPr>
              <w:t>At most </w:t>
            </w:r>
            <w:r>
              <w:rPr>
                <w:spacing w:val="-10"/>
                <w:sz w:val="18"/>
              </w:rPr>
              <w:t>7</w:t>
            </w:r>
          </w:p>
        </w:tc>
        <w:tc>
          <w:tcPr>
            <w:tcW w:w="1407" w:type="dxa"/>
          </w:tcPr>
          <w:p>
            <w:pPr>
              <w:pStyle w:val="TableParagraph"/>
              <w:ind w:left="48" w:right="104"/>
              <w:jc w:val="center"/>
              <w:rPr>
                <w:sz w:val="18"/>
              </w:rPr>
            </w:pPr>
            <w:r>
              <w:rPr>
                <w:spacing w:val="-2"/>
                <w:sz w:val="18"/>
              </w:rPr>
              <w:t>0.221669</w:t>
            </w:r>
          </w:p>
        </w:tc>
        <w:tc>
          <w:tcPr>
            <w:tcW w:w="1321" w:type="dxa"/>
          </w:tcPr>
          <w:p>
            <w:pPr>
              <w:pStyle w:val="TableParagraph"/>
              <w:ind w:left="53" w:right="2"/>
              <w:jc w:val="center"/>
              <w:rPr>
                <w:sz w:val="18"/>
              </w:rPr>
            </w:pPr>
            <w:r>
              <w:rPr>
                <w:spacing w:val="-2"/>
                <w:sz w:val="18"/>
              </w:rPr>
              <w:t>8.279514</w:t>
            </w:r>
          </w:p>
        </w:tc>
        <w:tc>
          <w:tcPr>
            <w:tcW w:w="1592" w:type="dxa"/>
          </w:tcPr>
          <w:p>
            <w:pPr>
              <w:pStyle w:val="TableParagraph"/>
              <w:ind w:left="51" w:right="73"/>
              <w:jc w:val="center"/>
              <w:rPr>
                <w:sz w:val="18"/>
              </w:rPr>
            </w:pPr>
            <w:r>
              <w:rPr>
                <w:spacing w:val="-2"/>
                <w:sz w:val="18"/>
              </w:rPr>
              <w:t>15.49471</w:t>
            </w:r>
          </w:p>
        </w:tc>
        <w:tc>
          <w:tcPr>
            <w:tcW w:w="1295" w:type="dxa"/>
          </w:tcPr>
          <w:p>
            <w:pPr>
              <w:pStyle w:val="TableParagraph"/>
              <w:ind w:left="335"/>
              <w:rPr>
                <w:sz w:val="18"/>
              </w:rPr>
            </w:pPr>
            <w:r>
              <w:rPr>
                <w:spacing w:val="-2"/>
                <w:sz w:val="18"/>
              </w:rPr>
              <w:t>0.4360</w:t>
            </w:r>
          </w:p>
        </w:tc>
      </w:tr>
      <w:tr>
        <w:trPr>
          <w:trHeight w:val="303" w:hRule="atLeast"/>
        </w:trPr>
        <w:tc>
          <w:tcPr>
            <w:tcW w:w="1444" w:type="dxa"/>
            <w:tcBorders>
              <w:bottom w:val="double" w:sz="6" w:space="0" w:color="000000"/>
            </w:tcBorders>
          </w:tcPr>
          <w:p>
            <w:pPr>
              <w:pStyle w:val="TableParagraph"/>
              <w:spacing w:line="240" w:lineRule="auto"/>
              <w:ind w:right="56"/>
              <w:jc w:val="center"/>
              <w:rPr>
                <w:sz w:val="18"/>
              </w:rPr>
            </w:pPr>
            <w:r>
              <w:rPr>
                <w:sz w:val="18"/>
              </w:rPr>
              <w:t>At most </w:t>
            </w:r>
            <w:r>
              <w:rPr>
                <w:spacing w:val="-10"/>
                <w:sz w:val="18"/>
              </w:rPr>
              <w:t>8</w:t>
            </w:r>
          </w:p>
        </w:tc>
        <w:tc>
          <w:tcPr>
            <w:tcW w:w="1407" w:type="dxa"/>
            <w:tcBorders>
              <w:bottom w:val="double" w:sz="6" w:space="0" w:color="000000"/>
            </w:tcBorders>
          </w:tcPr>
          <w:p>
            <w:pPr>
              <w:pStyle w:val="TableParagraph"/>
              <w:spacing w:line="240" w:lineRule="auto"/>
              <w:ind w:left="48" w:right="104"/>
              <w:jc w:val="center"/>
              <w:rPr>
                <w:sz w:val="18"/>
              </w:rPr>
            </w:pPr>
            <w:r>
              <w:rPr>
                <w:spacing w:val="-2"/>
                <w:sz w:val="18"/>
              </w:rPr>
              <w:t>0.000291</w:t>
            </w:r>
          </w:p>
        </w:tc>
        <w:tc>
          <w:tcPr>
            <w:tcW w:w="1321" w:type="dxa"/>
            <w:tcBorders>
              <w:bottom w:val="double" w:sz="6" w:space="0" w:color="000000"/>
            </w:tcBorders>
          </w:tcPr>
          <w:p>
            <w:pPr>
              <w:pStyle w:val="TableParagraph"/>
              <w:spacing w:line="240" w:lineRule="auto"/>
              <w:ind w:left="53" w:right="2"/>
              <w:jc w:val="center"/>
              <w:rPr>
                <w:sz w:val="18"/>
              </w:rPr>
            </w:pPr>
            <w:r>
              <w:rPr>
                <w:spacing w:val="-2"/>
                <w:sz w:val="18"/>
              </w:rPr>
              <w:t>0.009592</w:t>
            </w:r>
          </w:p>
        </w:tc>
        <w:tc>
          <w:tcPr>
            <w:tcW w:w="1592" w:type="dxa"/>
            <w:tcBorders>
              <w:bottom w:val="double" w:sz="6" w:space="0" w:color="000000"/>
            </w:tcBorders>
          </w:tcPr>
          <w:p>
            <w:pPr>
              <w:pStyle w:val="TableParagraph"/>
              <w:spacing w:line="240" w:lineRule="auto"/>
              <w:ind w:left="51" w:right="73"/>
              <w:jc w:val="center"/>
              <w:rPr>
                <w:sz w:val="18"/>
              </w:rPr>
            </w:pPr>
            <w:r>
              <w:rPr>
                <w:spacing w:val="-2"/>
                <w:sz w:val="18"/>
              </w:rPr>
              <w:t>3.841466</w:t>
            </w:r>
          </w:p>
        </w:tc>
        <w:tc>
          <w:tcPr>
            <w:tcW w:w="1295" w:type="dxa"/>
            <w:tcBorders>
              <w:bottom w:val="double" w:sz="6" w:space="0" w:color="000000"/>
            </w:tcBorders>
          </w:tcPr>
          <w:p>
            <w:pPr>
              <w:pStyle w:val="TableParagraph"/>
              <w:spacing w:line="240" w:lineRule="auto"/>
              <w:ind w:left="335"/>
              <w:rPr>
                <w:sz w:val="18"/>
              </w:rPr>
            </w:pPr>
            <w:r>
              <w:rPr>
                <w:spacing w:val="-2"/>
                <w:sz w:val="18"/>
              </w:rPr>
              <w:t>0.9217</w:t>
            </w:r>
          </w:p>
        </w:tc>
      </w:tr>
      <w:tr>
        <w:trPr>
          <w:trHeight w:val="325" w:hRule="atLeast"/>
        </w:trPr>
        <w:tc>
          <w:tcPr>
            <w:tcW w:w="7059" w:type="dxa"/>
            <w:gridSpan w:val="5"/>
            <w:tcBorders>
              <w:top w:val="double" w:sz="6" w:space="0" w:color="000000"/>
            </w:tcBorders>
          </w:tcPr>
          <w:p>
            <w:pPr>
              <w:pStyle w:val="TableParagraph"/>
              <w:spacing w:before="106"/>
              <w:ind w:left="50"/>
              <w:rPr>
                <w:sz w:val="18"/>
              </w:rPr>
            </w:pPr>
            <w:r>
              <w:rPr>
                <w:sz w:val="18"/>
              </w:rPr>
              <w:t>Trace</w:t>
            </w:r>
            <w:r>
              <w:rPr>
                <w:spacing w:val="-7"/>
                <w:sz w:val="18"/>
              </w:rPr>
              <w:t> </w:t>
            </w:r>
            <w:r>
              <w:rPr>
                <w:sz w:val="18"/>
              </w:rPr>
              <w:t>test</w:t>
            </w:r>
            <w:r>
              <w:rPr>
                <w:spacing w:val="-3"/>
                <w:sz w:val="18"/>
              </w:rPr>
              <w:t> </w:t>
            </w:r>
            <w:r>
              <w:rPr>
                <w:sz w:val="18"/>
              </w:rPr>
              <w:t>indicates</w:t>
            </w:r>
            <w:r>
              <w:rPr>
                <w:spacing w:val="-2"/>
                <w:sz w:val="18"/>
              </w:rPr>
              <w:t> </w:t>
            </w:r>
            <w:r>
              <w:rPr>
                <w:sz w:val="18"/>
              </w:rPr>
              <w:t>5</w:t>
            </w:r>
            <w:r>
              <w:rPr>
                <w:spacing w:val="-4"/>
                <w:sz w:val="18"/>
              </w:rPr>
              <w:t> </w:t>
            </w:r>
            <w:r>
              <w:rPr>
                <w:sz w:val="18"/>
              </w:rPr>
              <w:t>cointegrating</w:t>
            </w:r>
            <w:r>
              <w:rPr>
                <w:spacing w:val="-5"/>
                <w:sz w:val="18"/>
              </w:rPr>
              <w:t> </w:t>
            </w:r>
            <w:r>
              <w:rPr>
                <w:sz w:val="18"/>
              </w:rPr>
              <w:t>eqn(s)</w:t>
            </w:r>
            <w:r>
              <w:rPr>
                <w:spacing w:val="-2"/>
                <w:sz w:val="18"/>
              </w:rPr>
              <w:t> </w:t>
            </w:r>
            <w:r>
              <w:rPr>
                <w:sz w:val="18"/>
              </w:rPr>
              <w:t>at</w:t>
            </w:r>
            <w:r>
              <w:rPr>
                <w:spacing w:val="-3"/>
                <w:sz w:val="18"/>
              </w:rPr>
              <w:t> </w:t>
            </w:r>
            <w:r>
              <w:rPr>
                <w:sz w:val="18"/>
              </w:rPr>
              <w:t>the</w:t>
            </w:r>
            <w:r>
              <w:rPr>
                <w:spacing w:val="-5"/>
                <w:sz w:val="18"/>
              </w:rPr>
              <w:t> </w:t>
            </w:r>
            <w:r>
              <w:rPr>
                <w:sz w:val="18"/>
              </w:rPr>
              <w:t>0.05</w:t>
            </w:r>
            <w:r>
              <w:rPr>
                <w:spacing w:val="-2"/>
                <w:sz w:val="18"/>
              </w:rPr>
              <w:t> </w:t>
            </w:r>
            <w:r>
              <w:rPr>
                <w:spacing w:val="-4"/>
                <w:sz w:val="18"/>
              </w:rPr>
              <w:t>level</w:t>
            </w:r>
          </w:p>
        </w:tc>
      </w:tr>
      <w:tr>
        <w:trPr>
          <w:trHeight w:val="338" w:hRule="atLeast"/>
        </w:trPr>
        <w:tc>
          <w:tcPr>
            <w:tcW w:w="7059" w:type="dxa"/>
            <w:gridSpan w:val="5"/>
          </w:tcPr>
          <w:p>
            <w:pPr>
              <w:pStyle w:val="TableParagraph"/>
              <w:spacing w:line="240" w:lineRule="auto"/>
              <w:ind w:left="50"/>
              <w:rPr>
                <w:sz w:val="18"/>
              </w:rPr>
            </w:pPr>
            <w:r>
              <w:rPr>
                <w:sz w:val="18"/>
              </w:rPr>
              <w:t>*</w:t>
            </w:r>
            <w:r>
              <w:rPr>
                <w:spacing w:val="-3"/>
                <w:sz w:val="18"/>
              </w:rPr>
              <w:t> </w:t>
            </w:r>
            <w:r>
              <w:rPr>
                <w:sz w:val="18"/>
              </w:rPr>
              <w:t>denotes</w:t>
            </w:r>
            <w:r>
              <w:rPr>
                <w:spacing w:val="-1"/>
                <w:sz w:val="18"/>
              </w:rPr>
              <w:t> </w:t>
            </w:r>
            <w:r>
              <w:rPr>
                <w:sz w:val="18"/>
              </w:rPr>
              <w:t>rejection</w:t>
            </w:r>
            <w:r>
              <w:rPr>
                <w:spacing w:val="-2"/>
                <w:sz w:val="18"/>
              </w:rPr>
              <w:t> </w:t>
            </w:r>
            <w:r>
              <w:rPr>
                <w:sz w:val="18"/>
              </w:rPr>
              <w:t>of</w:t>
            </w:r>
            <w:r>
              <w:rPr>
                <w:spacing w:val="-5"/>
                <w:sz w:val="18"/>
              </w:rPr>
              <w:t> </w:t>
            </w:r>
            <w:r>
              <w:rPr>
                <w:sz w:val="18"/>
              </w:rPr>
              <w:t>the</w:t>
            </w:r>
            <w:r>
              <w:rPr>
                <w:spacing w:val="-4"/>
                <w:sz w:val="18"/>
              </w:rPr>
              <w:t> </w:t>
            </w:r>
            <w:r>
              <w:rPr>
                <w:sz w:val="18"/>
              </w:rPr>
              <w:t>hypothesis</w:t>
            </w:r>
            <w:r>
              <w:rPr>
                <w:spacing w:val="-5"/>
                <w:sz w:val="18"/>
              </w:rPr>
              <w:t> </w:t>
            </w:r>
            <w:r>
              <w:rPr>
                <w:sz w:val="18"/>
              </w:rPr>
              <w:t>at</w:t>
            </w:r>
            <w:r>
              <w:rPr>
                <w:spacing w:val="-2"/>
                <w:sz w:val="18"/>
              </w:rPr>
              <w:t> </w:t>
            </w:r>
            <w:r>
              <w:rPr>
                <w:sz w:val="18"/>
              </w:rPr>
              <w:t>the</w:t>
            </w:r>
            <w:r>
              <w:rPr>
                <w:spacing w:val="-3"/>
                <w:sz w:val="18"/>
              </w:rPr>
              <w:t> </w:t>
            </w:r>
            <w:r>
              <w:rPr>
                <w:sz w:val="18"/>
              </w:rPr>
              <w:t>0.05</w:t>
            </w:r>
            <w:r>
              <w:rPr>
                <w:spacing w:val="-4"/>
                <w:sz w:val="18"/>
              </w:rPr>
              <w:t> level</w:t>
            </w:r>
          </w:p>
        </w:tc>
      </w:tr>
      <w:tr>
        <w:trPr>
          <w:trHeight w:val="414" w:hRule="atLeast"/>
        </w:trPr>
        <w:tc>
          <w:tcPr>
            <w:tcW w:w="7059" w:type="dxa"/>
            <w:gridSpan w:val="5"/>
            <w:tcBorders>
              <w:bottom w:val="double" w:sz="6" w:space="0" w:color="000000"/>
            </w:tcBorders>
          </w:tcPr>
          <w:p>
            <w:pPr>
              <w:pStyle w:val="TableParagraph"/>
              <w:spacing w:line="240" w:lineRule="auto" w:before="119"/>
              <w:rPr>
                <w:sz w:val="18"/>
              </w:rPr>
            </w:pPr>
            <w:r>
              <w:rPr>
                <w:sz w:val="18"/>
              </w:rPr>
              <w:t>Unrestricted</w:t>
            </w:r>
            <w:r>
              <w:rPr>
                <w:spacing w:val="-11"/>
                <w:sz w:val="18"/>
              </w:rPr>
              <w:t> </w:t>
            </w:r>
            <w:r>
              <w:rPr>
                <w:sz w:val="18"/>
              </w:rPr>
              <w:t>Cointegration</w:t>
            </w:r>
            <w:r>
              <w:rPr>
                <w:spacing w:val="-10"/>
                <w:sz w:val="18"/>
              </w:rPr>
              <w:t> </w:t>
            </w:r>
            <w:r>
              <w:rPr>
                <w:sz w:val="18"/>
              </w:rPr>
              <w:t>Rank</w:t>
            </w:r>
            <w:r>
              <w:rPr>
                <w:spacing w:val="-10"/>
                <w:sz w:val="18"/>
              </w:rPr>
              <w:t> </w:t>
            </w:r>
            <w:r>
              <w:rPr>
                <w:sz w:val="18"/>
              </w:rPr>
              <w:t>Test</w:t>
            </w:r>
            <w:r>
              <w:rPr>
                <w:spacing w:val="-10"/>
                <w:sz w:val="18"/>
              </w:rPr>
              <w:t> </w:t>
            </w:r>
            <w:r>
              <w:rPr>
                <w:sz w:val="18"/>
              </w:rPr>
              <w:t>(Maximum</w:t>
            </w:r>
            <w:r>
              <w:rPr>
                <w:spacing w:val="-10"/>
                <w:sz w:val="18"/>
              </w:rPr>
              <w:t> </w:t>
            </w:r>
            <w:r>
              <w:rPr>
                <w:spacing w:val="-2"/>
                <w:sz w:val="18"/>
              </w:rPr>
              <w:t>Eigenvalue)</w:t>
            </w:r>
          </w:p>
        </w:tc>
      </w:tr>
      <w:tr>
        <w:trPr>
          <w:trHeight w:val="327" w:hRule="atLeast"/>
        </w:trPr>
        <w:tc>
          <w:tcPr>
            <w:tcW w:w="1444" w:type="dxa"/>
            <w:tcBorders>
              <w:top w:val="double" w:sz="6" w:space="0" w:color="000000"/>
            </w:tcBorders>
          </w:tcPr>
          <w:p>
            <w:pPr>
              <w:pStyle w:val="TableParagraph"/>
              <w:spacing w:before="108"/>
              <w:ind w:left="1" w:right="56"/>
              <w:jc w:val="center"/>
              <w:rPr>
                <w:sz w:val="18"/>
              </w:rPr>
            </w:pPr>
            <w:r>
              <w:rPr>
                <w:spacing w:val="-2"/>
                <w:sz w:val="18"/>
              </w:rPr>
              <w:t>Hypothesized</w:t>
            </w:r>
          </w:p>
        </w:tc>
        <w:tc>
          <w:tcPr>
            <w:tcW w:w="1407" w:type="dxa"/>
            <w:tcBorders>
              <w:top w:val="double" w:sz="6" w:space="0" w:color="000000"/>
            </w:tcBorders>
          </w:tcPr>
          <w:p>
            <w:pPr>
              <w:pStyle w:val="TableParagraph"/>
              <w:spacing w:line="240" w:lineRule="auto" w:before="0"/>
              <w:rPr>
                <w:rFonts w:ascii="Times New Roman"/>
                <w:sz w:val="20"/>
              </w:rPr>
            </w:pPr>
          </w:p>
        </w:tc>
        <w:tc>
          <w:tcPr>
            <w:tcW w:w="1321" w:type="dxa"/>
            <w:tcBorders>
              <w:top w:val="double" w:sz="6" w:space="0" w:color="000000"/>
            </w:tcBorders>
          </w:tcPr>
          <w:p>
            <w:pPr>
              <w:pStyle w:val="TableParagraph"/>
              <w:spacing w:before="108"/>
              <w:ind w:left="53" w:right="53"/>
              <w:jc w:val="center"/>
              <w:rPr>
                <w:sz w:val="18"/>
              </w:rPr>
            </w:pPr>
            <w:r>
              <w:rPr>
                <w:spacing w:val="-2"/>
                <w:sz w:val="18"/>
              </w:rPr>
              <w:t>Max-Eigen</w:t>
            </w:r>
          </w:p>
        </w:tc>
        <w:tc>
          <w:tcPr>
            <w:tcW w:w="1592" w:type="dxa"/>
            <w:tcBorders>
              <w:top w:val="double" w:sz="6" w:space="0" w:color="000000"/>
            </w:tcBorders>
          </w:tcPr>
          <w:p>
            <w:pPr>
              <w:pStyle w:val="TableParagraph"/>
              <w:spacing w:before="108"/>
              <w:ind w:left="1" w:right="73"/>
              <w:jc w:val="center"/>
              <w:rPr>
                <w:sz w:val="18"/>
              </w:rPr>
            </w:pPr>
            <w:r>
              <w:rPr>
                <w:spacing w:val="-4"/>
                <w:sz w:val="18"/>
              </w:rPr>
              <w:t>0.05</w:t>
            </w:r>
          </w:p>
        </w:tc>
        <w:tc>
          <w:tcPr>
            <w:tcW w:w="1295" w:type="dxa"/>
            <w:tcBorders>
              <w:top w:val="double" w:sz="6" w:space="0" w:color="000000"/>
            </w:tcBorders>
          </w:tcPr>
          <w:p>
            <w:pPr>
              <w:pStyle w:val="TableParagraph"/>
              <w:spacing w:line="240" w:lineRule="auto" w:before="0"/>
              <w:rPr>
                <w:rFonts w:ascii="Times New Roman"/>
                <w:sz w:val="20"/>
              </w:rPr>
            </w:pPr>
          </w:p>
        </w:tc>
      </w:tr>
      <w:tr>
        <w:trPr>
          <w:trHeight w:val="303" w:hRule="atLeast"/>
        </w:trPr>
        <w:tc>
          <w:tcPr>
            <w:tcW w:w="1444" w:type="dxa"/>
            <w:tcBorders>
              <w:bottom w:val="double" w:sz="6" w:space="0" w:color="000000"/>
            </w:tcBorders>
          </w:tcPr>
          <w:p>
            <w:pPr>
              <w:pStyle w:val="TableParagraph"/>
              <w:spacing w:line="240" w:lineRule="auto"/>
              <w:ind w:left="1" w:right="56"/>
              <w:jc w:val="center"/>
              <w:rPr>
                <w:sz w:val="18"/>
              </w:rPr>
            </w:pPr>
            <w:r>
              <w:rPr>
                <w:sz w:val="18"/>
              </w:rPr>
              <w:t>No. of </w:t>
            </w:r>
            <w:r>
              <w:rPr>
                <w:spacing w:val="-2"/>
                <w:sz w:val="18"/>
              </w:rPr>
              <w:t>CE(s)</w:t>
            </w:r>
          </w:p>
        </w:tc>
        <w:tc>
          <w:tcPr>
            <w:tcW w:w="1407" w:type="dxa"/>
            <w:tcBorders>
              <w:bottom w:val="double" w:sz="6" w:space="0" w:color="000000"/>
            </w:tcBorders>
          </w:tcPr>
          <w:p>
            <w:pPr>
              <w:pStyle w:val="TableParagraph"/>
              <w:spacing w:line="240" w:lineRule="auto"/>
              <w:ind w:right="104"/>
              <w:jc w:val="center"/>
              <w:rPr>
                <w:sz w:val="18"/>
              </w:rPr>
            </w:pPr>
            <w:r>
              <w:rPr>
                <w:spacing w:val="-2"/>
                <w:sz w:val="18"/>
              </w:rPr>
              <w:t>Eigenvalue</w:t>
            </w:r>
          </w:p>
        </w:tc>
        <w:tc>
          <w:tcPr>
            <w:tcW w:w="1321" w:type="dxa"/>
            <w:tcBorders>
              <w:bottom w:val="double" w:sz="6" w:space="0" w:color="000000"/>
            </w:tcBorders>
          </w:tcPr>
          <w:p>
            <w:pPr>
              <w:pStyle w:val="TableParagraph"/>
              <w:spacing w:line="240" w:lineRule="auto"/>
              <w:ind w:left="53" w:right="54"/>
              <w:jc w:val="center"/>
              <w:rPr>
                <w:sz w:val="18"/>
              </w:rPr>
            </w:pPr>
            <w:r>
              <w:rPr>
                <w:spacing w:val="-2"/>
                <w:sz w:val="18"/>
              </w:rPr>
              <w:t>Statistic</w:t>
            </w:r>
          </w:p>
        </w:tc>
        <w:tc>
          <w:tcPr>
            <w:tcW w:w="1592" w:type="dxa"/>
            <w:tcBorders>
              <w:bottom w:val="double" w:sz="6" w:space="0" w:color="000000"/>
            </w:tcBorders>
          </w:tcPr>
          <w:p>
            <w:pPr>
              <w:pStyle w:val="TableParagraph"/>
              <w:spacing w:line="240" w:lineRule="auto"/>
              <w:ind w:right="73"/>
              <w:jc w:val="center"/>
              <w:rPr>
                <w:sz w:val="18"/>
              </w:rPr>
            </w:pPr>
            <w:r>
              <w:rPr>
                <w:sz w:val="18"/>
              </w:rPr>
              <w:t>Critical</w:t>
            </w:r>
            <w:r>
              <w:rPr>
                <w:spacing w:val="-6"/>
                <w:sz w:val="18"/>
              </w:rPr>
              <w:t> </w:t>
            </w:r>
            <w:r>
              <w:rPr>
                <w:spacing w:val="-2"/>
                <w:sz w:val="18"/>
              </w:rPr>
              <w:t>Value</w:t>
            </w:r>
          </w:p>
        </w:tc>
        <w:tc>
          <w:tcPr>
            <w:tcW w:w="1295" w:type="dxa"/>
            <w:tcBorders>
              <w:bottom w:val="double" w:sz="6" w:space="0" w:color="000000"/>
            </w:tcBorders>
          </w:tcPr>
          <w:p>
            <w:pPr>
              <w:pStyle w:val="TableParagraph"/>
              <w:spacing w:line="240" w:lineRule="auto"/>
              <w:ind w:left="299"/>
              <w:rPr>
                <w:sz w:val="18"/>
              </w:rPr>
            </w:pPr>
            <w:r>
              <w:rPr>
                <w:spacing w:val="-2"/>
                <w:sz w:val="18"/>
              </w:rPr>
              <w:t>Prob.**</w:t>
            </w:r>
          </w:p>
        </w:tc>
      </w:tr>
      <w:tr>
        <w:trPr>
          <w:trHeight w:val="325" w:hRule="atLeast"/>
        </w:trPr>
        <w:tc>
          <w:tcPr>
            <w:tcW w:w="1444" w:type="dxa"/>
            <w:tcBorders>
              <w:top w:val="double" w:sz="6" w:space="0" w:color="000000"/>
            </w:tcBorders>
          </w:tcPr>
          <w:p>
            <w:pPr>
              <w:pStyle w:val="TableParagraph"/>
              <w:spacing w:before="106"/>
              <w:ind w:left="1" w:right="56"/>
              <w:jc w:val="center"/>
              <w:rPr>
                <w:sz w:val="18"/>
              </w:rPr>
            </w:pPr>
            <w:r>
              <w:rPr>
                <w:sz w:val="18"/>
              </w:rPr>
              <w:t>None</w:t>
            </w:r>
            <w:r>
              <w:rPr>
                <w:spacing w:val="-7"/>
                <w:sz w:val="18"/>
              </w:rPr>
              <w:t> </w:t>
            </w:r>
            <w:r>
              <w:rPr>
                <w:spacing w:val="-10"/>
                <w:sz w:val="18"/>
              </w:rPr>
              <w:t>*</w:t>
            </w:r>
          </w:p>
        </w:tc>
        <w:tc>
          <w:tcPr>
            <w:tcW w:w="1407" w:type="dxa"/>
            <w:tcBorders>
              <w:top w:val="double" w:sz="6" w:space="0" w:color="000000"/>
            </w:tcBorders>
          </w:tcPr>
          <w:p>
            <w:pPr>
              <w:pStyle w:val="TableParagraph"/>
              <w:spacing w:before="106"/>
              <w:ind w:left="48" w:right="104"/>
              <w:jc w:val="center"/>
              <w:rPr>
                <w:sz w:val="18"/>
              </w:rPr>
            </w:pPr>
            <w:r>
              <w:rPr>
                <w:spacing w:val="-2"/>
                <w:sz w:val="18"/>
              </w:rPr>
              <w:t>0.936456</w:t>
            </w:r>
          </w:p>
        </w:tc>
        <w:tc>
          <w:tcPr>
            <w:tcW w:w="1321" w:type="dxa"/>
            <w:tcBorders>
              <w:top w:val="double" w:sz="6" w:space="0" w:color="000000"/>
            </w:tcBorders>
          </w:tcPr>
          <w:p>
            <w:pPr>
              <w:pStyle w:val="TableParagraph"/>
              <w:spacing w:before="106"/>
              <w:ind w:left="53" w:right="2"/>
              <w:jc w:val="center"/>
              <w:rPr>
                <w:sz w:val="18"/>
              </w:rPr>
            </w:pPr>
            <w:r>
              <w:rPr>
                <w:spacing w:val="-2"/>
                <w:sz w:val="18"/>
              </w:rPr>
              <w:t>90.94867</w:t>
            </w:r>
          </w:p>
        </w:tc>
        <w:tc>
          <w:tcPr>
            <w:tcW w:w="1592" w:type="dxa"/>
            <w:tcBorders>
              <w:top w:val="double" w:sz="6" w:space="0" w:color="000000"/>
            </w:tcBorders>
          </w:tcPr>
          <w:p>
            <w:pPr>
              <w:pStyle w:val="TableParagraph"/>
              <w:spacing w:before="106"/>
              <w:ind w:left="51" w:right="73"/>
              <w:jc w:val="center"/>
              <w:rPr>
                <w:sz w:val="18"/>
              </w:rPr>
            </w:pPr>
            <w:r>
              <w:rPr>
                <w:spacing w:val="-2"/>
                <w:sz w:val="18"/>
              </w:rPr>
              <w:t>58.43354</w:t>
            </w:r>
          </w:p>
        </w:tc>
        <w:tc>
          <w:tcPr>
            <w:tcW w:w="1295" w:type="dxa"/>
            <w:tcBorders>
              <w:top w:val="double" w:sz="6" w:space="0" w:color="000000"/>
            </w:tcBorders>
          </w:tcPr>
          <w:p>
            <w:pPr>
              <w:pStyle w:val="TableParagraph"/>
              <w:spacing w:before="106"/>
              <w:ind w:left="335"/>
              <w:rPr>
                <w:sz w:val="18"/>
              </w:rPr>
            </w:pPr>
            <w:r>
              <w:rPr>
                <w:spacing w:val="-2"/>
                <w:sz w:val="18"/>
              </w:rPr>
              <w:t>0.0000</w:t>
            </w:r>
          </w:p>
        </w:tc>
      </w:tr>
      <w:tr>
        <w:trPr>
          <w:trHeight w:val="225" w:hRule="atLeast"/>
        </w:trPr>
        <w:tc>
          <w:tcPr>
            <w:tcW w:w="1444" w:type="dxa"/>
          </w:tcPr>
          <w:p>
            <w:pPr>
              <w:pStyle w:val="TableParagraph"/>
              <w:ind w:left="1" w:right="56"/>
              <w:jc w:val="center"/>
              <w:rPr>
                <w:sz w:val="18"/>
              </w:rPr>
            </w:pPr>
            <w:r>
              <w:rPr>
                <w:sz w:val="18"/>
              </w:rPr>
              <w:t>At</w:t>
            </w:r>
            <w:r>
              <w:rPr>
                <w:spacing w:val="-3"/>
                <w:sz w:val="18"/>
              </w:rPr>
              <w:t> </w:t>
            </w:r>
            <w:r>
              <w:rPr>
                <w:sz w:val="18"/>
              </w:rPr>
              <w:t>most 1 </w:t>
            </w:r>
            <w:r>
              <w:rPr>
                <w:spacing w:val="-10"/>
                <w:sz w:val="18"/>
              </w:rPr>
              <w:t>*</w:t>
            </w:r>
          </w:p>
        </w:tc>
        <w:tc>
          <w:tcPr>
            <w:tcW w:w="1407" w:type="dxa"/>
          </w:tcPr>
          <w:p>
            <w:pPr>
              <w:pStyle w:val="TableParagraph"/>
              <w:ind w:left="48" w:right="104"/>
              <w:jc w:val="center"/>
              <w:rPr>
                <w:sz w:val="18"/>
              </w:rPr>
            </w:pPr>
            <w:r>
              <w:rPr>
                <w:spacing w:val="-2"/>
                <w:sz w:val="18"/>
              </w:rPr>
              <w:t>0.883467</w:t>
            </w:r>
          </w:p>
        </w:tc>
        <w:tc>
          <w:tcPr>
            <w:tcW w:w="1321" w:type="dxa"/>
          </w:tcPr>
          <w:p>
            <w:pPr>
              <w:pStyle w:val="TableParagraph"/>
              <w:ind w:left="53" w:right="2"/>
              <w:jc w:val="center"/>
              <w:rPr>
                <w:sz w:val="18"/>
              </w:rPr>
            </w:pPr>
            <w:r>
              <w:rPr>
                <w:spacing w:val="-2"/>
                <w:sz w:val="18"/>
              </w:rPr>
              <w:t>70.93620</w:t>
            </w:r>
          </w:p>
        </w:tc>
        <w:tc>
          <w:tcPr>
            <w:tcW w:w="1592" w:type="dxa"/>
          </w:tcPr>
          <w:p>
            <w:pPr>
              <w:pStyle w:val="TableParagraph"/>
              <w:ind w:left="51" w:right="73"/>
              <w:jc w:val="center"/>
              <w:rPr>
                <w:sz w:val="18"/>
              </w:rPr>
            </w:pPr>
            <w:r>
              <w:rPr>
                <w:spacing w:val="-2"/>
                <w:sz w:val="18"/>
              </w:rPr>
              <w:t>52.36261</w:t>
            </w:r>
          </w:p>
        </w:tc>
        <w:tc>
          <w:tcPr>
            <w:tcW w:w="1295" w:type="dxa"/>
          </w:tcPr>
          <w:p>
            <w:pPr>
              <w:pStyle w:val="TableParagraph"/>
              <w:ind w:left="335"/>
              <w:rPr>
                <w:sz w:val="18"/>
              </w:rPr>
            </w:pPr>
            <w:r>
              <w:rPr>
                <w:spacing w:val="-2"/>
                <w:sz w:val="18"/>
              </w:rPr>
              <w:t>0.0003</w:t>
            </w:r>
          </w:p>
        </w:tc>
      </w:tr>
      <w:tr>
        <w:trPr>
          <w:trHeight w:val="225" w:hRule="atLeast"/>
        </w:trPr>
        <w:tc>
          <w:tcPr>
            <w:tcW w:w="1444" w:type="dxa"/>
          </w:tcPr>
          <w:p>
            <w:pPr>
              <w:pStyle w:val="TableParagraph"/>
              <w:spacing w:line="200" w:lineRule="exact"/>
              <w:ind w:left="1" w:right="56"/>
              <w:jc w:val="center"/>
              <w:rPr>
                <w:sz w:val="18"/>
              </w:rPr>
            </w:pPr>
            <w:r>
              <w:rPr>
                <w:sz w:val="18"/>
              </w:rPr>
              <w:t>At</w:t>
            </w:r>
            <w:r>
              <w:rPr>
                <w:spacing w:val="-3"/>
                <w:sz w:val="18"/>
              </w:rPr>
              <w:t> </w:t>
            </w:r>
            <w:r>
              <w:rPr>
                <w:sz w:val="18"/>
              </w:rPr>
              <w:t>most 2 </w:t>
            </w:r>
            <w:r>
              <w:rPr>
                <w:spacing w:val="-10"/>
                <w:sz w:val="18"/>
              </w:rPr>
              <w:t>*</w:t>
            </w:r>
          </w:p>
        </w:tc>
        <w:tc>
          <w:tcPr>
            <w:tcW w:w="1407" w:type="dxa"/>
          </w:tcPr>
          <w:p>
            <w:pPr>
              <w:pStyle w:val="TableParagraph"/>
              <w:spacing w:line="200" w:lineRule="exact"/>
              <w:ind w:left="48" w:right="104"/>
              <w:jc w:val="center"/>
              <w:rPr>
                <w:sz w:val="18"/>
              </w:rPr>
            </w:pPr>
            <w:r>
              <w:rPr>
                <w:spacing w:val="-2"/>
                <w:sz w:val="18"/>
              </w:rPr>
              <w:t>0.809735</w:t>
            </w:r>
          </w:p>
        </w:tc>
        <w:tc>
          <w:tcPr>
            <w:tcW w:w="1321" w:type="dxa"/>
          </w:tcPr>
          <w:p>
            <w:pPr>
              <w:pStyle w:val="TableParagraph"/>
              <w:spacing w:line="200" w:lineRule="exact"/>
              <w:ind w:left="53" w:right="2"/>
              <w:jc w:val="center"/>
              <w:rPr>
                <w:sz w:val="18"/>
              </w:rPr>
            </w:pPr>
            <w:r>
              <w:rPr>
                <w:spacing w:val="-2"/>
                <w:sz w:val="18"/>
              </w:rPr>
              <w:t>54.75813</w:t>
            </w:r>
          </w:p>
        </w:tc>
        <w:tc>
          <w:tcPr>
            <w:tcW w:w="1592" w:type="dxa"/>
          </w:tcPr>
          <w:p>
            <w:pPr>
              <w:pStyle w:val="TableParagraph"/>
              <w:spacing w:line="200" w:lineRule="exact"/>
              <w:ind w:left="51" w:right="73"/>
              <w:jc w:val="center"/>
              <w:rPr>
                <w:sz w:val="18"/>
              </w:rPr>
            </w:pPr>
            <w:r>
              <w:rPr>
                <w:spacing w:val="-2"/>
                <w:sz w:val="18"/>
              </w:rPr>
              <w:t>46.23142</w:t>
            </w:r>
          </w:p>
        </w:tc>
        <w:tc>
          <w:tcPr>
            <w:tcW w:w="1295" w:type="dxa"/>
          </w:tcPr>
          <w:p>
            <w:pPr>
              <w:pStyle w:val="TableParagraph"/>
              <w:spacing w:line="200" w:lineRule="exact"/>
              <w:ind w:left="335"/>
              <w:rPr>
                <w:sz w:val="18"/>
              </w:rPr>
            </w:pPr>
            <w:r>
              <w:rPr>
                <w:spacing w:val="-2"/>
                <w:sz w:val="18"/>
              </w:rPr>
              <w:t>0.0049</w:t>
            </w:r>
          </w:p>
        </w:tc>
      </w:tr>
      <w:tr>
        <w:trPr>
          <w:trHeight w:val="224" w:hRule="atLeast"/>
        </w:trPr>
        <w:tc>
          <w:tcPr>
            <w:tcW w:w="1444" w:type="dxa"/>
          </w:tcPr>
          <w:p>
            <w:pPr>
              <w:pStyle w:val="TableParagraph"/>
              <w:spacing w:line="198" w:lineRule="exact"/>
              <w:ind w:right="56"/>
              <w:jc w:val="center"/>
              <w:rPr>
                <w:sz w:val="18"/>
              </w:rPr>
            </w:pPr>
            <w:r>
              <w:rPr>
                <w:sz w:val="18"/>
              </w:rPr>
              <w:t>At most </w:t>
            </w:r>
            <w:r>
              <w:rPr>
                <w:spacing w:val="-10"/>
                <w:sz w:val="18"/>
              </w:rPr>
              <w:t>3</w:t>
            </w:r>
          </w:p>
        </w:tc>
        <w:tc>
          <w:tcPr>
            <w:tcW w:w="1407" w:type="dxa"/>
          </w:tcPr>
          <w:p>
            <w:pPr>
              <w:pStyle w:val="TableParagraph"/>
              <w:spacing w:line="198" w:lineRule="exact"/>
              <w:ind w:left="48" w:right="104"/>
              <w:jc w:val="center"/>
              <w:rPr>
                <w:sz w:val="18"/>
              </w:rPr>
            </w:pPr>
            <w:r>
              <w:rPr>
                <w:spacing w:val="-2"/>
                <w:sz w:val="18"/>
              </w:rPr>
              <w:t>0.648905</w:t>
            </w:r>
          </w:p>
        </w:tc>
        <w:tc>
          <w:tcPr>
            <w:tcW w:w="1321" w:type="dxa"/>
          </w:tcPr>
          <w:p>
            <w:pPr>
              <w:pStyle w:val="TableParagraph"/>
              <w:spacing w:line="198" w:lineRule="exact"/>
              <w:ind w:left="53" w:right="2"/>
              <w:jc w:val="center"/>
              <w:rPr>
                <w:sz w:val="18"/>
              </w:rPr>
            </w:pPr>
            <w:r>
              <w:rPr>
                <w:spacing w:val="-2"/>
                <w:sz w:val="18"/>
              </w:rPr>
              <w:t>34.54109</w:t>
            </w:r>
          </w:p>
        </w:tc>
        <w:tc>
          <w:tcPr>
            <w:tcW w:w="1592" w:type="dxa"/>
          </w:tcPr>
          <w:p>
            <w:pPr>
              <w:pStyle w:val="TableParagraph"/>
              <w:spacing w:line="198" w:lineRule="exact"/>
              <w:ind w:left="51" w:right="73"/>
              <w:jc w:val="center"/>
              <w:rPr>
                <w:sz w:val="18"/>
              </w:rPr>
            </w:pPr>
            <w:r>
              <w:rPr>
                <w:spacing w:val="-2"/>
                <w:sz w:val="18"/>
              </w:rPr>
              <w:t>40.07757</w:t>
            </w:r>
          </w:p>
        </w:tc>
        <w:tc>
          <w:tcPr>
            <w:tcW w:w="1295" w:type="dxa"/>
          </w:tcPr>
          <w:p>
            <w:pPr>
              <w:pStyle w:val="TableParagraph"/>
              <w:spacing w:line="198" w:lineRule="exact"/>
              <w:ind w:left="335"/>
              <w:rPr>
                <w:sz w:val="18"/>
              </w:rPr>
            </w:pPr>
            <w:r>
              <w:rPr>
                <w:spacing w:val="-2"/>
                <w:sz w:val="18"/>
              </w:rPr>
              <w:t>0.1843</w:t>
            </w:r>
          </w:p>
        </w:tc>
      </w:tr>
      <w:tr>
        <w:trPr>
          <w:trHeight w:val="224" w:hRule="atLeast"/>
        </w:trPr>
        <w:tc>
          <w:tcPr>
            <w:tcW w:w="1444" w:type="dxa"/>
          </w:tcPr>
          <w:p>
            <w:pPr>
              <w:pStyle w:val="TableParagraph"/>
              <w:spacing w:before="5"/>
              <w:ind w:right="56"/>
              <w:jc w:val="center"/>
              <w:rPr>
                <w:sz w:val="18"/>
              </w:rPr>
            </w:pPr>
            <w:r>
              <w:rPr>
                <w:sz w:val="18"/>
              </w:rPr>
              <w:t>At most </w:t>
            </w:r>
            <w:r>
              <w:rPr>
                <w:spacing w:val="-10"/>
                <w:sz w:val="18"/>
              </w:rPr>
              <w:t>4</w:t>
            </w:r>
          </w:p>
        </w:tc>
        <w:tc>
          <w:tcPr>
            <w:tcW w:w="1407" w:type="dxa"/>
          </w:tcPr>
          <w:p>
            <w:pPr>
              <w:pStyle w:val="TableParagraph"/>
              <w:spacing w:before="5"/>
              <w:ind w:left="48" w:right="104"/>
              <w:jc w:val="center"/>
              <w:rPr>
                <w:sz w:val="18"/>
              </w:rPr>
            </w:pPr>
            <w:r>
              <w:rPr>
                <w:spacing w:val="-2"/>
                <w:sz w:val="18"/>
              </w:rPr>
              <w:t>0.632945</w:t>
            </w:r>
          </w:p>
        </w:tc>
        <w:tc>
          <w:tcPr>
            <w:tcW w:w="1321" w:type="dxa"/>
          </w:tcPr>
          <w:p>
            <w:pPr>
              <w:pStyle w:val="TableParagraph"/>
              <w:spacing w:before="5"/>
              <w:ind w:left="53" w:right="2"/>
              <w:jc w:val="center"/>
              <w:rPr>
                <w:sz w:val="18"/>
              </w:rPr>
            </w:pPr>
            <w:r>
              <w:rPr>
                <w:spacing w:val="-2"/>
                <w:sz w:val="18"/>
              </w:rPr>
              <w:t>33.07406</w:t>
            </w:r>
          </w:p>
        </w:tc>
        <w:tc>
          <w:tcPr>
            <w:tcW w:w="1592" w:type="dxa"/>
          </w:tcPr>
          <w:p>
            <w:pPr>
              <w:pStyle w:val="TableParagraph"/>
              <w:spacing w:before="5"/>
              <w:ind w:left="51" w:right="73"/>
              <w:jc w:val="center"/>
              <w:rPr>
                <w:sz w:val="18"/>
              </w:rPr>
            </w:pPr>
            <w:r>
              <w:rPr>
                <w:spacing w:val="-2"/>
                <w:sz w:val="18"/>
              </w:rPr>
              <w:t>33.87687</w:t>
            </w:r>
          </w:p>
        </w:tc>
        <w:tc>
          <w:tcPr>
            <w:tcW w:w="1295" w:type="dxa"/>
          </w:tcPr>
          <w:p>
            <w:pPr>
              <w:pStyle w:val="TableParagraph"/>
              <w:spacing w:before="5"/>
              <w:ind w:left="335"/>
              <w:rPr>
                <w:sz w:val="18"/>
              </w:rPr>
            </w:pPr>
            <w:r>
              <w:rPr>
                <w:spacing w:val="-2"/>
                <w:sz w:val="18"/>
              </w:rPr>
              <w:t>0.0621</w:t>
            </w:r>
          </w:p>
        </w:tc>
      </w:tr>
      <w:tr>
        <w:trPr>
          <w:trHeight w:val="225" w:hRule="atLeast"/>
        </w:trPr>
        <w:tc>
          <w:tcPr>
            <w:tcW w:w="1444" w:type="dxa"/>
          </w:tcPr>
          <w:p>
            <w:pPr>
              <w:pStyle w:val="TableParagraph"/>
              <w:ind w:right="56"/>
              <w:jc w:val="center"/>
              <w:rPr>
                <w:sz w:val="18"/>
              </w:rPr>
            </w:pPr>
            <w:r>
              <w:rPr>
                <w:sz w:val="18"/>
              </w:rPr>
              <w:t>At most </w:t>
            </w:r>
            <w:r>
              <w:rPr>
                <w:spacing w:val="-10"/>
                <w:sz w:val="18"/>
              </w:rPr>
              <w:t>5</w:t>
            </w:r>
          </w:p>
        </w:tc>
        <w:tc>
          <w:tcPr>
            <w:tcW w:w="1407" w:type="dxa"/>
          </w:tcPr>
          <w:p>
            <w:pPr>
              <w:pStyle w:val="TableParagraph"/>
              <w:ind w:left="48" w:right="104"/>
              <w:jc w:val="center"/>
              <w:rPr>
                <w:sz w:val="18"/>
              </w:rPr>
            </w:pPr>
            <w:r>
              <w:rPr>
                <w:spacing w:val="-2"/>
                <w:sz w:val="18"/>
              </w:rPr>
              <w:t>0.459277</w:t>
            </w:r>
          </w:p>
        </w:tc>
        <w:tc>
          <w:tcPr>
            <w:tcW w:w="1321" w:type="dxa"/>
          </w:tcPr>
          <w:p>
            <w:pPr>
              <w:pStyle w:val="TableParagraph"/>
              <w:ind w:left="53" w:right="2"/>
              <w:jc w:val="center"/>
              <w:rPr>
                <w:sz w:val="18"/>
              </w:rPr>
            </w:pPr>
            <w:r>
              <w:rPr>
                <w:spacing w:val="-2"/>
                <w:sz w:val="18"/>
              </w:rPr>
              <w:t>20.28997</w:t>
            </w:r>
          </w:p>
        </w:tc>
        <w:tc>
          <w:tcPr>
            <w:tcW w:w="1592" w:type="dxa"/>
          </w:tcPr>
          <w:p>
            <w:pPr>
              <w:pStyle w:val="TableParagraph"/>
              <w:ind w:left="51" w:right="73"/>
              <w:jc w:val="center"/>
              <w:rPr>
                <w:sz w:val="18"/>
              </w:rPr>
            </w:pPr>
            <w:r>
              <w:rPr>
                <w:spacing w:val="-2"/>
                <w:sz w:val="18"/>
              </w:rPr>
              <w:t>27.58434</w:t>
            </w:r>
          </w:p>
        </w:tc>
        <w:tc>
          <w:tcPr>
            <w:tcW w:w="1295" w:type="dxa"/>
          </w:tcPr>
          <w:p>
            <w:pPr>
              <w:pStyle w:val="TableParagraph"/>
              <w:ind w:left="335"/>
              <w:rPr>
                <w:sz w:val="18"/>
              </w:rPr>
            </w:pPr>
            <w:r>
              <w:rPr>
                <w:spacing w:val="-2"/>
                <w:sz w:val="18"/>
              </w:rPr>
              <w:t>0.3214</w:t>
            </w:r>
          </w:p>
        </w:tc>
      </w:tr>
      <w:tr>
        <w:trPr>
          <w:trHeight w:val="225" w:hRule="atLeast"/>
        </w:trPr>
        <w:tc>
          <w:tcPr>
            <w:tcW w:w="1444" w:type="dxa"/>
          </w:tcPr>
          <w:p>
            <w:pPr>
              <w:pStyle w:val="TableParagraph"/>
              <w:ind w:right="56"/>
              <w:jc w:val="center"/>
              <w:rPr>
                <w:sz w:val="18"/>
              </w:rPr>
            </w:pPr>
            <w:r>
              <w:rPr>
                <w:sz w:val="18"/>
              </w:rPr>
              <w:t>At most </w:t>
            </w:r>
            <w:r>
              <w:rPr>
                <w:spacing w:val="-10"/>
                <w:sz w:val="18"/>
              </w:rPr>
              <w:t>6</w:t>
            </w:r>
          </w:p>
        </w:tc>
        <w:tc>
          <w:tcPr>
            <w:tcW w:w="1407" w:type="dxa"/>
          </w:tcPr>
          <w:p>
            <w:pPr>
              <w:pStyle w:val="TableParagraph"/>
              <w:ind w:left="48" w:right="104"/>
              <w:jc w:val="center"/>
              <w:rPr>
                <w:sz w:val="18"/>
              </w:rPr>
            </w:pPr>
            <w:r>
              <w:rPr>
                <w:spacing w:val="-2"/>
                <w:sz w:val="18"/>
              </w:rPr>
              <w:t>0.375165</w:t>
            </w:r>
          </w:p>
        </w:tc>
        <w:tc>
          <w:tcPr>
            <w:tcW w:w="1321" w:type="dxa"/>
          </w:tcPr>
          <w:p>
            <w:pPr>
              <w:pStyle w:val="TableParagraph"/>
              <w:ind w:left="53" w:right="2"/>
              <w:jc w:val="center"/>
              <w:rPr>
                <w:sz w:val="18"/>
              </w:rPr>
            </w:pPr>
            <w:r>
              <w:rPr>
                <w:spacing w:val="-2"/>
                <w:sz w:val="18"/>
              </w:rPr>
              <w:t>15.51882</w:t>
            </w:r>
          </w:p>
        </w:tc>
        <w:tc>
          <w:tcPr>
            <w:tcW w:w="1592" w:type="dxa"/>
          </w:tcPr>
          <w:p>
            <w:pPr>
              <w:pStyle w:val="TableParagraph"/>
              <w:ind w:left="51" w:right="73"/>
              <w:jc w:val="center"/>
              <w:rPr>
                <w:sz w:val="18"/>
              </w:rPr>
            </w:pPr>
            <w:r>
              <w:rPr>
                <w:spacing w:val="-2"/>
                <w:sz w:val="18"/>
              </w:rPr>
              <w:t>21.13162</w:t>
            </w:r>
          </w:p>
        </w:tc>
        <w:tc>
          <w:tcPr>
            <w:tcW w:w="1295" w:type="dxa"/>
          </w:tcPr>
          <w:p>
            <w:pPr>
              <w:pStyle w:val="TableParagraph"/>
              <w:ind w:left="335"/>
              <w:rPr>
                <w:sz w:val="18"/>
              </w:rPr>
            </w:pPr>
            <w:r>
              <w:rPr>
                <w:spacing w:val="-2"/>
                <w:sz w:val="18"/>
              </w:rPr>
              <w:t>0.2542</w:t>
            </w:r>
          </w:p>
        </w:tc>
      </w:tr>
      <w:tr>
        <w:trPr>
          <w:trHeight w:val="224" w:hRule="atLeast"/>
        </w:trPr>
        <w:tc>
          <w:tcPr>
            <w:tcW w:w="1444" w:type="dxa"/>
          </w:tcPr>
          <w:p>
            <w:pPr>
              <w:pStyle w:val="TableParagraph"/>
              <w:spacing w:line="198" w:lineRule="exact"/>
              <w:ind w:right="56"/>
              <w:jc w:val="center"/>
              <w:rPr>
                <w:sz w:val="18"/>
              </w:rPr>
            </w:pPr>
            <w:r>
              <w:rPr>
                <w:sz w:val="18"/>
              </w:rPr>
              <w:t>At most </w:t>
            </w:r>
            <w:r>
              <w:rPr>
                <w:spacing w:val="-10"/>
                <w:sz w:val="18"/>
              </w:rPr>
              <w:t>7</w:t>
            </w:r>
          </w:p>
        </w:tc>
        <w:tc>
          <w:tcPr>
            <w:tcW w:w="1407" w:type="dxa"/>
          </w:tcPr>
          <w:p>
            <w:pPr>
              <w:pStyle w:val="TableParagraph"/>
              <w:spacing w:line="198" w:lineRule="exact"/>
              <w:ind w:left="48" w:right="104"/>
              <w:jc w:val="center"/>
              <w:rPr>
                <w:sz w:val="18"/>
              </w:rPr>
            </w:pPr>
            <w:r>
              <w:rPr>
                <w:spacing w:val="-2"/>
                <w:sz w:val="18"/>
              </w:rPr>
              <w:t>0.221669</w:t>
            </w:r>
          </w:p>
        </w:tc>
        <w:tc>
          <w:tcPr>
            <w:tcW w:w="1321" w:type="dxa"/>
          </w:tcPr>
          <w:p>
            <w:pPr>
              <w:pStyle w:val="TableParagraph"/>
              <w:spacing w:line="198" w:lineRule="exact"/>
              <w:ind w:left="53" w:right="2"/>
              <w:jc w:val="center"/>
              <w:rPr>
                <w:sz w:val="18"/>
              </w:rPr>
            </w:pPr>
            <w:r>
              <w:rPr>
                <w:spacing w:val="-2"/>
                <w:sz w:val="18"/>
              </w:rPr>
              <w:t>8.269922</w:t>
            </w:r>
          </w:p>
        </w:tc>
        <w:tc>
          <w:tcPr>
            <w:tcW w:w="1592" w:type="dxa"/>
          </w:tcPr>
          <w:p>
            <w:pPr>
              <w:pStyle w:val="TableParagraph"/>
              <w:spacing w:line="198" w:lineRule="exact"/>
              <w:ind w:left="51" w:right="73"/>
              <w:jc w:val="center"/>
              <w:rPr>
                <w:sz w:val="18"/>
              </w:rPr>
            </w:pPr>
            <w:r>
              <w:rPr>
                <w:spacing w:val="-2"/>
                <w:sz w:val="18"/>
              </w:rPr>
              <w:t>14.26460</w:t>
            </w:r>
          </w:p>
        </w:tc>
        <w:tc>
          <w:tcPr>
            <w:tcW w:w="1295" w:type="dxa"/>
          </w:tcPr>
          <w:p>
            <w:pPr>
              <w:pStyle w:val="TableParagraph"/>
              <w:spacing w:line="198" w:lineRule="exact"/>
              <w:ind w:left="335"/>
              <w:rPr>
                <w:sz w:val="18"/>
              </w:rPr>
            </w:pPr>
            <w:r>
              <w:rPr>
                <w:spacing w:val="-2"/>
                <w:sz w:val="18"/>
              </w:rPr>
              <w:t>0.3519</w:t>
            </w:r>
          </w:p>
        </w:tc>
      </w:tr>
      <w:tr>
        <w:trPr>
          <w:trHeight w:val="302" w:hRule="atLeast"/>
        </w:trPr>
        <w:tc>
          <w:tcPr>
            <w:tcW w:w="1444" w:type="dxa"/>
            <w:tcBorders>
              <w:bottom w:val="double" w:sz="6" w:space="0" w:color="000000"/>
            </w:tcBorders>
          </w:tcPr>
          <w:p>
            <w:pPr>
              <w:pStyle w:val="TableParagraph"/>
              <w:spacing w:line="240" w:lineRule="auto" w:before="5"/>
              <w:ind w:right="56"/>
              <w:jc w:val="center"/>
              <w:rPr>
                <w:sz w:val="18"/>
              </w:rPr>
            </w:pPr>
            <w:r>
              <w:rPr>
                <w:sz w:val="18"/>
              </w:rPr>
              <w:t>At most </w:t>
            </w:r>
            <w:r>
              <w:rPr>
                <w:spacing w:val="-10"/>
                <w:sz w:val="18"/>
              </w:rPr>
              <w:t>8</w:t>
            </w:r>
          </w:p>
        </w:tc>
        <w:tc>
          <w:tcPr>
            <w:tcW w:w="1407" w:type="dxa"/>
            <w:tcBorders>
              <w:bottom w:val="double" w:sz="6" w:space="0" w:color="000000"/>
            </w:tcBorders>
          </w:tcPr>
          <w:p>
            <w:pPr>
              <w:pStyle w:val="TableParagraph"/>
              <w:spacing w:line="240" w:lineRule="auto" w:before="5"/>
              <w:ind w:left="48" w:right="104"/>
              <w:jc w:val="center"/>
              <w:rPr>
                <w:sz w:val="18"/>
              </w:rPr>
            </w:pPr>
            <w:r>
              <w:rPr>
                <w:spacing w:val="-2"/>
                <w:sz w:val="18"/>
              </w:rPr>
              <w:t>0.000291</w:t>
            </w:r>
          </w:p>
        </w:tc>
        <w:tc>
          <w:tcPr>
            <w:tcW w:w="1321" w:type="dxa"/>
            <w:tcBorders>
              <w:bottom w:val="double" w:sz="6" w:space="0" w:color="000000"/>
            </w:tcBorders>
          </w:tcPr>
          <w:p>
            <w:pPr>
              <w:pStyle w:val="TableParagraph"/>
              <w:spacing w:line="240" w:lineRule="auto" w:before="5"/>
              <w:ind w:left="53" w:right="2"/>
              <w:jc w:val="center"/>
              <w:rPr>
                <w:sz w:val="18"/>
              </w:rPr>
            </w:pPr>
            <w:r>
              <w:rPr>
                <w:spacing w:val="-2"/>
                <w:sz w:val="18"/>
              </w:rPr>
              <w:t>0.009592</w:t>
            </w:r>
          </w:p>
        </w:tc>
        <w:tc>
          <w:tcPr>
            <w:tcW w:w="1592" w:type="dxa"/>
            <w:tcBorders>
              <w:bottom w:val="double" w:sz="6" w:space="0" w:color="000000"/>
            </w:tcBorders>
          </w:tcPr>
          <w:p>
            <w:pPr>
              <w:pStyle w:val="TableParagraph"/>
              <w:spacing w:line="240" w:lineRule="auto" w:before="5"/>
              <w:ind w:left="51" w:right="73"/>
              <w:jc w:val="center"/>
              <w:rPr>
                <w:sz w:val="18"/>
              </w:rPr>
            </w:pPr>
            <w:r>
              <w:rPr>
                <w:spacing w:val="-2"/>
                <w:sz w:val="18"/>
              </w:rPr>
              <w:t>3.841466</w:t>
            </w:r>
          </w:p>
        </w:tc>
        <w:tc>
          <w:tcPr>
            <w:tcW w:w="1295" w:type="dxa"/>
            <w:tcBorders>
              <w:bottom w:val="double" w:sz="6" w:space="0" w:color="000000"/>
            </w:tcBorders>
          </w:tcPr>
          <w:p>
            <w:pPr>
              <w:pStyle w:val="TableParagraph"/>
              <w:spacing w:line="240" w:lineRule="auto" w:before="5"/>
              <w:ind w:left="335"/>
              <w:rPr>
                <w:sz w:val="18"/>
              </w:rPr>
            </w:pPr>
            <w:r>
              <w:rPr>
                <w:spacing w:val="-2"/>
                <w:sz w:val="18"/>
              </w:rPr>
              <w:t>0.9217</w:t>
            </w:r>
          </w:p>
        </w:tc>
      </w:tr>
      <w:tr>
        <w:trPr>
          <w:trHeight w:val="327" w:hRule="atLeast"/>
        </w:trPr>
        <w:tc>
          <w:tcPr>
            <w:tcW w:w="5764" w:type="dxa"/>
            <w:gridSpan w:val="4"/>
            <w:tcBorders>
              <w:top w:val="double" w:sz="6" w:space="0" w:color="000000"/>
            </w:tcBorders>
          </w:tcPr>
          <w:p>
            <w:pPr>
              <w:pStyle w:val="TableParagraph"/>
              <w:spacing w:before="108"/>
              <w:ind w:left="50"/>
              <w:rPr>
                <w:sz w:val="18"/>
              </w:rPr>
            </w:pPr>
            <w:r>
              <w:rPr>
                <w:sz w:val="18"/>
              </w:rPr>
              <w:t>Max-eigenvalue</w:t>
            </w:r>
            <w:r>
              <w:rPr>
                <w:spacing w:val="-7"/>
                <w:sz w:val="18"/>
              </w:rPr>
              <w:t> </w:t>
            </w:r>
            <w:r>
              <w:rPr>
                <w:sz w:val="18"/>
              </w:rPr>
              <w:t>test</w:t>
            </w:r>
            <w:r>
              <w:rPr>
                <w:spacing w:val="-6"/>
                <w:sz w:val="18"/>
              </w:rPr>
              <w:t> </w:t>
            </w:r>
            <w:r>
              <w:rPr>
                <w:sz w:val="18"/>
              </w:rPr>
              <w:t>indicates</w:t>
            </w:r>
            <w:r>
              <w:rPr>
                <w:spacing w:val="-8"/>
                <w:sz w:val="18"/>
              </w:rPr>
              <w:t> </w:t>
            </w:r>
            <w:r>
              <w:rPr>
                <w:sz w:val="18"/>
              </w:rPr>
              <w:t>3</w:t>
            </w:r>
            <w:r>
              <w:rPr>
                <w:spacing w:val="-6"/>
                <w:sz w:val="18"/>
              </w:rPr>
              <w:t> </w:t>
            </w:r>
            <w:r>
              <w:rPr>
                <w:sz w:val="18"/>
              </w:rPr>
              <w:t>cointegrating</w:t>
            </w:r>
            <w:r>
              <w:rPr>
                <w:spacing w:val="-7"/>
                <w:sz w:val="18"/>
              </w:rPr>
              <w:t> </w:t>
            </w:r>
            <w:r>
              <w:rPr>
                <w:sz w:val="18"/>
              </w:rPr>
              <w:t>eqn(s)</w:t>
            </w:r>
            <w:r>
              <w:rPr>
                <w:spacing w:val="-6"/>
                <w:sz w:val="18"/>
              </w:rPr>
              <w:t> </w:t>
            </w:r>
            <w:r>
              <w:rPr>
                <w:sz w:val="18"/>
              </w:rPr>
              <w:t>at</w:t>
            </w:r>
            <w:r>
              <w:rPr>
                <w:spacing w:val="-7"/>
                <w:sz w:val="18"/>
              </w:rPr>
              <w:t> </w:t>
            </w:r>
            <w:r>
              <w:rPr>
                <w:sz w:val="18"/>
              </w:rPr>
              <w:t>the</w:t>
            </w:r>
            <w:r>
              <w:rPr>
                <w:spacing w:val="-8"/>
                <w:sz w:val="18"/>
              </w:rPr>
              <w:t> </w:t>
            </w:r>
            <w:r>
              <w:rPr>
                <w:sz w:val="18"/>
              </w:rPr>
              <w:t>0.05</w:t>
            </w:r>
            <w:r>
              <w:rPr>
                <w:spacing w:val="-6"/>
                <w:sz w:val="18"/>
              </w:rPr>
              <w:t> </w:t>
            </w:r>
            <w:r>
              <w:rPr>
                <w:spacing w:val="-2"/>
                <w:sz w:val="18"/>
              </w:rPr>
              <w:t>level</w:t>
            </w:r>
          </w:p>
        </w:tc>
        <w:tc>
          <w:tcPr>
            <w:tcW w:w="1295" w:type="dxa"/>
            <w:tcBorders>
              <w:top w:val="double" w:sz="6" w:space="0" w:color="000000"/>
            </w:tcBorders>
          </w:tcPr>
          <w:p>
            <w:pPr>
              <w:pStyle w:val="TableParagraph"/>
              <w:spacing w:line="240" w:lineRule="auto" w:before="0"/>
              <w:rPr>
                <w:rFonts w:ascii="Times New Roman"/>
                <w:sz w:val="20"/>
              </w:rPr>
            </w:pPr>
          </w:p>
        </w:tc>
      </w:tr>
      <w:tr>
        <w:trPr>
          <w:trHeight w:val="224" w:hRule="atLeast"/>
        </w:trPr>
        <w:tc>
          <w:tcPr>
            <w:tcW w:w="5764" w:type="dxa"/>
            <w:gridSpan w:val="4"/>
          </w:tcPr>
          <w:p>
            <w:pPr>
              <w:pStyle w:val="TableParagraph"/>
              <w:spacing w:line="198" w:lineRule="exact"/>
              <w:ind w:left="50"/>
              <w:rPr>
                <w:sz w:val="18"/>
              </w:rPr>
            </w:pPr>
            <w:r>
              <w:rPr>
                <w:sz w:val="18"/>
              </w:rPr>
              <w:t>*</w:t>
            </w:r>
            <w:r>
              <w:rPr>
                <w:spacing w:val="-3"/>
                <w:sz w:val="18"/>
              </w:rPr>
              <w:t> </w:t>
            </w:r>
            <w:r>
              <w:rPr>
                <w:sz w:val="18"/>
              </w:rPr>
              <w:t>denotes</w:t>
            </w:r>
            <w:r>
              <w:rPr>
                <w:spacing w:val="-1"/>
                <w:sz w:val="18"/>
              </w:rPr>
              <w:t> </w:t>
            </w:r>
            <w:r>
              <w:rPr>
                <w:sz w:val="18"/>
              </w:rPr>
              <w:t>rejection</w:t>
            </w:r>
            <w:r>
              <w:rPr>
                <w:spacing w:val="-3"/>
                <w:sz w:val="18"/>
              </w:rPr>
              <w:t> </w:t>
            </w:r>
            <w:r>
              <w:rPr>
                <w:sz w:val="18"/>
              </w:rPr>
              <w:t>of</w:t>
            </w:r>
            <w:r>
              <w:rPr>
                <w:spacing w:val="-4"/>
                <w:sz w:val="18"/>
              </w:rPr>
              <w:t> </w:t>
            </w:r>
            <w:r>
              <w:rPr>
                <w:sz w:val="18"/>
              </w:rPr>
              <w:t>the</w:t>
            </w:r>
            <w:r>
              <w:rPr>
                <w:spacing w:val="-5"/>
                <w:sz w:val="18"/>
              </w:rPr>
              <w:t> </w:t>
            </w:r>
            <w:r>
              <w:rPr>
                <w:sz w:val="18"/>
              </w:rPr>
              <w:t>hypothesis</w:t>
            </w:r>
            <w:r>
              <w:rPr>
                <w:spacing w:val="-4"/>
                <w:sz w:val="18"/>
              </w:rPr>
              <w:t> </w:t>
            </w:r>
            <w:r>
              <w:rPr>
                <w:sz w:val="18"/>
              </w:rPr>
              <w:t>at</w:t>
            </w:r>
            <w:r>
              <w:rPr>
                <w:spacing w:val="-2"/>
                <w:sz w:val="18"/>
              </w:rPr>
              <w:t> </w:t>
            </w:r>
            <w:r>
              <w:rPr>
                <w:sz w:val="18"/>
              </w:rPr>
              <w:t>the</w:t>
            </w:r>
            <w:r>
              <w:rPr>
                <w:spacing w:val="-3"/>
                <w:sz w:val="18"/>
              </w:rPr>
              <w:t> </w:t>
            </w:r>
            <w:r>
              <w:rPr>
                <w:sz w:val="18"/>
              </w:rPr>
              <w:t>0.05</w:t>
            </w:r>
            <w:r>
              <w:rPr>
                <w:spacing w:val="-4"/>
                <w:sz w:val="18"/>
              </w:rPr>
              <w:t> level</w:t>
            </w:r>
          </w:p>
        </w:tc>
        <w:tc>
          <w:tcPr>
            <w:tcW w:w="1295" w:type="dxa"/>
          </w:tcPr>
          <w:p>
            <w:pPr>
              <w:pStyle w:val="TableParagraph"/>
              <w:spacing w:line="240" w:lineRule="auto" w:before="0"/>
              <w:rPr>
                <w:rFonts w:ascii="Times New Roman"/>
                <w:sz w:val="16"/>
              </w:rPr>
            </w:pPr>
          </w:p>
        </w:tc>
      </w:tr>
      <w:tr>
        <w:trPr>
          <w:trHeight w:val="212" w:hRule="atLeast"/>
        </w:trPr>
        <w:tc>
          <w:tcPr>
            <w:tcW w:w="5764" w:type="dxa"/>
            <w:gridSpan w:val="4"/>
          </w:tcPr>
          <w:p>
            <w:pPr>
              <w:pStyle w:val="TableParagraph"/>
              <w:spacing w:line="187" w:lineRule="exact" w:before="5"/>
              <w:ind w:left="50"/>
              <w:rPr>
                <w:sz w:val="18"/>
              </w:rPr>
            </w:pPr>
            <w:r>
              <w:rPr>
                <w:spacing w:val="-2"/>
                <w:sz w:val="18"/>
              </w:rPr>
              <w:t>**MacKinnon-Haug-Michelis</w:t>
            </w:r>
            <w:r>
              <w:rPr>
                <w:spacing w:val="10"/>
                <w:sz w:val="18"/>
              </w:rPr>
              <w:t> </w:t>
            </w:r>
            <w:r>
              <w:rPr>
                <w:spacing w:val="-2"/>
                <w:sz w:val="18"/>
              </w:rPr>
              <w:t>(1999)</w:t>
            </w:r>
            <w:r>
              <w:rPr>
                <w:spacing w:val="11"/>
                <w:sz w:val="18"/>
              </w:rPr>
              <w:t> </w:t>
            </w:r>
            <w:r>
              <w:rPr>
                <w:spacing w:val="-2"/>
                <w:sz w:val="18"/>
              </w:rPr>
              <w:t>p-values</w:t>
            </w:r>
          </w:p>
        </w:tc>
        <w:tc>
          <w:tcPr>
            <w:tcW w:w="1295" w:type="dxa"/>
          </w:tcPr>
          <w:p>
            <w:pPr>
              <w:pStyle w:val="TableParagraph"/>
              <w:spacing w:line="240" w:lineRule="auto" w:before="0"/>
              <w:rPr>
                <w:rFonts w:ascii="Times New Roman"/>
                <w:sz w:val="14"/>
              </w:rPr>
            </w:pPr>
          </w:p>
        </w:tc>
      </w:tr>
    </w:tbl>
    <w:p>
      <w:pPr>
        <w:pStyle w:val="BodyText"/>
        <w:spacing w:before="180"/>
        <w:jc w:val="both"/>
      </w:pPr>
      <w:r>
        <w:rPr/>
        <w:t>Source:</w:t>
      </w:r>
      <w:r>
        <w:rPr>
          <w:spacing w:val="-9"/>
        </w:rPr>
        <w:t> </w:t>
      </w:r>
      <w:r>
        <w:rPr/>
        <w:t>Author’s</w:t>
      </w:r>
      <w:r>
        <w:rPr>
          <w:spacing w:val="-7"/>
        </w:rPr>
        <w:t> </w:t>
      </w:r>
      <w:r>
        <w:rPr/>
        <w:t>Computation</w:t>
      </w:r>
      <w:r>
        <w:rPr>
          <w:spacing w:val="-9"/>
        </w:rPr>
        <w:t> </w:t>
      </w:r>
      <w:r>
        <w:rPr/>
        <w:t>Using</w:t>
      </w:r>
      <w:r>
        <w:rPr>
          <w:spacing w:val="-9"/>
        </w:rPr>
        <w:t> </w:t>
      </w:r>
      <w:r>
        <w:rPr/>
        <w:t>E-View</w:t>
      </w:r>
      <w:r>
        <w:rPr>
          <w:spacing w:val="-9"/>
        </w:rPr>
        <w:t> </w:t>
      </w:r>
      <w:r>
        <w:rPr/>
        <w:t>Version</w:t>
      </w:r>
      <w:r>
        <w:rPr>
          <w:spacing w:val="-9"/>
        </w:rPr>
        <w:t> </w:t>
      </w:r>
      <w:r>
        <w:rPr>
          <w:spacing w:val="-5"/>
        </w:rPr>
        <w:t>9.0</w:t>
      </w:r>
    </w:p>
    <w:p>
      <w:pPr>
        <w:spacing w:after="0"/>
        <w:jc w:val="both"/>
        <w:sectPr>
          <w:pgSz w:w="12240" w:h="15840"/>
          <w:pgMar w:header="0" w:footer="1012" w:top="1380" w:bottom="1200" w:left="1220" w:right="700"/>
        </w:sectPr>
      </w:pPr>
    </w:p>
    <w:p>
      <w:pPr>
        <w:pStyle w:val="BodyText"/>
        <w:spacing w:line="480" w:lineRule="auto" w:before="60"/>
        <w:ind w:right="731"/>
        <w:jc w:val="both"/>
      </w:pPr>
      <w:r>
        <w:rPr/>
        <mc:AlternateContent>
          <mc:Choice Requires="wps">
            <w:drawing>
              <wp:anchor distT="0" distB="0" distL="0" distR="0" allowOverlap="1" layoutInCell="1" locked="0" behindDoc="1" simplePos="0" relativeHeight="478097920">
                <wp:simplePos x="0" y="0"/>
                <wp:positionH relativeFrom="page">
                  <wp:posOffset>1729155</wp:posOffset>
                </wp:positionH>
                <wp:positionV relativeFrom="paragraph">
                  <wp:posOffset>1321053</wp:posOffset>
                </wp:positionV>
                <wp:extent cx="4726305" cy="4882515"/>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4726305" cy="4882515"/>
                        </a:xfrm>
                        <a:custGeom>
                          <a:avLst/>
                          <a:gdLst/>
                          <a:ahLst/>
                          <a:cxnLst/>
                          <a:rect l="l" t="t" r="r" b="b"/>
                          <a:pathLst>
                            <a:path w="4726305" h="4882515">
                              <a:moveTo>
                                <a:pt x="735850" y="4610379"/>
                              </a:moveTo>
                              <a:lnTo>
                                <a:pt x="731875" y="4569625"/>
                              </a:lnTo>
                              <a:lnTo>
                                <a:pt x="721855" y="4528058"/>
                              </a:lnTo>
                              <a:lnTo>
                                <a:pt x="705561" y="4485640"/>
                              </a:lnTo>
                              <a:lnTo>
                                <a:pt x="687730" y="4451121"/>
                              </a:lnTo>
                              <a:lnTo>
                                <a:pt x="665327" y="4415548"/>
                              </a:lnTo>
                              <a:lnTo>
                                <a:pt x="638263" y="4378972"/>
                              </a:lnTo>
                              <a:lnTo>
                                <a:pt x="606590" y="4341507"/>
                              </a:lnTo>
                              <a:lnTo>
                                <a:pt x="595274" y="4329595"/>
                              </a:lnTo>
                              <a:lnTo>
                                <a:pt x="570179" y="4303141"/>
                              </a:lnTo>
                              <a:lnTo>
                                <a:pt x="555002" y="4289018"/>
                              </a:lnTo>
                              <a:lnTo>
                                <a:pt x="555002" y="4602658"/>
                              </a:lnTo>
                              <a:lnTo>
                                <a:pt x="551891" y="4628210"/>
                              </a:lnTo>
                              <a:lnTo>
                                <a:pt x="525475" y="4672584"/>
                              </a:lnTo>
                              <a:lnTo>
                                <a:pt x="481558" y="4698276"/>
                              </a:lnTo>
                              <a:lnTo>
                                <a:pt x="455853" y="4701095"/>
                              </a:lnTo>
                              <a:lnTo>
                                <a:pt x="427558" y="4697095"/>
                              </a:lnTo>
                              <a:lnTo>
                                <a:pt x="362242" y="4665535"/>
                              </a:lnTo>
                              <a:lnTo>
                                <a:pt x="324929" y="4636846"/>
                              </a:lnTo>
                              <a:lnTo>
                                <a:pt x="284556" y="4599317"/>
                              </a:lnTo>
                              <a:lnTo>
                                <a:pt x="246888" y="4558728"/>
                              </a:lnTo>
                              <a:lnTo>
                                <a:pt x="218008" y="4521212"/>
                              </a:lnTo>
                              <a:lnTo>
                                <a:pt x="197789" y="4486834"/>
                              </a:lnTo>
                              <a:lnTo>
                                <a:pt x="182118" y="4427385"/>
                              </a:lnTo>
                              <a:lnTo>
                                <a:pt x="184823" y="4401807"/>
                              </a:lnTo>
                              <a:lnTo>
                                <a:pt x="209626" y="4358894"/>
                              </a:lnTo>
                              <a:lnTo>
                                <a:pt x="253606" y="4332884"/>
                              </a:lnTo>
                              <a:lnTo>
                                <a:pt x="279323" y="4329595"/>
                              </a:lnTo>
                              <a:lnTo>
                                <a:pt x="307454" y="4332884"/>
                              </a:lnTo>
                              <a:lnTo>
                                <a:pt x="371005" y="4362755"/>
                              </a:lnTo>
                              <a:lnTo>
                                <a:pt x="406463" y="4389602"/>
                              </a:lnTo>
                              <a:lnTo>
                                <a:pt x="444322" y="4424553"/>
                              </a:lnTo>
                              <a:lnTo>
                                <a:pt x="485736" y="4468812"/>
                              </a:lnTo>
                              <a:lnTo>
                                <a:pt x="517309" y="4508716"/>
                              </a:lnTo>
                              <a:lnTo>
                                <a:pt x="539115" y="4544161"/>
                              </a:lnTo>
                              <a:lnTo>
                                <a:pt x="555002" y="4602658"/>
                              </a:lnTo>
                              <a:lnTo>
                                <a:pt x="555002" y="4289018"/>
                              </a:lnTo>
                              <a:lnTo>
                                <a:pt x="525792" y="4261828"/>
                              </a:lnTo>
                              <a:lnTo>
                                <a:pt x="481672" y="4226865"/>
                              </a:lnTo>
                              <a:lnTo>
                                <a:pt x="437857" y="4198201"/>
                              </a:lnTo>
                              <a:lnTo>
                                <a:pt x="394335" y="4175760"/>
                              </a:lnTo>
                              <a:lnTo>
                                <a:pt x="351142" y="4159504"/>
                              </a:lnTo>
                              <a:lnTo>
                                <a:pt x="308305" y="4149344"/>
                              </a:lnTo>
                              <a:lnTo>
                                <a:pt x="258267" y="4145813"/>
                              </a:lnTo>
                              <a:lnTo>
                                <a:pt x="210451" y="4152163"/>
                              </a:lnTo>
                              <a:lnTo>
                                <a:pt x="164871" y="4168292"/>
                              </a:lnTo>
                              <a:lnTo>
                                <a:pt x="121526" y="4194073"/>
                              </a:lnTo>
                              <a:lnTo>
                                <a:pt x="80467" y="4229354"/>
                              </a:lnTo>
                              <a:lnTo>
                                <a:pt x="46126" y="4269638"/>
                              </a:lnTo>
                              <a:lnTo>
                                <a:pt x="21209" y="4312539"/>
                              </a:lnTo>
                              <a:lnTo>
                                <a:pt x="5803" y="4358056"/>
                              </a:lnTo>
                              <a:lnTo>
                                <a:pt x="0" y="4406112"/>
                              </a:lnTo>
                              <a:lnTo>
                                <a:pt x="3886" y="4456684"/>
                              </a:lnTo>
                              <a:lnTo>
                                <a:pt x="14363" y="4500080"/>
                              </a:lnTo>
                              <a:lnTo>
                                <a:pt x="31013" y="4543882"/>
                              </a:lnTo>
                              <a:lnTo>
                                <a:pt x="53873" y="4588040"/>
                              </a:lnTo>
                              <a:lnTo>
                                <a:pt x="83007" y="4632515"/>
                              </a:lnTo>
                              <a:lnTo>
                                <a:pt x="118478" y="4677270"/>
                              </a:lnTo>
                              <a:lnTo>
                                <a:pt x="160350" y="4722241"/>
                              </a:lnTo>
                              <a:lnTo>
                                <a:pt x="198856" y="4758525"/>
                              </a:lnTo>
                              <a:lnTo>
                                <a:pt x="237083" y="4789995"/>
                              </a:lnTo>
                              <a:lnTo>
                                <a:pt x="274955" y="4816703"/>
                              </a:lnTo>
                              <a:lnTo>
                                <a:pt x="312394" y="4838725"/>
                              </a:lnTo>
                              <a:lnTo>
                                <a:pt x="349326" y="4856099"/>
                              </a:lnTo>
                              <a:lnTo>
                                <a:pt x="394081" y="4871567"/>
                              </a:lnTo>
                              <a:lnTo>
                                <a:pt x="436740" y="4880241"/>
                              </a:lnTo>
                              <a:lnTo>
                                <a:pt x="477278" y="4882426"/>
                              </a:lnTo>
                              <a:lnTo>
                                <a:pt x="515696" y="4878451"/>
                              </a:lnTo>
                              <a:lnTo>
                                <a:pt x="552386" y="4868151"/>
                              </a:lnTo>
                              <a:lnTo>
                                <a:pt x="588225" y="4850917"/>
                              </a:lnTo>
                              <a:lnTo>
                                <a:pt x="623227" y="4826927"/>
                              </a:lnTo>
                              <a:lnTo>
                                <a:pt x="657428" y="4796409"/>
                              </a:lnTo>
                              <a:lnTo>
                                <a:pt x="687260" y="4762271"/>
                              </a:lnTo>
                              <a:lnTo>
                                <a:pt x="710044" y="4726533"/>
                              </a:lnTo>
                              <a:lnTo>
                                <a:pt x="725665" y="4689221"/>
                              </a:lnTo>
                              <a:lnTo>
                                <a:pt x="734009" y="4650359"/>
                              </a:lnTo>
                              <a:lnTo>
                                <a:pt x="735850" y="4610379"/>
                              </a:lnTo>
                              <a:close/>
                            </a:path>
                            <a:path w="4726305" h="4882515">
                              <a:moveTo>
                                <a:pt x="907999" y="4242308"/>
                              </a:moveTo>
                              <a:lnTo>
                                <a:pt x="789254" y="4123436"/>
                              </a:lnTo>
                              <a:lnTo>
                                <a:pt x="627837" y="4284980"/>
                              </a:lnTo>
                              <a:lnTo>
                                <a:pt x="746582" y="4403725"/>
                              </a:lnTo>
                              <a:lnTo>
                                <a:pt x="907999" y="4242308"/>
                              </a:lnTo>
                              <a:close/>
                            </a:path>
                            <a:path w="4726305" h="4882515">
                              <a:moveTo>
                                <a:pt x="1232357" y="4202557"/>
                              </a:moveTo>
                              <a:lnTo>
                                <a:pt x="679145" y="3649345"/>
                              </a:lnTo>
                              <a:lnTo>
                                <a:pt x="555320" y="3773170"/>
                              </a:lnTo>
                              <a:lnTo>
                                <a:pt x="1108532" y="4326382"/>
                              </a:lnTo>
                              <a:lnTo>
                                <a:pt x="1232357" y="4202557"/>
                              </a:lnTo>
                              <a:close/>
                            </a:path>
                            <a:path w="4726305" h="4882515">
                              <a:moveTo>
                                <a:pt x="1444574" y="3990340"/>
                              </a:moveTo>
                              <a:lnTo>
                                <a:pt x="1239342" y="3784981"/>
                              </a:lnTo>
                              <a:lnTo>
                                <a:pt x="1307033" y="3717290"/>
                              </a:lnTo>
                              <a:lnTo>
                                <a:pt x="1339164" y="3679304"/>
                              </a:lnTo>
                              <a:lnTo>
                                <a:pt x="1342631" y="3672967"/>
                              </a:lnTo>
                              <a:lnTo>
                                <a:pt x="1360627" y="3640201"/>
                              </a:lnTo>
                              <a:lnTo>
                                <a:pt x="1371320" y="3600069"/>
                              </a:lnTo>
                              <a:lnTo>
                                <a:pt x="1371168" y="3558921"/>
                              </a:lnTo>
                              <a:lnTo>
                                <a:pt x="1361008" y="3517239"/>
                              </a:lnTo>
                              <a:lnTo>
                                <a:pt x="1346238" y="3484930"/>
                              </a:lnTo>
                              <a:lnTo>
                                <a:pt x="1341907" y="3475444"/>
                              </a:lnTo>
                              <a:lnTo>
                                <a:pt x="1313776" y="3433572"/>
                              </a:lnTo>
                              <a:lnTo>
                                <a:pt x="1276553" y="3391662"/>
                              </a:lnTo>
                              <a:lnTo>
                                <a:pt x="1236027" y="3355416"/>
                              </a:lnTo>
                              <a:lnTo>
                                <a:pt x="1195997" y="3328060"/>
                              </a:lnTo>
                              <a:lnTo>
                                <a:pt x="1190447" y="3325444"/>
                              </a:lnTo>
                              <a:lnTo>
                                <a:pt x="1190447" y="3575050"/>
                              </a:lnTo>
                              <a:lnTo>
                                <a:pt x="1189659" y="3591293"/>
                              </a:lnTo>
                              <a:lnTo>
                                <a:pt x="1183805" y="3607993"/>
                              </a:lnTo>
                              <a:lnTo>
                                <a:pt x="1173048" y="3625151"/>
                              </a:lnTo>
                              <a:lnTo>
                                <a:pt x="1157554" y="3642741"/>
                              </a:lnTo>
                              <a:lnTo>
                                <a:pt x="1127328" y="3672967"/>
                              </a:lnTo>
                              <a:lnTo>
                                <a:pt x="1003884" y="3549523"/>
                              </a:lnTo>
                              <a:lnTo>
                                <a:pt x="1039063" y="3514344"/>
                              </a:lnTo>
                              <a:lnTo>
                                <a:pt x="1056182" y="3499459"/>
                              </a:lnTo>
                              <a:lnTo>
                                <a:pt x="1072743" y="3489668"/>
                              </a:lnTo>
                              <a:lnTo>
                                <a:pt x="1088783" y="3484930"/>
                              </a:lnTo>
                              <a:lnTo>
                                <a:pt x="1104341" y="3485261"/>
                              </a:lnTo>
                              <a:lnTo>
                                <a:pt x="1147787" y="3505149"/>
                              </a:lnTo>
                              <a:lnTo>
                                <a:pt x="1181722" y="3544824"/>
                              </a:lnTo>
                              <a:lnTo>
                                <a:pt x="1190447" y="3575050"/>
                              </a:lnTo>
                              <a:lnTo>
                                <a:pt x="1190447" y="3325444"/>
                              </a:lnTo>
                              <a:lnTo>
                                <a:pt x="1156500" y="3309391"/>
                              </a:lnTo>
                              <a:lnTo>
                                <a:pt x="1117549" y="3299206"/>
                              </a:lnTo>
                              <a:lnTo>
                                <a:pt x="1079398" y="3298609"/>
                              </a:lnTo>
                              <a:lnTo>
                                <a:pt x="1042530" y="3307956"/>
                              </a:lnTo>
                              <a:lnTo>
                                <a:pt x="1006970" y="3327095"/>
                              </a:lnTo>
                              <a:lnTo>
                                <a:pt x="972769" y="3355848"/>
                              </a:lnTo>
                              <a:lnTo>
                                <a:pt x="767283" y="3561207"/>
                              </a:lnTo>
                              <a:lnTo>
                                <a:pt x="1320495" y="4114419"/>
                              </a:lnTo>
                              <a:lnTo>
                                <a:pt x="1444574" y="3990340"/>
                              </a:lnTo>
                              <a:close/>
                            </a:path>
                            <a:path w="4726305" h="4882515">
                              <a:moveTo>
                                <a:pt x="1946097" y="3488817"/>
                              </a:moveTo>
                              <a:lnTo>
                                <a:pt x="1529397" y="3072257"/>
                              </a:lnTo>
                              <a:lnTo>
                                <a:pt x="1655521" y="2946146"/>
                              </a:lnTo>
                              <a:lnTo>
                                <a:pt x="1518996" y="2809621"/>
                              </a:lnTo>
                              <a:lnTo>
                                <a:pt x="1143330" y="3185287"/>
                              </a:lnTo>
                              <a:lnTo>
                                <a:pt x="1279855" y="3321812"/>
                              </a:lnTo>
                              <a:lnTo>
                                <a:pt x="1405839" y="3195828"/>
                              </a:lnTo>
                              <a:lnTo>
                                <a:pt x="1822526" y="3612388"/>
                              </a:lnTo>
                              <a:lnTo>
                                <a:pt x="1946097" y="3488817"/>
                              </a:lnTo>
                              <a:close/>
                            </a:path>
                            <a:path w="4726305" h="4882515">
                              <a:moveTo>
                                <a:pt x="2349576" y="3085338"/>
                              </a:moveTo>
                              <a:lnTo>
                                <a:pt x="1933016" y="2668651"/>
                              </a:lnTo>
                              <a:lnTo>
                                <a:pt x="2059000" y="2542667"/>
                              </a:lnTo>
                              <a:lnTo>
                                <a:pt x="1922475" y="2406142"/>
                              </a:lnTo>
                              <a:lnTo>
                                <a:pt x="1546809" y="2781808"/>
                              </a:lnTo>
                              <a:lnTo>
                                <a:pt x="1683461" y="2918333"/>
                              </a:lnTo>
                              <a:lnTo>
                                <a:pt x="1809445" y="2792349"/>
                              </a:lnTo>
                              <a:lnTo>
                                <a:pt x="2226005" y="3208909"/>
                              </a:lnTo>
                              <a:lnTo>
                                <a:pt x="2349576" y="3085338"/>
                              </a:lnTo>
                              <a:close/>
                            </a:path>
                            <a:path w="4726305" h="4882515">
                              <a:moveTo>
                                <a:pt x="2815361" y="2530856"/>
                              </a:moveTo>
                              <a:lnTo>
                                <a:pt x="2811437" y="2490063"/>
                              </a:lnTo>
                              <a:lnTo>
                                <a:pt x="2801467" y="2448458"/>
                              </a:lnTo>
                              <a:lnTo>
                                <a:pt x="2785186" y="2406015"/>
                              </a:lnTo>
                              <a:lnTo>
                                <a:pt x="2767292" y="2371560"/>
                              </a:lnTo>
                              <a:lnTo>
                                <a:pt x="2744851" y="2336038"/>
                              </a:lnTo>
                              <a:lnTo>
                                <a:pt x="2717736" y="2299449"/>
                              </a:lnTo>
                              <a:lnTo>
                                <a:pt x="2686088" y="2262073"/>
                              </a:lnTo>
                              <a:lnTo>
                                <a:pt x="2674696" y="2250097"/>
                              </a:lnTo>
                              <a:lnTo>
                                <a:pt x="2649677" y="2223770"/>
                              </a:lnTo>
                              <a:lnTo>
                                <a:pt x="2634500" y="2209635"/>
                              </a:lnTo>
                              <a:lnTo>
                                <a:pt x="2634500" y="2523134"/>
                              </a:lnTo>
                              <a:lnTo>
                                <a:pt x="2631363" y="2548661"/>
                              </a:lnTo>
                              <a:lnTo>
                                <a:pt x="2604846" y="2593086"/>
                              </a:lnTo>
                              <a:lnTo>
                                <a:pt x="2561107" y="2618714"/>
                              </a:lnTo>
                              <a:lnTo>
                                <a:pt x="2535453" y="2621483"/>
                              </a:lnTo>
                              <a:lnTo>
                                <a:pt x="2507183" y="2617470"/>
                              </a:lnTo>
                              <a:lnTo>
                                <a:pt x="2441867" y="2585936"/>
                              </a:lnTo>
                              <a:lnTo>
                                <a:pt x="2404554" y="2557272"/>
                              </a:lnTo>
                              <a:lnTo>
                                <a:pt x="2364181" y="2519807"/>
                              </a:lnTo>
                              <a:lnTo>
                                <a:pt x="2326436" y="2479154"/>
                              </a:lnTo>
                              <a:lnTo>
                                <a:pt x="2297531" y="2441600"/>
                              </a:lnTo>
                              <a:lnTo>
                                <a:pt x="2277338" y="2407208"/>
                              </a:lnTo>
                              <a:lnTo>
                                <a:pt x="2261717" y="2347785"/>
                              </a:lnTo>
                              <a:lnTo>
                                <a:pt x="2264384" y="2322245"/>
                              </a:lnTo>
                              <a:lnTo>
                                <a:pt x="2289124" y="2279396"/>
                              </a:lnTo>
                              <a:lnTo>
                                <a:pt x="2333104" y="2253386"/>
                              </a:lnTo>
                              <a:lnTo>
                                <a:pt x="2358821" y="2250097"/>
                              </a:lnTo>
                              <a:lnTo>
                                <a:pt x="2386952" y="2253386"/>
                              </a:lnTo>
                              <a:lnTo>
                                <a:pt x="2450452" y="2283256"/>
                              </a:lnTo>
                              <a:lnTo>
                                <a:pt x="2485936" y="2310104"/>
                              </a:lnTo>
                              <a:lnTo>
                                <a:pt x="2523820" y="2345055"/>
                              </a:lnTo>
                              <a:lnTo>
                                <a:pt x="2565260" y="2389289"/>
                              </a:lnTo>
                              <a:lnTo>
                                <a:pt x="2596858" y="2429167"/>
                              </a:lnTo>
                              <a:lnTo>
                                <a:pt x="2618663" y="2464612"/>
                              </a:lnTo>
                              <a:lnTo>
                                <a:pt x="2634500" y="2523134"/>
                              </a:lnTo>
                              <a:lnTo>
                                <a:pt x="2634500" y="2209635"/>
                              </a:lnTo>
                              <a:lnTo>
                                <a:pt x="2605290" y="2182406"/>
                              </a:lnTo>
                              <a:lnTo>
                                <a:pt x="2561171" y="2147405"/>
                              </a:lnTo>
                              <a:lnTo>
                                <a:pt x="2517356" y="2118715"/>
                              </a:lnTo>
                              <a:lnTo>
                                <a:pt x="2473833" y="2096274"/>
                              </a:lnTo>
                              <a:lnTo>
                                <a:pt x="2430640" y="2080006"/>
                              </a:lnTo>
                              <a:lnTo>
                                <a:pt x="2387803" y="2069846"/>
                              </a:lnTo>
                              <a:lnTo>
                                <a:pt x="2337765" y="2066315"/>
                              </a:lnTo>
                              <a:lnTo>
                                <a:pt x="2289949" y="2072665"/>
                              </a:lnTo>
                              <a:lnTo>
                                <a:pt x="2244369" y="2088769"/>
                              </a:lnTo>
                              <a:lnTo>
                                <a:pt x="2201024" y="2114512"/>
                              </a:lnTo>
                              <a:lnTo>
                                <a:pt x="2159965" y="2149729"/>
                              </a:lnTo>
                              <a:lnTo>
                                <a:pt x="2125675" y="2190026"/>
                              </a:lnTo>
                              <a:lnTo>
                                <a:pt x="2100770" y="2232964"/>
                              </a:lnTo>
                              <a:lnTo>
                                <a:pt x="2085365" y="2278507"/>
                              </a:lnTo>
                              <a:lnTo>
                                <a:pt x="2079574" y="2326602"/>
                              </a:lnTo>
                              <a:lnTo>
                                <a:pt x="2083511" y="2377186"/>
                              </a:lnTo>
                              <a:lnTo>
                                <a:pt x="2093937" y="2420582"/>
                              </a:lnTo>
                              <a:lnTo>
                                <a:pt x="2110549" y="2464346"/>
                              </a:lnTo>
                              <a:lnTo>
                                <a:pt x="2133384" y="2508478"/>
                              </a:lnTo>
                              <a:lnTo>
                                <a:pt x="2162505" y="2552928"/>
                              </a:lnTo>
                              <a:lnTo>
                                <a:pt x="2197976" y="2597645"/>
                              </a:lnTo>
                              <a:lnTo>
                                <a:pt x="2239848" y="2642616"/>
                              </a:lnTo>
                              <a:lnTo>
                                <a:pt x="2278405" y="2678912"/>
                              </a:lnTo>
                              <a:lnTo>
                                <a:pt x="2316645" y="2710408"/>
                              </a:lnTo>
                              <a:lnTo>
                                <a:pt x="2354491" y="2737167"/>
                              </a:lnTo>
                              <a:lnTo>
                                <a:pt x="2391905" y="2759214"/>
                              </a:lnTo>
                              <a:lnTo>
                                <a:pt x="2428824" y="2776601"/>
                              </a:lnTo>
                              <a:lnTo>
                                <a:pt x="2473642" y="2792006"/>
                              </a:lnTo>
                              <a:lnTo>
                                <a:pt x="2516289" y="2800693"/>
                              </a:lnTo>
                              <a:lnTo>
                                <a:pt x="2556802" y="2802915"/>
                              </a:lnTo>
                              <a:lnTo>
                                <a:pt x="2595194" y="2798953"/>
                              </a:lnTo>
                              <a:lnTo>
                                <a:pt x="2631910" y="2788602"/>
                              </a:lnTo>
                              <a:lnTo>
                                <a:pt x="2667774" y="2771368"/>
                              </a:lnTo>
                              <a:lnTo>
                                <a:pt x="2702776" y="2747416"/>
                              </a:lnTo>
                              <a:lnTo>
                                <a:pt x="2736926" y="2716911"/>
                              </a:lnTo>
                              <a:lnTo>
                                <a:pt x="2766784" y="2682722"/>
                              </a:lnTo>
                              <a:lnTo>
                                <a:pt x="2789593" y="2646984"/>
                              </a:lnTo>
                              <a:lnTo>
                                <a:pt x="2800273" y="2621483"/>
                              </a:lnTo>
                              <a:lnTo>
                                <a:pt x="2805214" y="2609710"/>
                              </a:lnTo>
                              <a:lnTo>
                                <a:pt x="2813507" y="2570861"/>
                              </a:lnTo>
                              <a:lnTo>
                                <a:pt x="2815361" y="2530856"/>
                              </a:lnTo>
                              <a:close/>
                            </a:path>
                            <a:path w="4726305" h="4882515">
                              <a:moveTo>
                                <a:pt x="3458730" y="1898713"/>
                              </a:moveTo>
                              <a:lnTo>
                                <a:pt x="3447745" y="1835531"/>
                              </a:lnTo>
                              <a:lnTo>
                                <a:pt x="3420351" y="1767636"/>
                              </a:lnTo>
                              <a:lnTo>
                                <a:pt x="3400717" y="1732191"/>
                              </a:lnTo>
                              <a:lnTo>
                                <a:pt x="3376879" y="1695831"/>
                              </a:lnTo>
                              <a:lnTo>
                                <a:pt x="3338449" y="1711452"/>
                              </a:lnTo>
                              <a:lnTo>
                                <a:pt x="3223209" y="1758823"/>
                              </a:lnTo>
                              <a:lnTo>
                                <a:pt x="3243262" y="1788236"/>
                              </a:lnTo>
                              <a:lnTo>
                                <a:pt x="3258794" y="1815719"/>
                              </a:lnTo>
                              <a:lnTo>
                                <a:pt x="3269996" y="1841309"/>
                              </a:lnTo>
                              <a:lnTo>
                                <a:pt x="3277057" y="1864995"/>
                              </a:lnTo>
                              <a:lnTo>
                                <a:pt x="3279038" y="1887347"/>
                              </a:lnTo>
                              <a:lnTo>
                                <a:pt x="3275304" y="1908327"/>
                              </a:lnTo>
                              <a:lnTo>
                                <a:pt x="3250895" y="1946402"/>
                              </a:lnTo>
                              <a:lnTo>
                                <a:pt x="3209823" y="1970443"/>
                              </a:lnTo>
                              <a:lnTo>
                                <a:pt x="3186011" y="1973021"/>
                              </a:lnTo>
                              <a:lnTo>
                                <a:pt x="3160090" y="1969135"/>
                              </a:lnTo>
                              <a:lnTo>
                                <a:pt x="3096615" y="1935657"/>
                              </a:lnTo>
                              <a:lnTo>
                                <a:pt x="3057639" y="1904365"/>
                              </a:lnTo>
                              <a:lnTo>
                                <a:pt x="3013913" y="1863217"/>
                              </a:lnTo>
                              <a:lnTo>
                                <a:pt x="2980372" y="1827504"/>
                              </a:lnTo>
                              <a:lnTo>
                                <a:pt x="2953867" y="1794510"/>
                              </a:lnTo>
                              <a:lnTo>
                                <a:pt x="2921838" y="1737233"/>
                              </a:lnTo>
                              <a:lnTo>
                                <a:pt x="2913557" y="1704390"/>
                              </a:lnTo>
                              <a:lnTo>
                                <a:pt x="2913799" y="1674964"/>
                              </a:lnTo>
                              <a:lnTo>
                                <a:pt x="2939491" y="1626108"/>
                              </a:lnTo>
                              <a:lnTo>
                                <a:pt x="2983560" y="1603121"/>
                              </a:lnTo>
                              <a:lnTo>
                                <a:pt x="2996704" y="1601851"/>
                              </a:lnTo>
                              <a:lnTo>
                                <a:pt x="3010306" y="1602105"/>
                              </a:lnTo>
                              <a:lnTo>
                                <a:pt x="3048825" y="1611642"/>
                              </a:lnTo>
                              <a:lnTo>
                                <a:pt x="3088081" y="1632966"/>
                              </a:lnTo>
                              <a:lnTo>
                                <a:pt x="3163519" y="1490218"/>
                              </a:lnTo>
                              <a:lnTo>
                                <a:pt x="3110801" y="1461084"/>
                              </a:lnTo>
                              <a:lnTo>
                                <a:pt x="3060890" y="1440662"/>
                              </a:lnTo>
                              <a:lnTo>
                                <a:pt x="3013849" y="1428572"/>
                              </a:lnTo>
                              <a:lnTo>
                                <a:pt x="2969717" y="1424432"/>
                              </a:lnTo>
                              <a:lnTo>
                                <a:pt x="2927451" y="1429385"/>
                              </a:lnTo>
                              <a:lnTo>
                                <a:pt x="2886557" y="1443939"/>
                              </a:lnTo>
                              <a:lnTo>
                                <a:pt x="2846946" y="1467904"/>
                              </a:lnTo>
                              <a:lnTo>
                                <a:pt x="2808554" y="1501140"/>
                              </a:lnTo>
                              <a:lnTo>
                                <a:pt x="2774543" y="1540979"/>
                              </a:lnTo>
                              <a:lnTo>
                                <a:pt x="2749880" y="1583207"/>
                              </a:lnTo>
                              <a:lnTo>
                                <a:pt x="2734640" y="1627797"/>
                              </a:lnTo>
                              <a:lnTo>
                                <a:pt x="2728938" y="1674749"/>
                              </a:lnTo>
                              <a:lnTo>
                                <a:pt x="2732862" y="1724025"/>
                              </a:lnTo>
                              <a:lnTo>
                                <a:pt x="2743466" y="1766570"/>
                              </a:lnTo>
                              <a:lnTo>
                                <a:pt x="2760256" y="1809699"/>
                              </a:lnTo>
                              <a:lnTo>
                                <a:pt x="2783306" y="1853438"/>
                              </a:lnTo>
                              <a:lnTo>
                                <a:pt x="2812732" y="1897773"/>
                              </a:lnTo>
                              <a:lnTo>
                                <a:pt x="2848635" y="1942693"/>
                              </a:lnTo>
                              <a:lnTo>
                                <a:pt x="2891104" y="1988185"/>
                              </a:lnTo>
                              <a:lnTo>
                                <a:pt x="2932061" y="2026716"/>
                              </a:lnTo>
                              <a:lnTo>
                                <a:pt x="2972473" y="2059787"/>
                              </a:lnTo>
                              <a:lnTo>
                                <a:pt x="3012325" y="2087511"/>
                              </a:lnTo>
                              <a:lnTo>
                                <a:pt x="3051594" y="2110003"/>
                              </a:lnTo>
                              <a:lnTo>
                                <a:pt x="3090240" y="2127377"/>
                              </a:lnTo>
                              <a:lnTo>
                                <a:pt x="3136417" y="2142363"/>
                              </a:lnTo>
                              <a:lnTo>
                                <a:pt x="3179114" y="2150580"/>
                              </a:lnTo>
                              <a:lnTo>
                                <a:pt x="3218269" y="2152332"/>
                              </a:lnTo>
                              <a:lnTo>
                                <a:pt x="3253816" y="2147951"/>
                              </a:lnTo>
                              <a:lnTo>
                                <a:pt x="3320656" y="2120328"/>
                              </a:lnTo>
                              <a:lnTo>
                                <a:pt x="3353625" y="2097024"/>
                              </a:lnTo>
                              <a:lnTo>
                                <a:pt x="3386277" y="2067560"/>
                              </a:lnTo>
                              <a:lnTo>
                                <a:pt x="3429990" y="2013115"/>
                              </a:lnTo>
                              <a:lnTo>
                                <a:pt x="3453333" y="1957324"/>
                              </a:lnTo>
                              <a:lnTo>
                                <a:pt x="3457956" y="1928583"/>
                              </a:lnTo>
                              <a:lnTo>
                                <a:pt x="3458730" y="1898713"/>
                              </a:lnTo>
                              <a:close/>
                            </a:path>
                            <a:path w="4726305" h="4882515">
                              <a:moveTo>
                                <a:pt x="3901719" y="1444447"/>
                              </a:moveTo>
                              <a:lnTo>
                                <a:pt x="3897795" y="1403692"/>
                              </a:lnTo>
                              <a:lnTo>
                                <a:pt x="3887825" y="1362100"/>
                              </a:lnTo>
                              <a:lnTo>
                                <a:pt x="3871544" y="1319657"/>
                              </a:lnTo>
                              <a:lnTo>
                                <a:pt x="3853700" y="1285138"/>
                              </a:lnTo>
                              <a:lnTo>
                                <a:pt x="3831272" y="1249578"/>
                              </a:lnTo>
                              <a:lnTo>
                                <a:pt x="3804221" y="1213040"/>
                              </a:lnTo>
                              <a:lnTo>
                                <a:pt x="3772522" y="1175588"/>
                              </a:lnTo>
                              <a:lnTo>
                                <a:pt x="3736162" y="1137285"/>
                              </a:lnTo>
                              <a:lnTo>
                                <a:pt x="3720858" y="1123035"/>
                              </a:lnTo>
                              <a:lnTo>
                                <a:pt x="3720858" y="1436776"/>
                              </a:lnTo>
                              <a:lnTo>
                                <a:pt x="3717747" y="1462278"/>
                              </a:lnTo>
                              <a:lnTo>
                                <a:pt x="3691331" y="1506601"/>
                              </a:lnTo>
                              <a:lnTo>
                                <a:pt x="3647529" y="1532293"/>
                              </a:lnTo>
                              <a:lnTo>
                                <a:pt x="3621836" y="1535112"/>
                              </a:lnTo>
                              <a:lnTo>
                                <a:pt x="3593541" y="1531112"/>
                              </a:lnTo>
                              <a:lnTo>
                                <a:pt x="3528225" y="1499577"/>
                              </a:lnTo>
                              <a:lnTo>
                                <a:pt x="3490912" y="1470914"/>
                              </a:lnTo>
                              <a:lnTo>
                                <a:pt x="3450539" y="1433449"/>
                              </a:lnTo>
                              <a:lnTo>
                                <a:pt x="3412794" y="1392796"/>
                              </a:lnTo>
                              <a:lnTo>
                                <a:pt x="3383889" y="1355242"/>
                              </a:lnTo>
                              <a:lnTo>
                                <a:pt x="3363696" y="1320850"/>
                              </a:lnTo>
                              <a:lnTo>
                                <a:pt x="3348101" y="1261414"/>
                              </a:lnTo>
                              <a:lnTo>
                                <a:pt x="3350793" y="1235837"/>
                              </a:lnTo>
                              <a:lnTo>
                                <a:pt x="3375482" y="1193038"/>
                              </a:lnTo>
                              <a:lnTo>
                                <a:pt x="3419487" y="1166964"/>
                              </a:lnTo>
                              <a:lnTo>
                                <a:pt x="3445230" y="1163624"/>
                              </a:lnTo>
                              <a:lnTo>
                                <a:pt x="3473399" y="1166876"/>
                              </a:lnTo>
                              <a:lnTo>
                                <a:pt x="3536937" y="1196771"/>
                              </a:lnTo>
                              <a:lnTo>
                                <a:pt x="3572421" y="1223619"/>
                              </a:lnTo>
                              <a:lnTo>
                                <a:pt x="3610305" y="1258570"/>
                              </a:lnTo>
                              <a:lnTo>
                                <a:pt x="3651720" y="1302829"/>
                              </a:lnTo>
                              <a:lnTo>
                                <a:pt x="3683279" y="1342745"/>
                              </a:lnTo>
                              <a:lnTo>
                                <a:pt x="3705047" y="1378229"/>
                              </a:lnTo>
                              <a:lnTo>
                                <a:pt x="3720858" y="1436776"/>
                              </a:lnTo>
                              <a:lnTo>
                                <a:pt x="3720858" y="1123035"/>
                              </a:lnTo>
                              <a:lnTo>
                                <a:pt x="3691775" y="1095921"/>
                              </a:lnTo>
                              <a:lnTo>
                                <a:pt x="3647656" y="1060919"/>
                              </a:lnTo>
                              <a:lnTo>
                                <a:pt x="3603841" y="1032230"/>
                              </a:lnTo>
                              <a:lnTo>
                                <a:pt x="3560318" y="1009789"/>
                              </a:lnTo>
                              <a:lnTo>
                                <a:pt x="3517125" y="993521"/>
                              </a:lnTo>
                              <a:lnTo>
                                <a:pt x="3474288" y="983361"/>
                              </a:lnTo>
                              <a:lnTo>
                                <a:pt x="3424199" y="979881"/>
                              </a:lnTo>
                              <a:lnTo>
                                <a:pt x="3376371" y="986269"/>
                              </a:lnTo>
                              <a:lnTo>
                                <a:pt x="3330791" y="1002411"/>
                              </a:lnTo>
                              <a:lnTo>
                                <a:pt x="3287433" y="1028153"/>
                              </a:lnTo>
                              <a:lnTo>
                                <a:pt x="3246323" y="1063371"/>
                              </a:lnTo>
                              <a:lnTo>
                                <a:pt x="3212033" y="1103668"/>
                              </a:lnTo>
                              <a:lnTo>
                                <a:pt x="3187128" y="1146606"/>
                              </a:lnTo>
                              <a:lnTo>
                                <a:pt x="3171723" y="1192149"/>
                              </a:lnTo>
                              <a:lnTo>
                                <a:pt x="3165932" y="1240243"/>
                              </a:lnTo>
                              <a:lnTo>
                                <a:pt x="3169869" y="1290828"/>
                              </a:lnTo>
                              <a:lnTo>
                                <a:pt x="3180296" y="1334223"/>
                              </a:lnTo>
                              <a:lnTo>
                                <a:pt x="3196907" y="1377988"/>
                              </a:lnTo>
                              <a:lnTo>
                                <a:pt x="3219742" y="1422120"/>
                              </a:lnTo>
                              <a:lnTo>
                                <a:pt x="3248863" y="1466570"/>
                              </a:lnTo>
                              <a:lnTo>
                                <a:pt x="3284334" y="1511287"/>
                              </a:lnTo>
                              <a:lnTo>
                                <a:pt x="3326206" y="1556258"/>
                              </a:lnTo>
                              <a:lnTo>
                                <a:pt x="3364763" y="1592554"/>
                              </a:lnTo>
                              <a:lnTo>
                                <a:pt x="3403003" y="1624050"/>
                              </a:lnTo>
                              <a:lnTo>
                                <a:pt x="3440874" y="1650809"/>
                              </a:lnTo>
                              <a:lnTo>
                                <a:pt x="3478326" y="1672856"/>
                              </a:lnTo>
                              <a:lnTo>
                                <a:pt x="3515309" y="1690243"/>
                              </a:lnTo>
                              <a:lnTo>
                                <a:pt x="3560064" y="1705635"/>
                              </a:lnTo>
                              <a:lnTo>
                                <a:pt x="3602723" y="1714271"/>
                              </a:lnTo>
                              <a:lnTo>
                                <a:pt x="3643261" y="1716443"/>
                              </a:lnTo>
                              <a:lnTo>
                                <a:pt x="3681679" y="1712468"/>
                              </a:lnTo>
                              <a:lnTo>
                                <a:pt x="3754158" y="1684972"/>
                              </a:lnTo>
                              <a:lnTo>
                                <a:pt x="3789184" y="1661007"/>
                              </a:lnTo>
                              <a:lnTo>
                                <a:pt x="3823411" y="1630426"/>
                              </a:lnTo>
                              <a:lnTo>
                                <a:pt x="3853192" y="1596301"/>
                              </a:lnTo>
                              <a:lnTo>
                                <a:pt x="3875963" y="1560601"/>
                              </a:lnTo>
                              <a:lnTo>
                                <a:pt x="3891572" y="1523288"/>
                              </a:lnTo>
                              <a:lnTo>
                                <a:pt x="3899865" y="1484376"/>
                              </a:lnTo>
                              <a:lnTo>
                                <a:pt x="3901719" y="1444447"/>
                              </a:lnTo>
                              <a:close/>
                            </a:path>
                            <a:path w="4726305" h="4882515">
                              <a:moveTo>
                                <a:pt x="4207078" y="1227975"/>
                              </a:moveTo>
                              <a:lnTo>
                                <a:pt x="4001719" y="1022604"/>
                              </a:lnTo>
                              <a:lnTo>
                                <a:pt x="4069410" y="954913"/>
                              </a:lnTo>
                              <a:lnTo>
                                <a:pt x="4101554" y="916901"/>
                              </a:lnTo>
                              <a:lnTo>
                                <a:pt x="4105021" y="910590"/>
                              </a:lnTo>
                              <a:lnTo>
                                <a:pt x="4123042" y="877760"/>
                              </a:lnTo>
                              <a:lnTo>
                                <a:pt x="4133748" y="837577"/>
                              </a:lnTo>
                              <a:lnTo>
                                <a:pt x="4133545" y="796417"/>
                              </a:lnTo>
                              <a:lnTo>
                                <a:pt x="4123448" y="754748"/>
                              </a:lnTo>
                              <a:lnTo>
                                <a:pt x="4104373" y="713003"/>
                              </a:lnTo>
                              <a:lnTo>
                                <a:pt x="4076230" y="671169"/>
                              </a:lnTo>
                              <a:lnTo>
                                <a:pt x="4038930" y="629285"/>
                              </a:lnTo>
                              <a:lnTo>
                                <a:pt x="3998404" y="593026"/>
                              </a:lnTo>
                              <a:lnTo>
                                <a:pt x="3958374" y="565632"/>
                              </a:lnTo>
                              <a:lnTo>
                                <a:pt x="3952824" y="563016"/>
                              </a:lnTo>
                              <a:lnTo>
                                <a:pt x="3952824" y="812673"/>
                              </a:lnTo>
                              <a:lnTo>
                                <a:pt x="3952062" y="828903"/>
                              </a:lnTo>
                              <a:lnTo>
                                <a:pt x="3946245" y="845553"/>
                              </a:lnTo>
                              <a:lnTo>
                                <a:pt x="3935526" y="862672"/>
                              </a:lnTo>
                              <a:lnTo>
                                <a:pt x="3920058" y="880237"/>
                              </a:lnTo>
                              <a:lnTo>
                                <a:pt x="3889705" y="910590"/>
                              </a:lnTo>
                              <a:lnTo>
                                <a:pt x="3766261" y="787146"/>
                              </a:lnTo>
                              <a:lnTo>
                                <a:pt x="3801440" y="751967"/>
                              </a:lnTo>
                              <a:lnTo>
                                <a:pt x="3818559" y="737082"/>
                              </a:lnTo>
                              <a:lnTo>
                                <a:pt x="3835120" y="727290"/>
                              </a:lnTo>
                              <a:lnTo>
                                <a:pt x="3851160" y="722553"/>
                              </a:lnTo>
                              <a:lnTo>
                                <a:pt x="3866718" y="722884"/>
                              </a:lnTo>
                              <a:lnTo>
                                <a:pt x="3910165" y="742772"/>
                              </a:lnTo>
                              <a:lnTo>
                                <a:pt x="3944099" y="782459"/>
                              </a:lnTo>
                              <a:lnTo>
                                <a:pt x="3952824" y="812673"/>
                              </a:lnTo>
                              <a:lnTo>
                                <a:pt x="3952824" y="563016"/>
                              </a:lnTo>
                              <a:lnTo>
                                <a:pt x="3918877" y="546963"/>
                              </a:lnTo>
                              <a:lnTo>
                                <a:pt x="3879926" y="536829"/>
                              </a:lnTo>
                              <a:lnTo>
                                <a:pt x="3841800" y="536219"/>
                              </a:lnTo>
                              <a:lnTo>
                                <a:pt x="3804970" y="545515"/>
                              </a:lnTo>
                              <a:lnTo>
                                <a:pt x="3769461" y="564603"/>
                              </a:lnTo>
                              <a:lnTo>
                                <a:pt x="3735273" y="593344"/>
                              </a:lnTo>
                              <a:lnTo>
                                <a:pt x="3529660" y="798830"/>
                              </a:lnTo>
                              <a:lnTo>
                                <a:pt x="4082872" y="1352042"/>
                              </a:lnTo>
                              <a:lnTo>
                                <a:pt x="4207078" y="1227975"/>
                              </a:lnTo>
                              <a:close/>
                            </a:path>
                            <a:path w="4726305" h="4882515">
                              <a:moveTo>
                                <a:pt x="4726254" y="708660"/>
                              </a:moveTo>
                              <a:lnTo>
                                <a:pt x="4494479" y="477012"/>
                              </a:lnTo>
                              <a:lnTo>
                                <a:pt x="4460951" y="381711"/>
                              </a:lnTo>
                              <a:lnTo>
                                <a:pt x="4362132" y="95250"/>
                              </a:lnTo>
                              <a:lnTo>
                                <a:pt x="4328617" y="0"/>
                              </a:lnTo>
                              <a:lnTo>
                                <a:pt x="4191965" y="136652"/>
                              </a:lnTo>
                              <a:lnTo>
                                <a:pt x="4209783" y="181178"/>
                              </a:lnTo>
                              <a:lnTo>
                                <a:pt x="4262463" y="315112"/>
                              </a:lnTo>
                              <a:lnTo>
                                <a:pt x="4298010" y="404241"/>
                              </a:lnTo>
                              <a:lnTo>
                                <a:pt x="4253496" y="386359"/>
                              </a:lnTo>
                              <a:lnTo>
                                <a:pt x="4119676" y="333527"/>
                              </a:lnTo>
                              <a:lnTo>
                                <a:pt x="4030675" y="297942"/>
                              </a:lnTo>
                              <a:lnTo>
                                <a:pt x="3893388" y="435229"/>
                              </a:lnTo>
                              <a:lnTo>
                                <a:pt x="3988701" y="468693"/>
                              </a:lnTo>
                              <a:lnTo>
                                <a:pt x="4275328" y="567385"/>
                              </a:lnTo>
                              <a:lnTo>
                                <a:pt x="4370654" y="600837"/>
                              </a:lnTo>
                              <a:lnTo>
                                <a:pt x="4602429" y="832485"/>
                              </a:lnTo>
                              <a:lnTo>
                                <a:pt x="472625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36.154007pt;margin-top:104.019974pt;width:372.15pt;height:384.45pt;mso-position-horizontal-relative:page;mso-position-vertical-relative:paragraph;z-index:-25218560" id="docshape190" coordorigin="2723,2080" coordsize="7443,7689" path="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The results contained</w:t>
      </w:r>
      <w:r>
        <w:rPr>
          <w:spacing w:val="-1"/>
        </w:rPr>
        <w:t> </w:t>
      </w:r>
      <w:r>
        <w:rPr/>
        <w:t>in Table</w:t>
      </w:r>
      <w:r>
        <w:rPr>
          <w:spacing w:val="-1"/>
        </w:rPr>
        <w:t> </w:t>
      </w:r>
      <w:r>
        <w:rPr/>
        <w:t>3 above</w:t>
      </w:r>
      <w:r>
        <w:rPr>
          <w:spacing w:val="-1"/>
        </w:rPr>
        <w:t> </w:t>
      </w:r>
      <w:r>
        <w:rPr/>
        <w:t>showthat both</w:t>
      </w:r>
      <w:r>
        <w:rPr>
          <w:spacing w:val="-1"/>
        </w:rPr>
        <w:t> </w:t>
      </w:r>
      <w:r>
        <w:rPr/>
        <w:t>the trace test values and</w:t>
      </w:r>
      <w:r>
        <w:rPr>
          <w:spacing w:val="-1"/>
        </w:rPr>
        <w:t> </w:t>
      </w:r>
      <w:r>
        <w:rPr/>
        <w:t>the</w:t>
      </w:r>
      <w:r>
        <w:rPr>
          <w:spacing w:val="-1"/>
        </w:rPr>
        <w:t> </w:t>
      </w:r>
      <w:r>
        <w:rPr/>
        <w:t>Max-eigen </w:t>
      </w:r>
      <w:r>
        <w:rPr>
          <w:position w:val="2"/>
        </w:rPr>
        <w:t>values show 3co-integrating equations. Hence, the nullhypothesis (H</w:t>
      </w:r>
      <w:r>
        <w:rPr>
          <w:sz w:val="16"/>
        </w:rPr>
        <w:t>0</w:t>
      </w:r>
      <w:r>
        <w:rPr>
          <w:position w:val="2"/>
        </w:rPr>
        <w:t>) is rejected infavor of </w:t>
      </w:r>
      <w:r>
        <w:rPr/>
        <w:t>the alternativehypotheses. This implies that along-run equilibrium relationship exists among the variables. As a result, we conclude that there existsa long run relationship between financial integrationwith that of economicgrowth in Nigeria over thestudy period.</w:t>
      </w:r>
    </w:p>
    <w:p>
      <w:pPr>
        <w:pStyle w:val="Heading2"/>
        <w:numPr>
          <w:ilvl w:val="1"/>
          <w:numId w:val="24"/>
        </w:numPr>
        <w:tabs>
          <w:tab w:pos="593" w:val="left" w:leader="none"/>
        </w:tabs>
        <w:spacing w:line="240" w:lineRule="auto" w:before="160" w:after="0"/>
        <w:ind w:left="593" w:right="0" w:hanging="373"/>
        <w:jc w:val="left"/>
      </w:pPr>
      <w:bookmarkStart w:name="_TOC_250019" w:id="56"/>
      <w:r>
        <w:rPr/>
        <w:t>Presentation</w:t>
      </w:r>
      <w:r>
        <w:rPr>
          <w:spacing w:val="-10"/>
        </w:rPr>
        <w:t> </w:t>
      </w:r>
      <w:r>
        <w:rPr/>
        <w:t>and</w:t>
      </w:r>
      <w:r>
        <w:rPr>
          <w:spacing w:val="-10"/>
        </w:rPr>
        <w:t> </w:t>
      </w:r>
      <w:r>
        <w:rPr/>
        <w:t>Error</w:t>
      </w:r>
      <w:r>
        <w:rPr>
          <w:spacing w:val="-9"/>
        </w:rPr>
        <w:t> </w:t>
      </w:r>
      <w:r>
        <w:rPr/>
        <w:t>Correction</w:t>
      </w:r>
      <w:r>
        <w:rPr>
          <w:spacing w:val="-9"/>
        </w:rPr>
        <w:t> </w:t>
      </w:r>
      <w:r>
        <w:rPr/>
        <w:t>Model</w:t>
      </w:r>
      <w:r>
        <w:rPr>
          <w:spacing w:val="-8"/>
        </w:rPr>
        <w:t> </w:t>
      </w:r>
      <w:bookmarkEnd w:id="56"/>
      <w:r>
        <w:rPr>
          <w:spacing w:val="-2"/>
        </w:rPr>
        <w:t>(ECM)</w:t>
      </w:r>
    </w:p>
    <w:p>
      <w:pPr>
        <w:pStyle w:val="BodyText"/>
        <w:spacing w:before="74"/>
        <w:ind w:left="0"/>
        <w:rPr>
          <w:b/>
        </w:rPr>
      </w:pPr>
    </w:p>
    <w:p>
      <w:pPr>
        <w:pStyle w:val="BodyText"/>
      </w:pPr>
      <w:r>
        <w:rPr/>
        <w:t>This</w:t>
      </w:r>
      <w:r>
        <w:rPr>
          <w:spacing w:val="-5"/>
        </w:rPr>
        <w:t> </w:t>
      </w:r>
      <w:r>
        <w:rPr/>
        <w:t>section</w:t>
      </w:r>
      <w:r>
        <w:rPr>
          <w:spacing w:val="-7"/>
        </w:rPr>
        <w:t> </w:t>
      </w:r>
      <w:r>
        <w:rPr/>
        <w:t>accounted</w:t>
      </w:r>
      <w:r>
        <w:rPr>
          <w:spacing w:val="-7"/>
        </w:rPr>
        <w:t> </w:t>
      </w:r>
      <w:r>
        <w:rPr/>
        <w:t>for</w:t>
      </w:r>
      <w:r>
        <w:rPr>
          <w:spacing w:val="-5"/>
        </w:rPr>
        <w:t> </w:t>
      </w:r>
      <w:r>
        <w:rPr/>
        <w:t>ECM</w:t>
      </w:r>
      <w:r>
        <w:rPr>
          <w:spacing w:val="-6"/>
        </w:rPr>
        <w:t> </w:t>
      </w:r>
      <w:r>
        <w:rPr/>
        <w:t>estimates</w:t>
      </w:r>
      <w:r>
        <w:rPr>
          <w:spacing w:val="-6"/>
        </w:rPr>
        <w:t> </w:t>
      </w:r>
      <w:r>
        <w:rPr/>
        <w:t>and</w:t>
      </w:r>
      <w:r>
        <w:rPr>
          <w:spacing w:val="-7"/>
        </w:rPr>
        <w:t> </w:t>
      </w:r>
      <w:r>
        <w:rPr/>
        <w:t>the</w:t>
      </w:r>
      <w:r>
        <w:rPr>
          <w:spacing w:val="-7"/>
        </w:rPr>
        <w:t> </w:t>
      </w:r>
      <w:r>
        <w:rPr/>
        <w:t>result</w:t>
      </w:r>
      <w:r>
        <w:rPr>
          <w:spacing w:val="-6"/>
        </w:rPr>
        <w:t> </w:t>
      </w:r>
      <w:r>
        <w:rPr/>
        <w:t>is</w:t>
      </w:r>
      <w:r>
        <w:rPr>
          <w:spacing w:val="-5"/>
        </w:rPr>
        <w:t> </w:t>
      </w:r>
      <w:r>
        <w:rPr/>
        <w:t>briefly</w:t>
      </w:r>
      <w:r>
        <w:rPr>
          <w:spacing w:val="-7"/>
        </w:rPr>
        <w:t> </w:t>
      </w:r>
      <w:r>
        <w:rPr/>
        <w:t>discussed</w:t>
      </w:r>
      <w:r>
        <w:rPr>
          <w:spacing w:val="-7"/>
        </w:rPr>
        <w:t> </w:t>
      </w:r>
      <w:r>
        <w:rPr>
          <w:spacing w:val="-2"/>
        </w:rPr>
        <w:t>below:</w:t>
      </w:r>
    </w:p>
    <w:p>
      <w:pPr>
        <w:pStyle w:val="BodyText"/>
        <w:spacing w:before="159"/>
        <w:ind w:left="0"/>
      </w:pPr>
    </w:p>
    <w:p>
      <w:pPr>
        <w:pStyle w:val="Heading2"/>
        <w:ind w:left="220" w:firstLine="0"/>
      </w:pPr>
      <w:r>
        <w:rPr/>
        <w:t>Table</w:t>
      </w:r>
      <w:r>
        <w:rPr>
          <w:spacing w:val="-6"/>
        </w:rPr>
        <w:t> </w:t>
      </w:r>
      <w:r>
        <w:rPr/>
        <w:t>4</w:t>
      </w:r>
      <w:r>
        <w:rPr>
          <w:spacing w:val="-7"/>
        </w:rPr>
        <w:t> </w:t>
      </w:r>
      <w:r>
        <w:rPr/>
        <w:t>The</w:t>
      </w:r>
      <w:r>
        <w:rPr>
          <w:spacing w:val="-7"/>
        </w:rPr>
        <w:t> </w:t>
      </w:r>
      <w:r>
        <w:rPr/>
        <w:t>Error</w:t>
      </w:r>
      <w:r>
        <w:rPr>
          <w:spacing w:val="-7"/>
        </w:rPr>
        <w:t> </w:t>
      </w:r>
      <w:r>
        <w:rPr/>
        <w:t>Correction</w:t>
      </w:r>
      <w:r>
        <w:rPr>
          <w:spacing w:val="-6"/>
        </w:rPr>
        <w:t> </w:t>
      </w:r>
      <w:r>
        <w:rPr>
          <w:spacing w:val="-2"/>
        </w:rPr>
        <w:t>Model</w:t>
      </w:r>
    </w:p>
    <w:p>
      <w:pPr>
        <w:pStyle w:val="BodyText"/>
        <w:spacing w:before="11"/>
        <w:ind w:left="0"/>
        <w:rPr>
          <w:b/>
          <w:sz w:val="18"/>
        </w:rPr>
      </w:pPr>
    </w:p>
    <w:tbl>
      <w:tblPr>
        <w:tblW w:w="0" w:type="auto"/>
        <w:jc w:val="left"/>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1"/>
        <w:gridCol w:w="1491"/>
        <w:gridCol w:w="940"/>
        <w:gridCol w:w="884"/>
      </w:tblGrid>
      <w:tr>
        <w:trPr>
          <w:trHeight w:val="291" w:hRule="atLeast"/>
        </w:trPr>
        <w:tc>
          <w:tcPr>
            <w:tcW w:w="6531" w:type="dxa"/>
            <w:gridSpan w:val="5"/>
            <w:tcBorders>
              <w:bottom w:val="double" w:sz="6" w:space="0" w:color="000000"/>
            </w:tcBorders>
          </w:tcPr>
          <w:p>
            <w:pPr>
              <w:pStyle w:val="TableParagraph"/>
              <w:spacing w:line="201" w:lineRule="exact" w:before="0"/>
              <w:rPr>
                <w:sz w:val="18"/>
              </w:rPr>
            </w:pPr>
            <w:r>
              <w:rPr>
                <w:spacing w:val="-2"/>
                <w:sz w:val="18"/>
              </w:rPr>
              <w:t>Dependent</w:t>
            </w:r>
            <w:r>
              <w:rPr>
                <w:spacing w:val="4"/>
                <w:sz w:val="18"/>
              </w:rPr>
              <w:t> </w:t>
            </w:r>
            <w:r>
              <w:rPr>
                <w:spacing w:val="-2"/>
                <w:sz w:val="18"/>
              </w:rPr>
              <w:t>Variable:</w:t>
            </w:r>
            <w:r>
              <w:rPr>
                <w:spacing w:val="6"/>
                <w:sz w:val="18"/>
              </w:rPr>
              <w:t> </w:t>
            </w:r>
            <w:r>
              <w:rPr>
                <w:spacing w:val="-4"/>
                <w:sz w:val="18"/>
              </w:rPr>
              <w:t>LRGDP</w:t>
            </w:r>
          </w:p>
        </w:tc>
      </w:tr>
      <w:tr>
        <w:trPr>
          <w:trHeight w:val="403" w:hRule="atLeast"/>
        </w:trPr>
        <w:tc>
          <w:tcPr>
            <w:tcW w:w="1925"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291" w:type="dxa"/>
            <w:tcBorders>
              <w:top w:val="double" w:sz="6" w:space="0" w:color="000000"/>
              <w:bottom w:val="double" w:sz="6" w:space="0" w:color="000000"/>
            </w:tcBorders>
          </w:tcPr>
          <w:p>
            <w:pPr>
              <w:pStyle w:val="TableParagraph"/>
              <w:spacing w:line="240" w:lineRule="auto" w:before="108"/>
              <w:ind w:right="104"/>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8"/>
              <w:ind w:left="331"/>
              <w:rPr>
                <w:sz w:val="18"/>
              </w:rPr>
            </w:pPr>
            <w:r>
              <w:rPr>
                <w:sz w:val="18"/>
              </w:rPr>
              <w:t>Std.</w:t>
            </w:r>
            <w:r>
              <w:rPr>
                <w:spacing w:val="-2"/>
                <w:sz w:val="18"/>
              </w:rPr>
              <w:t> Error</w:t>
            </w:r>
          </w:p>
        </w:tc>
        <w:tc>
          <w:tcPr>
            <w:tcW w:w="940" w:type="dxa"/>
            <w:tcBorders>
              <w:top w:val="double" w:sz="6" w:space="0" w:color="000000"/>
              <w:bottom w:val="double" w:sz="6" w:space="0" w:color="000000"/>
            </w:tcBorders>
          </w:tcPr>
          <w:p>
            <w:pPr>
              <w:pStyle w:val="TableParagraph"/>
              <w:spacing w:line="240" w:lineRule="auto" w:before="108"/>
              <w:ind w:right="121"/>
              <w:jc w:val="right"/>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8"/>
              <w:ind w:left="344"/>
              <w:rPr>
                <w:sz w:val="18"/>
              </w:rPr>
            </w:pPr>
            <w:r>
              <w:rPr>
                <w:spacing w:val="-2"/>
                <w:sz w:val="18"/>
              </w:rPr>
              <w:t>Prob.</w:t>
            </w:r>
          </w:p>
        </w:tc>
      </w:tr>
      <w:tr>
        <w:trPr>
          <w:trHeight w:val="327" w:hRule="atLeast"/>
        </w:trPr>
        <w:tc>
          <w:tcPr>
            <w:tcW w:w="1925" w:type="dxa"/>
            <w:tcBorders>
              <w:top w:val="double" w:sz="6" w:space="0" w:color="000000"/>
            </w:tcBorders>
          </w:tcPr>
          <w:p>
            <w:pPr>
              <w:pStyle w:val="TableParagraph"/>
              <w:spacing w:before="108"/>
              <w:rPr>
                <w:sz w:val="18"/>
              </w:rPr>
            </w:pPr>
            <w:r>
              <w:rPr>
                <w:spacing w:val="-2"/>
                <w:sz w:val="18"/>
              </w:rPr>
              <w:t>ECM(-</w:t>
            </w:r>
            <w:r>
              <w:rPr>
                <w:spacing w:val="-5"/>
                <w:sz w:val="18"/>
              </w:rPr>
              <w:t>1)</w:t>
            </w:r>
          </w:p>
        </w:tc>
        <w:tc>
          <w:tcPr>
            <w:tcW w:w="1291" w:type="dxa"/>
            <w:tcBorders>
              <w:top w:val="double" w:sz="6" w:space="0" w:color="000000"/>
            </w:tcBorders>
          </w:tcPr>
          <w:p>
            <w:pPr>
              <w:pStyle w:val="TableParagraph"/>
              <w:spacing w:before="108"/>
              <w:ind w:right="104"/>
              <w:jc w:val="right"/>
              <w:rPr>
                <w:sz w:val="18"/>
              </w:rPr>
            </w:pPr>
            <w:r>
              <w:rPr>
                <w:spacing w:val="-2"/>
                <w:sz w:val="18"/>
              </w:rPr>
              <w:t>-0.468294</w:t>
            </w:r>
          </w:p>
        </w:tc>
        <w:tc>
          <w:tcPr>
            <w:tcW w:w="1491" w:type="dxa"/>
            <w:tcBorders>
              <w:top w:val="double" w:sz="6" w:space="0" w:color="000000"/>
            </w:tcBorders>
          </w:tcPr>
          <w:p>
            <w:pPr>
              <w:pStyle w:val="TableParagraph"/>
              <w:spacing w:before="108"/>
              <w:ind w:left="350"/>
              <w:rPr>
                <w:sz w:val="18"/>
              </w:rPr>
            </w:pPr>
            <w:r>
              <w:rPr>
                <w:spacing w:val="-2"/>
                <w:sz w:val="18"/>
              </w:rPr>
              <w:t>0.232636</w:t>
            </w:r>
          </w:p>
        </w:tc>
        <w:tc>
          <w:tcPr>
            <w:tcW w:w="940" w:type="dxa"/>
            <w:tcBorders>
              <w:top w:val="double" w:sz="6" w:space="0" w:color="000000"/>
            </w:tcBorders>
          </w:tcPr>
          <w:p>
            <w:pPr>
              <w:pStyle w:val="TableParagraph"/>
              <w:spacing w:before="108"/>
              <w:ind w:right="121"/>
              <w:jc w:val="right"/>
              <w:rPr>
                <w:sz w:val="18"/>
              </w:rPr>
            </w:pPr>
            <w:r>
              <w:rPr>
                <w:spacing w:val="-2"/>
                <w:sz w:val="18"/>
              </w:rPr>
              <w:t>-2.012994</w:t>
            </w:r>
          </w:p>
        </w:tc>
        <w:tc>
          <w:tcPr>
            <w:tcW w:w="884" w:type="dxa"/>
            <w:tcBorders>
              <w:top w:val="double" w:sz="6" w:space="0" w:color="000000"/>
            </w:tcBorders>
          </w:tcPr>
          <w:p>
            <w:pPr>
              <w:pStyle w:val="TableParagraph"/>
              <w:spacing w:before="108"/>
              <w:ind w:right="7"/>
              <w:jc w:val="right"/>
              <w:rPr>
                <w:sz w:val="18"/>
              </w:rPr>
            </w:pPr>
            <w:r>
              <w:rPr>
                <w:spacing w:val="-2"/>
                <w:sz w:val="18"/>
              </w:rPr>
              <w:t>0.0455</w:t>
            </w:r>
          </w:p>
        </w:tc>
      </w:tr>
      <w:tr>
        <w:trPr>
          <w:trHeight w:val="225" w:hRule="atLeast"/>
        </w:trPr>
        <w:tc>
          <w:tcPr>
            <w:tcW w:w="1925" w:type="dxa"/>
          </w:tcPr>
          <w:p>
            <w:pPr>
              <w:pStyle w:val="TableParagraph"/>
              <w:rPr>
                <w:sz w:val="18"/>
              </w:rPr>
            </w:pPr>
            <w:r>
              <w:rPr>
                <w:spacing w:val="-4"/>
                <w:sz w:val="18"/>
              </w:rPr>
              <w:t>LFDI</w:t>
            </w:r>
          </w:p>
        </w:tc>
        <w:tc>
          <w:tcPr>
            <w:tcW w:w="1291" w:type="dxa"/>
          </w:tcPr>
          <w:p>
            <w:pPr>
              <w:pStyle w:val="TableParagraph"/>
              <w:ind w:right="104"/>
              <w:jc w:val="right"/>
              <w:rPr>
                <w:sz w:val="18"/>
              </w:rPr>
            </w:pPr>
            <w:r>
              <w:rPr>
                <w:spacing w:val="-2"/>
                <w:sz w:val="18"/>
              </w:rPr>
              <w:t>3.528826</w:t>
            </w:r>
          </w:p>
        </w:tc>
        <w:tc>
          <w:tcPr>
            <w:tcW w:w="1491" w:type="dxa"/>
          </w:tcPr>
          <w:p>
            <w:pPr>
              <w:pStyle w:val="TableParagraph"/>
              <w:ind w:left="350"/>
              <w:rPr>
                <w:sz w:val="18"/>
              </w:rPr>
            </w:pPr>
            <w:r>
              <w:rPr>
                <w:spacing w:val="-2"/>
                <w:sz w:val="18"/>
              </w:rPr>
              <w:t>1.170760</w:t>
            </w:r>
          </w:p>
        </w:tc>
        <w:tc>
          <w:tcPr>
            <w:tcW w:w="940" w:type="dxa"/>
          </w:tcPr>
          <w:p>
            <w:pPr>
              <w:pStyle w:val="TableParagraph"/>
              <w:ind w:right="121"/>
              <w:jc w:val="right"/>
              <w:rPr>
                <w:sz w:val="18"/>
              </w:rPr>
            </w:pPr>
            <w:r>
              <w:rPr>
                <w:spacing w:val="-2"/>
                <w:sz w:val="18"/>
              </w:rPr>
              <w:t>3.014132</w:t>
            </w:r>
          </w:p>
        </w:tc>
        <w:tc>
          <w:tcPr>
            <w:tcW w:w="884" w:type="dxa"/>
          </w:tcPr>
          <w:p>
            <w:pPr>
              <w:pStyle w:val="TableParagraph"/>
              <w:ind w:right="6"/>
              <w:jc w:val="right"/>
              <w:rPr>
                <w:sz w:val="18"/>
              </w:rPr>
            </w:pPr>
            <w:r>
              <w:rPr>
                <w:spacing w:val="-2"/>
                <w:sz w:val="18"/>
              </w:rPr>
              <w:t>0.0057</w:t>
            </w:r>
          </w:p>
        </w:tc>
      </w:tr>
      <w:tr>
        <w:trPr>
          <w:trHeight w:val="224" w:hRule="atLeast"/>
        </w:trPr>
        <w:tc>
          <w:tcPr>
            <w:tcW w:w="1925" w:type="dxa"/>
          </w:tcPr>
          <w:p>
            <w:pPr>
              <w:pStyle w:val="TableParagraph"/>
              <w:spacing w:line="198" w:lineRule="exact"/>
              <w:rPr>
                <w:sz w:val="18"/>
              </w:rPr>
            </w:pPr>
            <w:r>
              <w:rPr>
                <w:spacing w:val="-4"/>
                <w:sz w:val="18"/>
              </w:rPr>
              <w:t>LFPI</w:t>
            </w:r>
          </w:p>
        </w:tc>
        <w:tc>
          <w:tcPr>
            <w:tcW w:w="1291" w:type="dxa"/>
          </w:tcPr>
          <w:p>
            <w:pPr>
              <w:pStyle w:val="TableParagraph"/>
              <w:spacing w:line="198" w:lineRule="exact"/>
              <w:ind w:right="104"/>
              <w:jc w:val="right"/>
              <w:rPr>
                <w:sz w:val="18"/>
              </w:rPr>
            </w:pPr>
            <w:r>
              <w:rPr>
                <w:spacing w:val="-2"/>
                <w:sz w:val="18"/>
              </w:rPr>
              <w:t>194.0636</w:t>
            </w:r>
          </w:p>
        </w:tc>
        <w:tc>
          <w:tcPr>
            <w:tcW w:w="1491" w:type="dxa"/>
          </w:tcPr>
          <w:p>
            <w:pPr>
              <w:pStyle w:val="TableParagraph"/>
              <w:spacing w:line="198" w:lineRule="exact"/>
              <w:ind w:left="350"/>
              <w:rPr>
                <w:sz w:val="18"/>
              </w:rPr>
            </w:pPr>
            <w:r>
              <w:rPr>
                <w:spacing w:val="-2"/>
                <w:sz w:val="18"/>
              </w:rPr>
              <w:t>29.52935</w:t>
            </w:r>
          </w:p>
        </w:tc>
        <w:tc>
          <w:tcPr>
            <w:tcW w:w="940" w:type="dxa"/>
          </w:tcPr>
          <w:p>
            <w:pPr>
              <w:pStyle w:val="TableParagraph"/>
              <w:spacing w:line="198" w:lineRule="exact"/>
              <w:ind w:right="121"/>
              <w:jc w:val="right"/>
              <w:rPr>
                <w:sz w:val="18"/>
              </w:rPr>
            </w:pPr>
            <w:r>
              <w:rPr>
                <w:spacing w:val="-2"/>
                <w:sz w:val="18"/>
              </w:rPr>
              <w:t>6.571888</w:t>
            </w:r>
          </w:p>
        </w:tc>
        <w:tc>
          <w:tcPr>
            <w:tcW w:w="884" w:type="dxa"/>
          </w:tcPr>
          <w:p>
            <w:pPr>
              <w:pStyle w:val="TableParagraph"/>
              <w:spacing w:line="198" w:lineRule="exact"/>
              <w:ind w:right="6"/>
              <w:jc w:val="right"/>
              <w:rPr>
                <w:sz w:val="18"/>
              </w:rPr>
            </w:pPr>
            <w:r>
              <w:rPr>
                <w:spacing w:val="-2"/>
                <w:sz w:val="18"/>
              </w:rPr>
              <w:t>0.0000</w:t>
            </w:r>
          </w:p>
        </w:tc>
      </w:tr>
      <w:tr>
        <w:trPr>
          <w:trHeight w:val="224" w:hRule="atLeast"/>
        </w:trPr>
        <w:tc>
          <w:tcPr>
            <w:tcW w:w="1925" w:type="dxa"/>
          </w:tcPr>
          <w:p>
            <w:pPr>
              <w:pStyle w:val="TableParagraph"/>
              <w:spacing w:before="5"/>
              <w:rPr>
                <w:sz w:val="18"/>
              </w:rPr>
            </w:pPr>
            <w:r>
              <w:rPr>
                <w:spacing w:val="-5"/>
                <w:sz w:val="18"/>
              </w:rPr>
              <w:t>REM</w:t>
            </w:r>
          </w:p>
        </w:tc>
        <w:tc>
          <w:tcPr>
            <w:tcW w:w="1291" w:type="dxa"/>
          </w:tcPr>
          <w:p>
            <w:pPr>
              <w:pStyle w:val="TableParagraph"/>
              <w:spacing w:before="5"/>
              <w:ind w:right="104"/>
              <w:jc w:val="right"/>
              <w:rPr>
                <w:sz w:val="18"/>
              </w:rPr>
            </w:pPr>
            <w:r>
              <w:rPr>
                <w:spacing w:val="-2"/>
                <w:sz w:val="18"/>
              </w:rPr>
              <w:t>-3.618610</w:t>
            </w:r>
          </w:p>
        </w:tc>
        <w:tc>
          <w:tcPr>
            <w:tcW w:w="1491" w:type="dxa"/>
          </w:tcPr>
          <w:p>
            <w:pPr>
              <w:pStyle w:val="TableParagraph"/>
              <w:spacing w:before="5"/>
              <w:ind w:left="350"/>
              <w:rPr>
                <w:sz w:val="18"/>
              </w:rPr>
            </w:pPr>
            <w:r>
              <w:rPr>
                <w:spacing w:val="-2"/>
                <w:sz w:val="18"/>
              </w:rPr>
              <w:t>2.683385</w:t>
            </w:r>
          </w:p>
        </w:tc>
        <w:tc>
          <w:tcPr>
            <w:tcW w:w="940" w:type="dxa"/>
          </w:tcPr>
          <w:p>
            <w:pPr>
              <w:pStyle w:val="TableParagraph"/>
              <w:spacing w:before="5"/>
              <w:ind w:right="121"/>
              <w:jc w:val="right"/>
              <w:rPr>
                <w:sz w:val="18"/>
              </w:rPr>
            </w:pPr>
            <w:r>
              <w:rPr>
                <w:spacing w:val="-2"/>
                <w:sz w:val="18"/>
              </w:rPr>
              <w:t>-1.348524</w:t>
            </w:r>
          </w:p>
        </w:tc>
        <w:tc>
          <w:tcPr>
            <w:tcW w:w="884" w:type="dxa"/>
          </w:tcPr>
          <w:p>
            <w:pPr>
              <w:pStyle w:val="TableParagraph"/>
              <w:spacing w:before="5"/>
              <w:ind w:right="6"/>
              <w:jc w:val="right"/>
              <w:rPr>
                <w:sz w:val="18"/>
              </w:rPr>
            </w:pPr>
            <w:r>
              <w:rPr>
                <w:spacing w:val="-2"/>
                <w:sz w:val="18"/>
              </w:rPr>
              <w:t>0.1891</w:t>
            </w:r>
          </w:p>
        </w:tc>
      </w:tr>
      <w:tr>
        <w:trPr>
          <w:trHeight w:val="225" w:hRule="atLeast"/>
        </w:trPr>
        <w:tc>
          <w:tcPr>
            <w:tcW w:w="1925" w:type="dxa"/>
          </w:tcPr>
          <w:p>
            <w:pPr>
              <w:pStyle w:val="TableParagraph"/>
              <w:rPr>
                <w:sz w:val="18"/>
              </w:rPr>
            </w:pPr>
            <w:r>
              <w:rPr>
                <w:spacing w:val="-4"/>
                <w:sz w:val="18"/>
              </w:rPr>
              <w:t>LODA</w:t>
            </w:r>
          </w:p>
        </w:tc>
        <w:tc>
          <w:tcPr>
            <w:tcW w:w="1291" w:type="dxa"/>
          </w:tcPr>
          <w:p>
            <w:pPr>
              <w:pStyle w:val="TableParagraph"/>
              <w:ind w:right="104"/>
              <w:jc w:val="right"/>
              <w:rPr>
                <w:sz w:val="18"/>
              </w:rPr>
            </w:pPr>
            <w:r>
              <w:rPr>
                <w:spacing w:val="-2"/>
                <w:sz w:val="18"/>
              </w:rPr>
              <w:t>0.984469</w:t>
            </w:r>
          </w:p>
        </w:tc>
        <w:tc>
          <w:tcPr>
            <w:tcW w:w="1491" w:type="dxa"/>
          </w:tcPr>
          <w:p>
            <w:pPr>
              <w:pStyle w:val="TableParagraph"/>
              <w:ind w:left="350"/>
              <w:rPr>
                <w:sz w:val="18"/>
              </w:rPr>
            </w:pPr>
            <w:r>
              <w:rPr>
                <w:spacing w:val="-2"/>
                <w:sz w:val="18"/>
              </w:rPr>
              <w:t>0.193491</w:t>
            </w:r>
          </w:p>
        </w:tc>
        <w:tc>
          <w:tcPr>
            <w:tcW w:w="940" w:type="dxa"/>
          </w:tcPr>
          <w:p>
            <w:pPr>
              <w:pStyle w:val="TableParagraph"/>
              <w:ind w:right="121"/>
              <w:jc w:val="right"/>
              <w:rPr>
                <w:sz w:val="18"/>
              </w:rPr>
            </w:pPr>
            <w:r>
              <w:rPr>
                <w:spacing w:val="-2"/>
                <w:sz w:val="18"/>
              </w:rPr>
              <w:t>5.087938</w:t>
            </w:r>
          </w:p>
        </w:tc>
        <w:tc>
          <w:tcPr>
            <w:tcW w:w="884" w:type="dxa"/>
          </w:tcPr>
          <w:p>
            <w:pPr>
              <w:pStyle w:val="TableParagraph"/>
              <w:ind w:right="6"/>
              <w:jc w:val="right"/>
              <w:rPr>
                <w:sz w:val="18"/>
              </w:rPr>
            </w:pPr>
            <w:r>
              <w:rPr>
                <w:spacing w:val="-2"/>
                <w:sz w:val="18"/>
              </w:rPr>
              <w:t>0.0000</w:t>
            </w:r>
          </w:p>
        </w:tc>
      </w:tr>
      <w:tr>
        <w:trPr>
          <w:trHeight w:val="225" w:hRule="atLeast"/>
        </w:trPr>
        <w:tc>
          <w:tcPr>
            <w:tcW w:w="1925" w:type="dxa"/>
          </w:tcPr>
          <w:p>
            <w:pPr>
              <w:pStyle w:val="TableParagraph"/>
              <w:rPr>
                <w:sz w:val="18"/>
              </w:rPr>
            </w:pPr>
            <w:r>
              <w:rPr>
                <w:spacing w:val="-4"/>
                <w:sz w:val="18"/>
              </w:rPr>
              <w:t>LTOP</w:t>
            </w:r>
          </w:p>
        </w:tc>
        <w:tc>
          <w:tcPr>
            <w:tcW w:w="1291" w:type="dxa"/>
          </w:tcPr>
          <w:p>
            <w:pPr>
              <w:pStyle w:val="TableParagraph"/>
              <w:ind w:right="104"/>
              <w:jc w:val="right"/>
              <w:rPr>
                <w:sz w:val="18"/>
              </w:rPr>
            </w:pPr>
            <w:r>
              <w:rPr>
                <w:spacing w:val="-2"/>
                <w:sz w:val="18"/>
              </w:rPr>
              <w:t>140.6051</w:t>
            </w:r>
          </w:p>
        </w:tc>
        <w:tc>
          <w:tcPr>
            <w:tcW w:w="1491" w:type="dxa"/>
          </w:tcPr>
          <w:p>
            <w:pPr>
              <w:pStyle w:val="TableParagraph"/>
              <w:ind w:left="350"/>
              <w:rPr>
                <w:sz w:val="18"/>
              </w:rPr>
            </w:pPr>
            <w:r>
              <w:rPr>
                <w:spacing w:val="-2"/>
                <w:sz w:val="18"/>
              </w:rPr>
              <w:t>50.61836</w:t>
            </w:r>
          </w:p>
        </w:tc>
        <w:tc>
          <w:tcPr>
            <w:tcW w:w="940" w:type="dxa"/>
          </w:tcPr>
          <w:p>
            <w:pPr>
              <w:pStyle w:val="TableParagraph"/>
              <w:ind w:right="121"/>
              <w:jc w:val="right"/>
              <w:rPr>
                <w:sz w:val="18"/>
              </w:rPr>
            </w:pPr>
            <w:r>
              <w:rPr>
                <w:spacing w:val="-2"/>
                <w:sz w:val="18"/>
              </w:rPr>
              <w:t>2.777748</w:t>
            </w:r>
          </w:p>
        </w:tc>
        <w:tc>
          <w:tcPr>
            <w:tcW w:w="884" w:type="dxa"/>
          </w:tcPr>
          <w:p>
            <w:pPr>
              <w:pStyle w:val="TableParagraph"/>
              <w:ind w:right="6"/>
              <w:jc w:val="right"/>
              <w:rPr>
                <w:sz w:val="18"/>
              </w:rPr>
            </w:pPr>
            <w:r>
              <w:rPr>
                <w:spacing w:val="-2"/>
                <w:sz w:val="18"/>
              </w:rPr>
              <w:t>0.0100</w:t>
            </w:r>
          </w:p>
        </w:tc>
      </w:tr>
      <w:tr>
        <w:trPr>
          <w:trHeight w:val="224" w:hRule="atLeast"/>
        </w:trPr>
        <w:tc>
          <w:tcPr>
            <w:tcW w:w="1925" w:type="dxa"/>
          </w:tcPr>
          <w:p>
            <w:pPr>
              <w:pStyle w:val="TableParagraph"/>
              <w:spacing w:line="198" w:lineRule="exact"/>
              <w:rPr>
                <w:sz w:val="18"/>
              </w:rPr>
            </w:pPr>
            <w:r>
              <w:rPr>
                <w:spacing w:val="-4"/>
                <w:sz w:val="18"/>
              </w:rPr>
              <w:t>LINT</w:t>
            </w:r>
          </w:p>
        </w:tc>
        <w:tc>
          <w:tcPr>
            <w:tcW w:w="1291" w:type="dxa"/>
          </w:tcPr>
          <w:p>
            <w:pPr>
              <w:pStyle w:val="TableParagraph"/>
              <w:spacing w:line="198" w:lineRule="exact"/>
              <w:ind w:right="104"/>
              <w:jc w:val="right"/>
              <w:rPr>
                <w:sz w:val="18"/>
              </w:rPr>
            </w:pPr>
            <w:r>
              <w:rPr>
                <w:spacing w:val="-2"/>
                <w:sz w:val="18"/>
              </w:rPr>
              <w:t>122.0478</w:t>
            </w:r>
          </w:p>
        </w:tc>
        <w:tc>
          <w:tcPr>
            <w:tcW w:w="1491" w:type="dxa"/>
          </w:tcPr>
          <w:p>
            <w:pPr>
              <w:pStyle w:val="TableParagraph"/>
              <w:spacing w:line="198" w:lineRule="exact"/>
              <w:ind w:left="350"/>
              <w:rPr>
                <w:sz w:val="18"/>
              </w:rPr>
            </w:pPr>
            <w:r>
              <w:rPr>
                <w:spacing w:val="-2"/>
                <w:sz w:val="18"/>
              </w:rPr>
              <w:t>120.9420</w:t>
            </w:r>
          </w:p>
        </w:tc>
        <w:tc>
          <w:tcPr>
            <w:tcW w:w="940" w:type="dxa"/>
          </w:tcPr>
          <w:p>
            <w:pPr>
              <w:pStyle w:val="TableParagraph"/>
              <w:spacing w:line="198" w:lineRule="exact"/>
              <w:ind w:right="121"/>
              <w:jc w:val="right"/>
              <w:rPr>
                <w:sz w:val="18"/>
              </w:rPr>
            </w:pPr>
            <w:r>
              <w:rPr>
                <w:spacing w:val="-2"/>
                <w:sz w:val="18"/>
              </w:rPr>
              <w:t>1.009144</w:t>
            </w:r>
          </w:p>
        </w:tc>
        <w:tc>
          <w:tcPr>
            <w:tcW w:w="884" w:type="dxa"/>
          </w:tcPr>
          <w:p>
            <w:pPr>
              <w:pStyle w:val="TableParagraph"/>
              <w:spacing w:line="198" w:lineRule="exact"/>
              <w:ind w:right="6"/>
              <w:jc w:val="right"/>
              <w:rPr>
                <w:sz w:val="18"/>
              </w:rPr>
            </w:pPr>
            <w:r>
              <w:rPr>
                <w:spacing w:val="-2"/>
                <w:sz w:val="18"/>
              </w:rPr>
              <w:t>0.3222</w:t>
            </w:r>
          </w:p>
        </w:tc>
      </w:tr>
      <w:tr>
        <w:trPr>
          <w:trHeight w:val="224" w:hRule="atLeast"/>
        </w:trPr>
        <w:tc>
          <w:tcPr>
            <w:tcW w:w="1925" w:type="dxa"/>
          </w:tcPr>
          <w:p>
            <w:pPr>
              <w:pStyle w:val="TableParagraph"/>
              <w:spacing w:before="5"/>
              <w:rPr>
                <w:sz w:val="18"/>
              </w:rPr>
            </w:pPr>
            <w:r>
              <w:rPr>
                <w:spacing w:val="-2"/>
                <w:sz w:val="18"/>
              </w:rPr>
              <w:t>LEXCH</w:t>
            </w:r>
          </w:p>
        </w:tc>
        <w:tc>
          <w:tcPr>
            <w:tcW w:w="1291" w:type="dxa"/>
          </w:tcPr>
          <w:p>
            <w:pPr>
              <w:pStyle w:val="TableParagraph"/>
              <w:spacing w:before="5"/>
              <w:ind w:right="104"/>
              <w:jc w:val="right"/>
              <w:rPr>
                <w:sz w:val="18"/>
              </w:rPr>
            </w:pPr>
            <w:r>
              <w:rPr>
                <w:spacing w:val="-2"/>
                <w:sz w:val="18"/>
              </w:rPr>
              <w:t>-53.27011</w:t>
            </w:r>
          </w:p>
        </w:tc>
        <w:tc>
          <w:tcPr>
            <w:tcW w:w="1491" w:type="dxa"/>
          </w:tcPr>
          <w:p>
            <w:pPr>
              <w:pStyle w:val="TableParagraph"/>
              <w:spacing w:before="5"/>
              <w:ind w:left="350"/>
              <w:rPr>
                <w:sz w:val="18"/>
              </w:rPr>
            </w:pPr>
            <w:r>
              <w:rPr>
                <w:spacing w:val="-2"/>
                <w:sz w:val="18"/>
              </w:rPr>
              <w:t>25.85094</w:t>
            </w:r>
          </w:p>
        </w:tc>
        <w:tc>
          <w:tcPr>
            <w:tcW w:w="940" w:type="dxa"/>
          </w:tcPr>
          <w:p>
            <w:pPr>
              <w:pStyle w:val="TableParagraph"/>
              <w:spacing w:before="5"/>
              <w:ind w:right="121"/>
              <w:jc w:val="right"/>
              <w:rPr>
                <w:sz w:val="18"/>
              </w:rPr>
            </w:pPr>
            <w:r>
              <w:rPr>
                <w:spacing w:val="-2"/>
                <w:sz w:val="18"/>
              </w:rPr>
              <w:t>-2.060664</w:t>
            </w:r>
          </w:p>
        </w:tc>
        <w:tc>
          <w:tcPr>
            <w:tcW w:w="884" w:type="dxa"/>
          </w:tcPr>
          <w:p>
            <w:pPr>
              <w:pStyle w:val="TableParagraph"/>
              <w:spacing w:before="5"/>
              <w:ind w:right="6"/>
              <w:jc w:val="right"/>
              <w:rPr>
                <w:sz w:val="18"/>
              </w:rPr>
            </w:pPr>
            <w:r>
              <w:rPr>
                <w:spacing w:val="-2"/>
                <w:sz w:val="18"/>
              </w:rPr>
              <w:t>0.0495</w:t>
            </w:r>
          </w:p>
        </w:tc>
      </w:tr>
      <w:tr>
        <w:trPr>
          <w:trHeight w:val="216" w:hRule="atLeast"/>
        </w:trPr>
        <w:tc>
          <w:tcPr>
            <w:tcW w:w="1925" w:type="dxa"/>
          </w:tcPr>
          <w:p>
            <w:pPr>
              <w:pStyle w:val="TableParagraph"/>
              <w:spacing w:line="190" w:lineRule="exact"/>
              <w:rPr>
                <w:sz w:val="18"/>
              </w:rPr>
            </w:pPr>
            <w:r>
              <w:rPr>
                <w:spacing w:val="-2"/>
                <w:sz w:val="18"/>
              </w:rPr>
              <w:t>LCPS_GDP</w:t>
            </w:r>
          </w:p>
        </w:tc>
        <w:tc>
          <w:tcPr>
            <w:tcW w:w="1291" w:type="dxa"/>
          </w:tcPr>
          <w:p>
            <w:pPr>
              <w:pStyle w:val="TableParagraph"/>
              <w:spacing w:line="190" w:lineRule="exact"/>
              <w:ind w:right="104"/>
              <w:jc w:val="right"/>
              <w:rPr>
                <w:sz w:val="18"/>
              </w:rPr>
            </w:pPr>
            <w:r>
              <w:rPr>
                <w:spacing w:val="-2"/>
                <w:sz w:val="18"/>
              </w:rPr>
              <w:t>547.9377</w:t>
            </w:r>
          </w:p>
        </w:tc>
        <w:tc>
          <w:tcPr>
            <w:tcW w:w="1491" w:type="dxa"/>
          </w:tcPr>
          <w:p>
            <w:pPr>
              <w:pStyle w:val="TableParagraph"/>
              <w:spacing w:line="190" w:lineRule="exact"/>
              <w:ind w:left="350"/>
              <w:rPr>
                <w:sz w:val="18"/>
              </w:rPr>
            </w:pPr>
            <w:r>
              <w:rPr>
                <w:spacing w:val="-2"/>
                <w:sz w:val="18"/>
              </w:rPr>
              <w:t>209.5871</w:t>
            </w:r>
          </w:p>
        </w:tc>
        <w:tc>
          <w:tcPr>
            <w:tcW w:w="940" w:type="dxa"/>
          </w:tcPr>
          <w:p>
            <w:pPr>
              <w:pStyle w:val="TableParagraph"/>
              <w:spacing w:line="190" w:lineRule="exact"/>
              <w:ind w:right="121"/>
              <w:jc w:val="right"/>
              <w:rPr>
                <w:sz w:val="18"/>
              </w:rPr>
            </w:pPr>
            <w:r>
              <w:rPr>
                <w:spacing w:val="-2"/>
                <w:sz w:val="18"/>
              </w:rPr>
              <w:t>2.614367</w:t>
            </w:r>
          </w:p>
        </w:tc>
        <w:tc>
          <w:tcPr>
            <w:tcW w:w="884" w:type="dxa"/>
          </w:tcPr>
          <w:p>
            <w:pPr>
              <w:pStyle w:val="TableParagraph"/>
              <w:spacing w:line="190" w:lineRule="exact"/>
              <w:ind w:right="6"/>
              <w:jc w:val="right"/>
              <w:rPr>
                <w:sz w:val="18"/>
              </w:rPr>
            </w:pPr>
            <w:r>
              <w:rPr>
                <w:spacing w:val="-2"/>
                <w:sz w:val="18"/>
              </w:rPr>
              <w:t>0.0147</w:t>
            </w:r>
          </w:p>
        </w:tc>
      </w:tr>
      <w:tr>
        <w:trPr>
          <w:trHeight w:val="294" w:hRule="atLeast"/>
        </w:trPr>
        <w:tc>
          <w:tcPr>
            <w:tcW w:w="1925" w:type="dxa"/>
            <w:tcBorders>
              <w:bottom w:val="double" w:sz="6" w:space="0" w:color="000000"/>
            </w:tcBorders>
          </w:tcPr>
          <w:p>
            <w:pPr>
              <w:pStyle w:val="TableParagraph"/>
              <w:spacing w:line="204" w:lineRule="exact" w:before="0"/>
              <w:rPr>
                <w:sz w:val="18"/>
              </w:rPr>
            </w:pPr>
            <w:r>
              <w:rPr>
                <w:spacing w:val="-10"/>
                <w:sz w:val="18"/>
              </w:rPr>
              <w:t>C</w:t>
            </w:r>
          </w:p>
        </w:tc>
        <w:tc>
          <w:tcPr>
            <w:tcW w:w="1291" w:type="dxa"/>
            <w:tcBorders>
              <w:bottom w:val="double" w:sz="6" w:space="0" w:color="000000"/>
            </w:tcBorders>
          </w:tcPr>
          <w:p>
            <w:pPr>
              <w:pStyle w:val="TableParagraph"/>
              <w:spacing w:line="204" w:lineRule="exact" w:before="0"/>
              <w:ind w:right="104"/>
              <w:jc w:val="right"/>
              <w:rPr>
                <w:sz w:val="18"/>
              </w:rPr>
            </w:pPr>
            <w:r>
              <w:rPr>
                <w:spacing w:val="-2"/>
                <w:sz w:val="18"/>
              </w:rPr>
              <w:t>1066.001</w:t>
            </w:r>
          </w:p>
        </w:tc>
        <w:tc>
          <w:tcPr>
            <w:tcW w:w="1491" w:type="dxa"/>
            <w:tcBorders>
              <w:bottom w:val="double" w:sz="6" w:space="0" w:color="000000"/>
            </w:tcBorders>
          </w:tcPr>
          <w:p>
            <w:pPr>
              <w:pStyle w:val="TableParagraph"/>
              <w:spacing w:line="204" w:lineRule="exact" w:before="0"/>
              <w:ind w:left="350"/>
              <w:rPr>
                <w:sz w:val="18"/>
              </w:rPr>
            </w:pPr>
            <w:r>
              <w:rPr>
                <w:spacing w:val="-2"/>
                <w:sz w:val="18"/>
              </w:rPr>
              <w:t>4946.074</w:t>
            </w:r>
          </w:p>
        </w:tc>
        <w:tc>
          <w:tcPr>
            <w:tcW w:w="940" w:type="dxa"/>
            <w:tcBorders>
              <w:bottom w:val="double" w:sz="6" w:space="0" w:color="000000"/>
            </w:tcBorders>
          </w:tcPr>
          <w:p>
            <w:pPr>
              <w:pStyle w:val="TableParagraph"/>
              <w:spacing w:line="204" w:lineRule="exact" w:before="0"/>
              <w:ind w:right="121"/>
              <w:jc w:val="right"/>
              <w:rPr>
                <w:sz w:val="18"/>
              </w:rPr>
            </w:pPr>
            <w:r>
              <w:rPr>
                <w:spacing w:val="-2"/>
                <w:sz w:val="18"/>
              </w:rPr>
              <w:t>0.215525</w:t>
            </w:r>
          </w:p>
        </w:tc>
        <w:tc>
          <w:tcPr>
            <w:tcW w:w="884" w:type="dxa"/>
            <w:tcBorders>
              <w:bottom w:val="double" w:sz="6" w:space="0" w:color="000000"/>
            </w:tcBorders>
          </w:tcPr>
          <w:p>
            <w:pPr>
              <w:pStyle w:val="TableParagraph"/>
              <w:spacing w:line="204" w:lineRule="exact" w:before="0"/>
              <w:ind w:right="6"/>
              <w:jc w:val="right"/>
              <w:rPr>
                <w:sz w:val="18"/>
              </w:rPr>
            </w:pPr>
            <w:r>
              <w:rPr>
                <w:spacing w:val="-2"/>
                <w:sz w:val="18"/>
              </w:rPr>
              <w:t>0.8310</w:t>
            </w:r>
          </w:p>
        </w:tc>
      </w:tr>
      <w:tr>
        <w:trPr>
          <w:trHeight w:val="327" w:hRule="atLeast"/>
        </w:trPr>
        <w:tc>
          <w:tcPr>
            <w:tcW w:w="1925" w:type="dxa"/>
            <w:tcBorders>
              <w:top w:val="double" w:sz="6" w:space="0" w:color="000000"/>
            </w:tcBorders>
          </w:tcPr>
          <w:p>
            <w:pPr>
              <w:pStyle w:val="TableParagraph"/>
              <w:spacing w:before="108"/>
              <w:rPr>
                <w:sz w:val="18"/>
              </w:rPr>
            </w:pPr>
            <w:r>
              <w:rPr>
                <w:spacing w:val="-2"/>
                <w:sz w:val="18"/>
              </w:rPr>
              <w:t>R-squared</w:t>
            </w:r>
          </w:p>
        </w:tc>
        <w:tc>
          <w:tcPr>
            <w:tcW w:w="1291" w:type="dxa"/>
            <w:tcBorders>
              <w:top w:val="double" w:sz="6" w:space="0" w:color="000000"/>
            </w:tcBorders>
          </w:tcPr>
          <w:p>
            <w:pPr>
              <w:pStyle w:val="TableParagraph"/>
              <w:spacing w:before="108"/>
              <w:ind w:right="104"/>
              <w:jc w:val="right"/>
              <w:rPr>
                <w:sz w:val="18"/>
              </w:rPr>
            </w:pPr>
            <w:r>
              <w:rPr>
                <w:spacing w:val="-2"/>
                <w:sz w:val="18"/>
              </w:rPr>
              <w:t>0.684646</w:t>
            </w:r>
          </w:p>
        </w:tc>
        <w:tc>
          <w:tcPr>
            <w:tcW w:w="2431" w:type="dxa"/>
            <w:gridSpan w:val="2"/>
            <w:tcBorders>
              <w:top w:val="double" w:sz="6" w:space="0" w:color="000000"/>
            </w:tcBorders>
          </w:tcPr>
          <w:p>
            <w:pPr>
              <w:pStyle w:val="TableParagraph"/>
              <w:spacing w:before="108"/>
              <w:ind w:left="106"/>
              <w:rPr>
                <w:sz w:val="18"/>
              </w:rPr>
            </w:pPr>
            <w:r>
              <w:rPr>
                <w:sz w:val="18"/>
              </w:rPr>
              <w:t>Mean</w:t>
            </w:r>
            <w:r>
              <w:rPr>
                <w:spacing w:val="-10"/>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before="108"/>
              <w:ind w:right="6"/>
              <w:jc w:val="right"/>
              <w:rPr>
                <w:sz w:val="18"/>
              </w:rPr>
            </w:pPr>
            <w:r>
              <w:rPr>
                <w:spacing w:val="-2"/>
                <w:sz w:val="18"/>
              </w:rPr>
              <w:t>38577.16</w:t>
            </w:r>
          </w:p>
        </w:tc>
      </w:tr>
      <w:tr>
        <w:trPr>
          <w:trHeight w:val="224" w:hRule="atLeast"/>
        </w:trPr>
        <w:tc>
          <w:tcPr>
            <w:tcW w:w="1925" w:type="dxa"/>
          </w:tcPr>
          <w:p>
            <w:pPr>
              <w:pStyle w:val="TableParagraph"/>
              <w:spacing w:line="198" w:lineRule="exact"/>
              <w:rPr>
                <w:sz w:val="18"/>
              </w:rPr>
            </w:pPr>
            <w:r>
              <w:rPr>
                <w:sz w:val="18"/>
              </w:rPr>
              <w:t>Adjusted</w:t>
            </w:r>
            <w:r>
              <w:rPr>
                <w:spacing w:val="-9"/>
                <w:sz w:val="18"/>
              </w:rPr>
              <w:t> </w:t>
            </w:r>
            <w:r>
              <w:rPr>
                <w:sz w:val="18"/>
              </w:rPr>
              <w:t>R-</w:t>
            </w:r>
            <w:r>
              <w:rPr>
                <w:spacing w:val="-2"/>
                <w:sz w:val="18"/>
              </w:rPr>
              <w:t>squared</w:t>
            </w:r>
          </w:p>
        </w:tc>
        <w:tc>
          <w:tcPr>
            <w:tcW w:w="1291" w:type="dxa"/>
          </w:tcPr>
          <w:p>
            <w:pPr>
              <w:pStyle w:val="TableParagraph"/>
              <w:spacing w:line="198" w:lineRule="exact"/>
              <w:ind w:right="104"/>
              <w:jc w:val="right"/>
              <w:rPr>
                <w:sz w:val="18"/>
              </w:rPr>
            </w:pPr>
            <w:r>
              <w:rPr>
                <w:spacing w:val="-2"/>
                <w:sz w:val="18"/>
              </w:rPr>
              <w:t>0.679922</w:t>
            </w:r>
          </w:p>
        </w:tc>
        <w:tc>
          <w:tcPr>
            <w:tcW w:w="2431" w:type="dxa"/>
            <w:gridSpan w:val="2"/>
          </w:tcPr>
          <w:p>
            <w:pPr>
              <w:pStyle w:val="TableParagraph"/>
              <w:spacing w:line="198" w:lineRule="exact"/>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spacing w:line="198" w:lineRule="exact"/>
              <w:ind w:right="6"/>
              <w:jc w:val="right"/>
              <w:rPr>
                <w:sz w:val="18"/>
              </w:rPr>
            </w:pPr>
            <w:r>
              <w:rPr>
                <w:spacing w:val="-2"/>
                <w:sz w:val="18"/>
              </w:rPr>
              <w:t>20479.94</w:t>
            </w:r>
          </w:p>
        </w:tc>
      </w:tr>
      <w:tr>
        <w:trPr>
          <w:trHeight w:val="224" w:hRule="atLeast"/>
        </w:trPr>
        <w:tc>
          <w:tcPr>
            <w:tcW w:w="1925" w:type="dxa"/>
          </w:tcPr>
          <w:p>
            <w:pPr>
              <w:pStyle w:val="TableParagraph"/>
              <w:spacing w:before="5"/>
              <w:rPr>
                <w:sz w:val="18"/>
              </w:rPr>
            </w:pPr>
            <w:r>
              <w:rPr>
                <w:sz w:val="18"/>
              </w:rPr>
              <w:t>S.E.</w:t>
            </w:r>
            <w:r>
              <w:rPr>
                <w:spacing w:val="-2"/>
                <w:sz w:val="18"/>
              </w:rPr>
              <w:t> </w:t>
            </w:r>
            <w:r>
              <w:rPr>
                <w:sz w:val="18"/>
              </w:rPr>
              <w:t>of </w:t>
            </w:r>
            <w:r>
              <w:rPr>
                <w:spacing w:val="-2"/>
                <w:sz w:val="18"/>
              </w:rPr>
              <w:t>regression</w:t>
            </w:r>
          </w:p>
        </w:tc>
        <w:tc>
          <w:tcPr>
            <w:tcW w:w="1291" w:type="dxa"/>
          </w:tcPr>
          <w:p>
            <w:pPr>
              <w:pStyle w:val="TableParagraph"/>
              <w:spacing w:before="5"/>
              <w:ind w:right="104"/>
              <w:jc w:val="right"/>
              <w:rPr>
                <w:sz w:val="18"/>
              </w:rPr>
            </w:pPr>
            <w:r>
              <w:rPr>
                <w:spacing w:val="-2"/>
                <w:sz w:val="18"/>
              </w:rPr>
              <w:t>2901.975</w:t>
            </w:r>
          </w:p>
        </w:tc>
        <w:tc>
          <w:tcPr>
            <w:tcW w:w="2431" w:type="dxa"/>
            <w:gridSpan w:val="2"/>
          </w:tcPr>
          <w:p>
            <w:pPr>
              <w:pStyle w:val="TableParagraph"/>
              <w:spacing w:before="5"/>
              <w:ind w:left="106"/>
              <w:rPr>
                <w:sz w:val="18"/>
              </w:rPr>
            </w:pPr>
            <w:r>
              <w:rPr>
                <w:sz w:val="18"/>
              </w:rPr>
              <w:t>Akaike</w:t>
            </w:r>
            <w:r>
              <w:rPr>
                <w:spacing w:val="-3"/>
                <w:sz w:val="18"/>
              </w:rPr>
              <w:t> </w:t>
            </w:r>
            <w:r>
              <w:rPr>
                <w:sz w:val="18"/>
              </w:rPr>
              <w:t>info</w:t>
            </w:r>
            <w:r>
              <w:rPr>
                <w:spacing w:val="-2"/>
                <w:sz w:val="18"/>
              </w:rPr>
              <w:t> criterion</w:t>
            </w:r>
          </w:p>
        </w:tc>
        <w:tc>
          <w:tcPr>
            <w:tcW w:w="884" w:type="dxa"/>
          </w:tcPr>
          <w:p>
            <w:pPr>
              <w:pStyle w:val="TableParagraph"/>
              <w:spacing w:before="5"/>
              <w:ind w:right="6"/>
              <w:jc w:val="right"/>
              <w:rPr>
                <w:sz w:val="18"/>
              </w:rPr>
            </w:pPr>
            <w:r>
              <w:rPr>
                <w:spacing w:val="-2"/>
                <w:sz w:val="18"/>
              </w:rPr>
              <w:t>19.00120</w:t>
            </w:r>
          </w:p>
        </w:tc>
      </w:tr>
      <w:tr>
        <w:trPr>
          <w:trHeight w:val="225" w:hRule="atLeast"/>
        </w:trPr>
        <w:tc>
          <w:tcPr>
            <w:tcW w:w="1925"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291" w:type="dxa"/>
          </w:tcPr>
          <w:p>
            <w:pPr>
              <w:pStyle w:val="TableParagraph"/>
              <w:ind w:right="104"/>
              <w:jc w:val="right"/>
              <w:rPr>
                <w:sz w:val="18"/>
              </w:rPr>
            </w:pPr>
            <w:r>
              <w:rPr>
                <w:spacing w:val="-2"/>
                <w:sz w:val="18"/>
              </w:rPr>
              <w:t>2.19E+08</w:t>
            </w:r>
          </w:p>
        </w:tc>
        <w:tc>
          <w:tcPr>
            <w:tcW w:w="1491" w:type="dxa"/>
          </w:tcPr>
          <w:p>
            <w:pPr>
              <w:pStyle w:val="TableParagraph"/>
              <w:ind w:left="106"/>
              <w:rPr>
                <w:sz w:val="18"/>
              </w:rPr>
            </w:pPr>
            <w:r>
              <w:rPr>
                <w:sz w:val="18"/>
              </w:rPr>
              <w:t>Schwarz</w:t>
            </w:r>
            <w:r>
              <w:rPr>
                <w:spacing w:val="-4"/>
                <w:sz w:val="18"/>
              </w:rPr>
              <w:t> </w:t>
            </w:r>
            <w:r>
              <w:rPr>
                <w:spacing w:val="-2"/>
                <w:sz w:val="18"/>
              </w:rPr>
              <w:t>criterion</w:t>
            </w:r>
          </w:p>
        </w:tc>
        <w:tc>
          <w:tcPr>
            <w:tcW w:w="940" w:type="dxa"/>
          </w:tcPr>
          <w:p>
            <w:pPr>
              <w:pStyle w:val="TableParagraph"/>
              <w:spacing w:line="240" w:lineRule="auto" w:before="0"/>
              <w:rPr>
                <w:rFonts w:ascii="Times New Roman"/>
                <w:sz w:val="16"/>
              </w:rPr>
            </w:pPr>
          </w:p>
        </w:tc>
        <w:tc>
          <w:tcPr>
            <w:tcW w:w="884" w:type="dxa"/>
          </w:tcPr>
          <w:p>
            <w:pPr>
              <w:pStyle w:val="TableParagraph"/>
              <w:ind w:right="6"/>
              <w:jc w:val="right"/>
              <w:rPr>
                <w:sz w:val="18"/>
              </w:rPr>
            </w:pPr>
            <w:r>
              <w:rPr>
                <w:spacing w:val="-2"/>
                <w:sz w:val="18"/>
              </w:rPr>
              <w:t>19.40115</w:t>
            </w:r>
          </w:p>
        </w:tc>
      </w:tr>
      <w:tr>
        <w:trPr>
          <w:trHeight w:val="225" w:hRule="atLeast"/>
        </w:trPr>
        <w:tc>
          <w:tcPr>
            <w:tcW w:w="1925" w:type="dxa"/>
          </w:tcPr>
          <w:p>
            <w:pPr>
              <w:pStyle w:val="TableParagraph"/>
              <w:rPr>
                <w:sz w:val="18"/>
              </w:rPr>
            </w:pPr>
            <w:r>
              <w:rPr>
                <w:sz w:val="18"/>
              </w:rPr>
              <w:t>Log</w:t>
            </w:r>
            <w:r>
              <w:rPr>
                <w:spacing w:val="-3"/>
                <w:sz w:val="18"/>
              </w:rPr>
              <w:t> </w:t>
            </w:r>
            <w:r>
              <w:rPr>
                <w:spacing w:val="-2"/>
                <w:sz w:val="18"/>
              </w:rPr>
              <w:t>likelihood</w:t>
            </w:r>
          </w:p>
        </w:tc>
        <w:tc>
          <w:tcPr>
            <w:tcW w:w="1291" w:type="dxa"/>
          </w:tcPr>
          <w:p>
            <w:pPr>
              <w:pStyle w:val="TableParagraph"/>
              <w:ind w:right="104"/>
              <w:jc w:val="right"/>
              <w:rPr>
                <w:sz w:val="18"/>
              </w:rPr>
            </w:pPr>
            <w:r>
              <w:rPr>
                <w:spacing w:val="-2"/>
                <w:sz w:val="18"/>
              </w:rPr>
              <w:t>-323.5211</w:t>
            </w:r>
          </w:p>
        </w:tc>
        <w:tc>
          <w:tcPr>
            <w:tcW w:w="2431" w:type="dxa"/>
            <w:gridSpan w:val="2"/>
          </w:tcPr>
          <w:p>
            <w:pPr>
              <w:pStyle w:val="TableParagraph"/>
              <w:ind w:left="106"/>
              <w:rPr>
                <w:sz w:val="18"/>
              </w:rPr>
            </w:pPr>
            <w:r>
              <w:rPr>
                <w:spacing w:val="-2"/>
                <w:sz w:val="18"/>
              </w:rPr>
              <w:t>Hannan-Quinn</w:t>
            </w:r>
            <w:r>
              <w:rPr>
                <w:spacing w:val="11"/>
                <w:sz w:val="18"/>
              </w:rPr>
              <w:t> </w:t>
            </w:r>
            <w:r>
              <w:rPr>
                <w:spacing w:val="-2"/>
                <w:sz w:val="18"/>
              </w:rPr>
              <w:t>criter.</w:t>
            </w:r>
          </w:p>
        </w:tc>
        <w:tc>
          <w:tcPr>
            <w:tcW w:w="884" w:type="dxa"/>
          </w:tcPr>
          <w:p>
            <w:pPr>
              <w:pStyle w:val="TableParagraph"/>
              <w:ind w:right="6"/>
              <w:jc w:val="right"/>
              <w:rPr>
                <w:sz w:val="18"/>
              </w:rPr>
            </w:pPr>
            <w:r>
              <w:rPr>
                <w:spacing w:val="-2"/>
                <w:sz w:val="18"/>
              </w:rPr>
              <w:t>19.13927</w:t>
            </w:r>
          </w:p>
        </w:tc>
      </w:tr>
      <w:tr>
        <w:trPr>
          <w:trHeight w:val="224" w:hRule="atLeast"/>
        </w:trPr>
        <w:tc>
          <w:tcPr>
            <w:tcW w:w="1925" w:type="dxa"/>
          </w:tcPr>
          <w:p>
            <w:pPr>
              <w:pStyle w:val="TableParagraph"/>
              <w:spacing w:line="198" w:lineRule="exact"/>
              <w:rPr>
                <w:sz w:val="18"/>
              </w:rPr>
            </w:pPr>
            <w:r>
              <w:rPr>
                <w:spacing w:val="-2"/>
                <w:sz w:val="18"/>
              </w:rPr>
              <w:t>F-statistic</w:t>
            </w:r>
          </w:p>
        </w:tc>
        <w:tc>
          <w:tcPr>
            <w:tcW w:w="1291" w:type="dxa"/>
          </w:tcPr>
          <w:p>
            <w:pPr>
              <w:pStyle w:val="TableParagraph"/>
              <w:spacing w:line="198" w:lineRule="exact"/>
              <w:ind w:right="104"/>
              <w:jc w:val="right"/>
              <w:rPr>
                <w:sz w:val="18"/>
              </w:rPr>
            </w:pPr>
            <w:r>
              <w:rPr>
                <w:spacing w:val="-2"/>
                <w:sz w:val="18"/>
              </w:rPr>
              <w:t>208.4198</w:t>
            </w:r>
          </w:p>
        </w:tc>
        <w:tc>
          <w:tcPr>
            <w:tcW w:w="2431" w:type="dxa"/>
            <w:gridSpan w:val="2"/>
          </w:tcPr>
          <w:p>
            <w:pPr>
              <w:pStyle w:val="TableParagraph"/>
              <w:spacing w:line="198" w:lineRule="exact"/>
              <w:ind w:left="106"/>
              <w:rPr>
                <w:sz w:val="18"/>
              </w:rPr>
            </w:pPr>
            <w:r>
              <w:rPr>
                <w:spacing w:val="-2"/>
                <w:sz w:val="18"/>
              </w:rPr>
              <w:t>Durbin-Watson</w:t>
            </w:r>
            <w:r>
              <w:rPr>
                <w:spacing w:val="13"/>
                <w:sz w:val="18"/>
              </w:rPr>
              <w:t> </w:t>
            </w:r>
            <w:r>
              <w:rPr>
                <w:spacing w:val="-4"/>
                <w:sz w:val="18"/>
              </w:rPr>
              <w:t>stat</w:t>
            </w:r>
          </w:p>
        </w:tc>
        <w:tc>
          <w:tcPr>
            <w:tcW w:w="884" w:type="dxa"/>
          </w:tcPr>
          <w:p>
            <w:pPr>
              <w:pStyle w:val="TableParagraph"/>
              <w:spacing w:line="198" w:lineRule="exact"/>
              <w:ind w:right="6"/>
              <w:jc w:val="right"/>
              <w:rPr>
                <w:sz w:val="18"/>
              </w:rPr>
            </w:pPr>
            <w:r>
              <w:rPr>
                <w:spacing w:val="-2"/>
                <w:sz w:val="18"/>
              </w:rPr>
              <w:t>1.892712</w:t>
            </w:r>
          </w:p>
        </w:tc>
      </w:tr>
      <w:tr>
        <w:trPr>
          <w:trHeight w:val="302" w:hRule="atLeast"/>
        </w:trPr>
        <w:tc>
          <w:tcPr>
            <w:tcW w:w="1925" w:type="dxa"/>
            <w:tcBorders>
              <w:bottom w:val="double" w:sz="6" w:space="0" w:color="000000"/>
            </w:tcBorders>
          </w:tcPr>
          <w:p>
            <w:pPr>
              <w:pStyle w:val="TableParagraph"/>
              <w:spacing w:line="240" w:lineRule="auto" w:before="5"/>
              <w:rPr>
                <w:sz w:val="18"/>
              </w:rPr>
            </w:pPr>
            <w:r>
              <w:rPr>
                <w:spacing w:val="-2"/>
                <w:sz w:val="18"/>
              </w:rPr>
              <w:t>Prob(F-statistic)</w:t>
            </w:r>
          </w:p>
        </w:tc>
        <w:tc>
          <w:tcPr>
            <w:tcW w:w="1291" w:type="dxa"/>
            <w:tcBorders>
              <w:bottom w:val="double" w:sz="6" w:space="0" w:color="000000"/>
            </w:tcBorders>
          </w:tcPr>
          <w:p>
            <w:pPr>
              <w:pStyle w:val="TableParagraph"/>
              <w:spacing w:line="240" w:lineRule="auto" w:before="5"/>
              <w:ind w:right="104"/>
              <w:jc w:val="right"/>
              <w:rPr>
                <w:sz w:val="18"/>
              </w:rPr>
            </w:pPr>
            <w:r>
              <w:rPr>
                <w:spacing w:val="-2"/>
                <w:sz w:val="18"/>
              </w:rPr>
              <w:t>0.000000</w:t>
            </w:r>
          </w:p>
        </w:tc>
        <w:tc>
          <w:tcPr>
            <w:tcW w:w="2431" w:type="dxa"/>
            <w:gridSpan w:val="2"/>
            <w:tcBorders>
              <w:bottom w:val="double" w:sz="6" w:space="0" w:color="000000"/>
            </w:tcBorders>
          </w:tcPr>
          <w:p>
            <w:pPr>
              <w:pStyle w:val="TableParagraph"/>
              <w:spacing w:line="240" w:lineRule="auto" w:before="0"/>
              <w:rPr>
                <w:rFonts w:ascii="Times New Roman"/>
                <w:sz w:val="20"/>
              </w:rPr>
            </w:pPr>
          </w:p>
        </w:tc>
        <w:tc>
          <w:tcPr>
            <w:tcW w:w="884" w:type="dxa"/>
            <w:tcBorders>
              <w:bottom w:val="double" w:sz="6" w:space="0" w:color="000000"/>
            </w:tcBorders>
          </w:tcPr>
          <w:p>
            <w:pPr>
              <w:pStyle w:val="TableParagraph"/>
              <w:spacing w:line="240" w:lineRule="auto" w:before="0"/>
              <w:rPr>
                <w:rFonts w:ascii="Times New Roman"/>
                <w:sz w:val="20"/>
              </w:rPr>
            </w:pPr>
          </w:p>
        </w:tc>
      </w:tr>
    </w:tbl>
    <w:p>
      <w:pPr>
        <w:pStyle w:val="BodyText"/>
        <w:spacing w:before="268"/>
      </w:pPr>
      <w:r>
        <w:rPr/>
        <mc:AlternateContent>
          <mc:Choice Requires="wps">
            <w:drawing>
              <wp:anchor distT="0" distB="0" distL="0" distR="0" allowOverlap="1" layoutInCell="1" locked="0" behindDoc="1" simplePos="0" relativeHeight="478097408">
                <wp:simplePos x="0" y="0"/>
                <wp:positionH relativeFrom="page">
                  <wp:posOffset>950112</wp:posOffset>
                </wp:positionH>
                <wp:positionV relativeFrom="paragraph">
                  <wp:posOffset>-527971</wp:posOffset>
                </wp:positionV>
                <wp:extent cx="1052830" cy="114935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1052830" cy="1149350"/>
                        </a:xfrm>
                        <a:custGeom>
                          <a:avLst/>
                          <a:gdLst/>
                          <a:ahLst/>
                          <a:cxnLst/>
                          <a:rect l="l" t="t" r="r" b="b"/>
                          <a:pathLst>
                            <a:path w="1052830" h="1149350">
                              <a:moveTo>
                                <a:pt x="677011" y="1025398"/>
                              </a:moveTo>
                              <a:lnTo>
                                <a:pt x="123825" y="472313"/>
                              </a:lnTo>
                              <a:lnTo>
                                <a:pt x="0" y="596138"/>
                              </a:lnTo>
                              <a:lnTo>
                                <a:pt x="553186" y="1149223"/>
                              </a:lnTo>
                              <a:lnTo>
                                <a:pt x="677011" y="1025398"/>
                              </a:lnTo>
                              <a:close/>
                            </a:path>
                            <a:path w="1052830" h="1149350">
                              <a:moveTo>
                                <a:pt x="1052677" y="596201"/>
                              </a:moveTo>
                              <a:lnTo>
                                <a:pt x="1048994" y="543941"/>
                              </a:lnTo>
                              <a:lnTo>
                                <a:pt x="1033970" y="488276"/>
                              </a:lnTo>
                              <a:lnTo>
                                <a:pt x="1007338" y="433070"/>
                              </a:lnTo>
                              <a:lnTo>
                                <a:pt x="970724" y="380123"/>
                              </a:lnTo>
                              <a:lnTo>
                                <a:pt x="925931" y="329819"/>
                              </a:lnTo>
                              <a:lnTo>
                                <a:pt x="596112" y="0"/>
                              </a:lnTo>
                              <a:lnTo>
                                <a:pt x="472795" y="123317"/>
                              </a:lnTo>
                              <a:lnTo>
                                <a:pt x="810361" y="461010"/>
                              </a:lnTo>
                              <a:lnTo>
                                <a:pt x="830872" y="483819"/>
                              </a:lnTo>
                              <a:lnTo>
                                <a:pt x="846518" y="506285"/>
                              </a:lnTo>
                              <a:lnTo>
                                <a:pt x="857364" y="528383"/>
                              </a:lnTo>
                              <a:lnTo>
                                <a:pt x="863447" y="550037"/>
                              </a:lnTo>
                              <a:lnTo>
                                <a:pt x="864400" y="570877"/>
                              </a:lnTo>
                              <a:lnTo>
                                <a:pt x="860463" y="590321"/>
                              </a:lnTo>
                              <a:lnTo>
                                <a:pt x="838047" y="624967"/>
                              </a:lnTo>
                              <a:lnTo>
                                <a:pt x="803135" y="647534"/>
                              </a:lnTo>
                              <a:lnTo>
                                <a:pt x="783590" y="651319"/>
                              </a:lnTo>
                              <a:lnTo>
                                <a:pt x="762609" y="649986"/>
                              </a:lnTo>
                              <a:lnTo>
                                <a:pt x="718540" y="633310"/>
                              </a:lnTo>
                              <a:lnTo>
                                <a:pt x="673709" y="597662"/>
                              </a:lnTo>
                              <a:lnTo>
                                <a:pt x="336143" y="259969"/>
                              </a:lnTo>
                              <a:lnTo>
                                <a:pt x="212750" y="383286"/>
                              </a:lnTo>
                              <a:lnTo>
                                <a:pt x="542518" y="713105"/>
                              </a:lnTo>
                              <a:lnTo>
                                <a:pt x="589267" y="754011"/>
                              </a:lnTo>
                              <a:lnTo>
                                <a:pt x="647547" y="795274"/>
                              </a:lnTo>
                              <a:lnTo>
                                <a:pt x="690029" y="817270"/>
                              </a:lnTo>
                              <a:lnTo>
                                <a:pt x="737844" y="832485"/>
                              </a:lnTo>
                              <a:lnTo>
                                <a:pt x="785317" y="839876"/>
                              </a:lnTo>
                              <a:lnTo>
                                <a:pt x="807148" y="839978"/>
                              </a:lnTo>
                              <a:lnTo>
                                <a:pt x="827760" y="837819"/>
                              </a:lnTo>
                              <a:lnTo>
                                <a:pt x="867854" y="825944"/>
                              </a:lnTo>
                              <a:lnTo>
                                <a:pt x="908151" y="802640"/>
                              </a:lnTo>
                              <a:lnTo>
                                <a:pt x="945184" y="773404"/>
                              </a:lnTo>
                              <a:lnTo>
                                <a:pt x="976985" y="744347"/>
                              </a:lnTo>
                              <a:lnTo>
                                <a:pt x="1019340" y="692937"/>
                              </a:lnTo>
                              <a:lnTo>
                                <a:pt x="1045311" y="639699"/>
                              </a:lnTo>
                              <a:lnTo>
                                <a:pt x="1050315" y="619061"/>
                              </a:lnTo>
                              <a:lnTo>
                                <a:pt x="1052677" y="59620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1.572567pt;width:82.9pt;height:90.5pt;mso-position-horizontal-relative:page;mso-position-vertical-relative:paragraph;z-index:-25219072" id="docshape191" coordorigin="1496,-831" coordsize="1658,1810" path="m2562,783l1691,-88,1496,107,2367,978,2562,783xm3154,107l3153,68,3148,25,3139,-19,3125,-63,3106,-106,3083,-149,3055,-192,3025,-233,2991,-273,2954,-312,2435,-831,2241,-637,2772,-105,2805,-70,2829,-34,2846,1,2856,35,2858,68,2851,98,2837,127,2816,153,2790,174,2761,188,2730,194,2697,192,2663,183,2628,166,2593,142,2557,110,2026,-422,1831,-228,2351,292,2385,324,2424,356,2468,388,2516,421,2548,440,2583,456,2620,469,2658,480,2697,487,2733,491,2767,491,2800,488,2831,481,2863,469,2895,453,2926,433,2957,409,2985,387,3011,364,3035,341,3071,301,3102,260,3125,218,3142,176,3150,143,3154,107xe" filled="true" fillcolor="#c0c0c0" stroked="false">
                <v:path arrowok="t"/>
                <v:fill opacity="32896f" type="solid"/>
                <w10:wrap type="none"/>
              </v:shape>
            </w:pict>
          </mc:Fallback>
        </mc:AlternateContent>
      </w:r>
      <w:r>
        <w:rPr/>
        <w:t>Source:</w:t>
      </w:r>
      <w:r>
        <w:rPr>
          <w:spacing w:val="-9"/>
        </w:rPr>
        <w:t> </w:t>
      </w:r>
      <w:r>
        <w:rPr/>
        <w:t>Author’s</w:t>
      </w:r>
      <w:r>
        <w:rPr>
          <w:spacing w:val="-8"/>
        </w:rPr>
        <w:t> </w:t>
      </w:r>
      <w:r>
        <w:rPr/>
        <w:t>Computation</w:t>
      </w:r>
      <w:r>
        <w:rPr>
          <w:spacing w:val="-9"/>
        </w:rPr>
        <w:t> </w:t>
      </w:r>
      <w:r>
        <w:rPr/>
        <w:t>Using</w:t>
      </w:r>
      <w:r>
        <w:rPr>
          <w:spacing w:val="-9"/>
        </w:rPr>
        <w:t> </w:t>
      </w:r>
      <w:r>
        <w:rPr/>
        <w:t>E-View</w:t>
      </w:r>
      <w:r>
        <w:rPr>
          <w:spacing w:val="-9"/>
        </w:rPr>
        <w:t> </w:t>
      </w:r>
      <w:r>
        <w:rPr/>
        <w:t>Version</w:t>
      </w:r>
      <w:r>
        <w:rPr>
          <w:spacing w:val="-9"/>
        </w:rPr>
        <w:t> </w:t>
      </w:r>
      <w:r>
        <w:rPr>
          <w:spacing w:val="-5"/>
        </w:rPr>
        <w:t>8.0</w:t>
      </w:r>
    </w:p>
    <w:p>
      <w:pPr>
        <w:pStyle w:val="BodyText"/>
        <w:spacing w:before="76"/>
        <w:ind w:left="0"/>
      </w:pPr>
    </w:p>
    <w:p>
      <w:pPr>
        <w:pStyle w:val="BodyText"/>
      </w:pPr>
      <w:r>
        <w:rPr/>
        <w:t>Using</w:t>
      </w:r>
      <w:r>
        <w:rPr>
          <w:spacing w:val="-7"/>
        </w:rPr>
        <w:t> </w:t>
      </w:r>
      <w:r>
        <w:rPr/>
        <w:t>the</w:t>
      </w:r>
      <w:r>
        <w:rPr>
          <w:spacing w:val="-6"/>
        </w:rPr>
        <w:t> </w:t>
      </w:r>
      <w:r>
        <w:rPr/>
        <w:t>estimated</w:t>
      </w:r>
      <w:r>
        <w:rPr>
          <w:spacing w:val="-5"/>
        </w:rPr>
        <w:t> </w:t>
      </w:r>
      <w:r>
        <w:rPr/>
        <w:t>result</w:t>
      </w:r>
      <w:r>
        <w:rPr>
          <w:spacing w:val="-6"/>
        </w:rPr>
        <w:t> </w:t>
      </w:r>
      <w:r>
        <w:rPr/>
        <w:t>of</w:t>
      </w:r>
      <w:r>
        <w:rPr>
          <w:spacing w:val="-5"/>
        </w:rPr>
        <w:t> </w:t>
      </w:r>
      <w:r>
        <w:rPr/>
        <w:t>the</w:t>
      </w:r>
      <w:r>
        <w:rPr>
          <w:spacing w:val="-6"/>
        </w:rPr>
        <w:t> </w:t>
      </w:r>
      <w:r>
        <w:rPr/>
        <w:t>fitted</w:t>
      </w:r>
      <w:r>
        <w:rPr>
          <w:spacing w:val="-6"/>
        </w:rPr>
        <w:t> </w:t>
      </w:r>
      <w:r>
        <w:rPr/>
        <w:t>regressionline</w:t>
      </w:r>
      <w:r>
        <w:rPr>
          <w:spacing w:val="-6"/>
        </w:rPr>
        <w:t> </w:t>
      </w:r>
      <w:r>
        <w:rPr/>
        <w:t>in</w:t>
      </w:r>
      <w:r>
        <w:rPr>
          <w:spacing w:val="-6"/>
        </w:rPr>
        <w:t> </w:t>
      </w:r>
      <w:r>
        <w:rPr/>
        <w:t>table</w:t>
      </w:r>
      <w:r>
        <w:rPr>
          <w:spacing w:val="-6"/>
        </w:rPr>
        <w:t> </w:t>
      </w:r>
      <w:r>
        <w:rPr/>
        <w:t>5,</w:t>
      </w:r>
      <w:r>
        <w:rPr>
          <w:spacing w:val="-5"/>
        </w:rPr>
        <w:t> </w:t>
      </w:r>
      <w:r>
        <w:rPr/>
        <w:t>the</w:t>
      </w:r>
      <w:r>
        <w:rPr>
          <w:spacing w:val="-6"/>
        </w:rPr>
        <w:t> </w:t>
      </w:r>
      <w:r>
        <w:rPr/>
        <w:t>following</w:t>
      </w:r>
      <w:r>
        <w:rPr>
          <w:spacing w:val="-6"/>
        </w:rPr>
        <w:t> </w:t>
      </w:r>
      <w:r>
        <w:rPr/>
        <w:t>were</w:t>
      </w:r>
      <w:r>
        <w:rPr>
          <w:spacing w:val="-6"/>
        </w:rPr>
        <w:t> </w:t>
      </w:r>
      <w:r>
        <w:rPr>
          <w:spacing w:val="-2"/>
        </w:rPr>
        <w:t>observed</w:t>
      </w:r>
    </w:p>
    <w:p>
      <w:pPr>
        <w:pStyle w:val="BodyText"/>
        <w:spacing w:before="159"/>
        <w:ind w:left="0"/>
      </w:pPr>
    </w:p>
    <w:p>
      <w:pPr>
        <w:pStyle w:val="BodyText"/>
        <w:spacing w:line="480" w:lineRule="auto"/>
        <w:ind w:right="737"/>
        <w:jc w:val="both"/>
      </w:pPr>
      <w:r>
        <w:rPr>
          <w:b/>
        </w:rPr>
        <w:t>Foreign Direct Investment (FDI)</w:t>
      </w:r>
      <w:r>
        <w:rPr/>
        <w:t>: The result showed that the coefficient of foreigndirect investment</w:t>
      </w:r>
      <w:r>
        <w:rPr>
          <w:spacing w:val="5"/>
        </w:rPr>
        <w:t> </w:t>
      </w:r>
      <w:r>
        <w:rPr/>
        <w:t>is</w:t>
      </w:r>
      <w:r>
        <w:rPr>
          <w:spacing w:val="7"/>
        </w:rPr>
        <w:t> </w:t>
      </w:r>
      <w:r>
        <w:rPr/>
        <w:t>3.528826</w:t>
      </w:r>
      <w:r>
        <w:rPr>
          <w:spacing w:val="8"/>
        </w:rPr>
        <w:t> </w:t>
      </w:r>
      <w:r>
        <w:rPr/>
        <w:t>with</w:t>
      </w:r>
      <w:r>
        <w:rPr>
          <w:spacing w:val="5"/>
        </w:rPr>
        <w:t> </w:t>
      </w:r>
      <w:r>
        <w:rPr/>
        <w:t>at-statistics</w:t>
      </w:r>
      <w:r>
        <w:rPr>
          <w:spacing w:val="6"/>
        </w:rPr>
        <w:t> </w:t>
      </w:r>
      <w:r>
        <w:rPr/>
        <w:t>value</w:t>
      </w:r>
      <w:r>
        <w:rPr>
          <w:spacing w:val="5"/>
        </w:rPr>
        <w:t> </w:t>
      </w:r>
      <w:r>
        <w:rPr/>
        <w:t>of</w:t>
      </w:r>
      <w:r>
        <w:rPr>
          <w:spacing w:val="8"/>
        </w:rPr>
        <w:t> </w:t>
      </w:r>
      <w:r>
        <w:rPr/>
        <w:t>3.014132</w:t>
      </w:r>
      <w:r>
        <w:rPr>
          <w:spacing w:val="5"/>
        </w:rPr>
        <w:t> </w:t>
      </w:r>
      <w:r>
        <w:rPr/>
        <w:t>and</w:t>
      </w:r>
      <w:r>
        <w:rPr>
          <w:spacing w:val="5"/>
        </w:rPr>
        <w:t> </w:t>
      </w:r>
      <w:r>
        <w:rPr/>
        <w:t>a</w:t>
      </w:r>
      <w:r>
        <w:rPr>
          <w:spacing w:val="7"/>
        </w:rPr>
        <w:t> </w:t>
      </w:r>
      <w:r>
        <w:rPr/>
        <w:t>probabilityvalue</w:t>
      </w:r>
      <w:r>
        <w:rPr>
          <w:spacing w:val="5"/>
        </w:rPr>
        <w:t> </w:t>
      </w:r>
      <w:r>
        <w:rPr/>
        <w:t>of</w:t>
      </w:r>
      <w:r>
        <w:rPr>
          <w:spacing w:val="7"/>
        </w:rPr>
        <w:t> </w:t>
      </w:r>
      <w:r>
        <w:rPr>
          <w:spacing w:val="-2"/>
        </w:rPr>
        <w:t>0.0057</w:t>
      </w:r>
    </w:p>
    <w:p>
      <w:pPr>
        <w:spacing w:after="0" w:line="480" w:lineRule="auto"/>
        <w:jc w:val="both"/>
        <w:sectPr>
          <w:pgSz w:w="12240" w:h="15840"/>
          <w:pgMar w:header="0" w:footer="1012" w:top="1380" w:bottom="1200" w:left="1220" w:right="700"/>
        </w:sectPr>
      </w:pPr>
    </w:p>
    <w:p>
      <w:pPr>
        <w:pStyle w:val="BodyText"/>
        <w:spacing w:line="480" w:lineRule="auto" w:before="60"/>
        <w:ind w:right="737"/>
        <w:jc w:val="both"/>
      </w:pPr>
      <w:r>
        <w:rPr/>
        <w:t>which is highlysignificant. This implies that foreign direct investmenthad a significant positive effect on economicgrowth in Nigeria.</w:t>
      </w:r>
    </w:p>
    <w:p>
      <w:pPr>
        <w:pStyle w:val="BodyText"/>
        <w:spacing w:line="480" w:lineRule="auto" w:before="160"/>
        <w:ind w:right="736"/>
        <w:jc w:val="both"/>
      </w:pPr>
      <w:r>
        <w:rPr/>
        <mc:AlternateContent>
          <mc:Choice Requires="wps">
            <w:drawing>
              <wp:anchor distT="0" distB="0" distL="0" distR="0" allowOverlap="1" layoutInCell="1" locked="0" behindDoc="1" simplePos="0" relativeHeight="478098432">
                <wp:simplePos x="0" y="0"/>
                <wp:positionH relativeFrom="page">
                  <wp:posOffset>950112</wp:posOffset>
                </wp:positionH>
                <wp:positionV relativeFrom="paragraph">
                  <wp:posOffset>552765</wp:posOffset>
                </wp:positionV>
                <wp:extent cx="5505450" cy="5661025"/>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18048" id="docshape192"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b/>
        </w:rPr>
        <w:t>Foreign Portfolio Investment (FPI)</w:t>
      </w:r>
      <w:r>
        <w:rPr/>
        <w:t>: The result showed that the coefficient offoreign portfolioinvestment</w:t>
      </w:r>
      <w:r>
        <w:rPr>
          <w:spacing w:val="-2"/>
        </w:rPr>
        <w:t> </w:t>
      </w:r>
      <w:r>
        <w:rPr/>
        <w:t>is 194.0636</w:t>
      </w:r>
      <w:r>
        <w:rPr>
          <w:spacing w:val="-1"/>
        </w:rPr>
        <w:t> </w:t>
      </w:r>
      <w:r>
        <w:rPr/>
        <w:t>with</w:t>
      </w:r>
      <w:r>
        <w:rPr>
          <w:spacing w:val="-2"/>
        </w:rPr>
        <w:t> </w:t>
      </w:r>
      <w:r>
        <w:rPr/>
        <w:t>at-statistics</w:t>
      </w:r>
      <w:r>
        <w:rPr>
          <w:spacing w:val="-1"/>
        </w:rPr>
        <w:t> </w:t>
      </w:r>
      <w:r>
        <w:rPr/>
        <w:t>value</w:t>
      </w:r>
      <w:r>
        <w:rPr>
          <w:spacing w:val="-3"/>
        </w:rPr>
        <w:t> </w:t>
      </w:r>
      <w:r>
        <w:rPr/>
        <w:t>of 6.571888</w:t>
      </w:r>
      <w:r>
        <w:rPr>
          <w:spacing w:val="-2"/>
        </w:rPr>
        <w:t> </w:t>
      </w:r>
      <w:r>
        <w:rPr/>
        <w:t>and</w:t>
      </w:r>
      <w:r>
        <w:rPr>
          <w:spacing w:val="-3"/>
        </w:rPr>
        <w:t> </w:t>
      </w:r>
      <w:r>
        <w:rPr/>
        <w:t>aprobability</w:t>
      </w:r>
      <w:r>
        <w:rPr>
          <w:spacing w:val="-2"/>
        </w:rPr>
        <w:t> </w:t>
      </w:r>
      <w:r>
        <w:rPr/>
        <w:t>value</w:t>
      </w:r>
      <w:r>
        <w:rPr>
          <w:spacing w:val="-3"/>
        </w:rPr>
        <w:t> </w:t>
      </w:r>
      <w:r>
        <w:rPr/>
        <w:t>of 0.0000 which is highlysignificant. This implies that foreignportfolio investment had a insignificant positive effecton economicgrowth in Nigeria.</w:t>
      </w:r>
    </w:p>
    <w:p>
      <w:pPr>
        <w:pStyle w:val="BodyText"/>
        <w:spacing w:line="480" w:lineRule="auto" w:before="161"/>
        <w:ind w:right="734"/>
        <w:jc w:val="both"/>
      </w:pPr>
      <w:r>
        <w:rPr>
          <w:b/>
        </w:rPr>
        <w:t>Remittances (REM)</w:t>
      </w:r>
      <w:r>
        <w:rPr/>
        <w:t>: Table5 showed that theestimation coefficient ofremittances is - 3.618610 with a t-statisticsvalue of -1.348524and a probability value of 0.1891which is statisticallyinsignificant. This implies thatremittances had a negative andinsignificant effect on economic growth inNigeria.</w:t>
      </w:r>
    </w:p>
    <w:p>
      <w:pPr>
        <w:pStyle w:val="BodyText"/>
        <w:spacing w:line="480" w:lineRule="auto" w:before="160"/>
        <w:ind w:right="736"/>
        <w:jc w:val="both"/>
      </w:pPr>
      <w:r>
        <w:rPr>
          <w:b/>
        </w:rPr>
        <w:t>Official Development Assistance (ODA)</w:t>
      </w:r>
      <w:r>
        <w:rPr/>
        <w:t>: The resultshowed that the coefficient ofofficial developmentassistance is 0.984469 with a t-statisticsvalue of 5.087938 and aprobability</w:t>
      </w:r>
      <w:r>
        <w:rPr>
          <w:spacing w:val="40"/>
        </w:rPr>
        <w:t> </w:t>
      </w:r>
      <w:r>
        <w:rPr/>
        <w:t>value of 0.0000 which isstatistically significant. This implies that official development assistance had asignificant positive effecton economic in Nigeria within theperiod under </w:t>
      </w:r>
      <w:r>
        <w:rPr>
          <w:spacing w:val="-2"/>
        </w:rPr>
        <w:t>review.</w:t>
      </w:r>
    </w:p>
    <w:p>
      <w:pPr>
        <w:pStyle w:val="BodyText"/>
        <w:spacing w:line="480" w:lineRule="auto" w:before="159"/>
        <w:ind w:right="736"/>
        <w:jc w:val="both"/>
      </w:pPr>
      <w:r>
        <w:rPr>
          <w:b/>
        </w:rPr>
        <w:t>Interest Rate (INT)</w:t>
      </w:r>
      <w:r>
        <w:rPr/>
        <w:t>: Table 5 showed that theestimation coefficient ofinterest rate is 122.0478 with a t-statisticsvalue of 1.009144 and a probabilityvalue of 0.3222 which is statistically insignificant. This implies that interest ratehad an insignificant positiveeffect on economic growth inNigeria within the periodunder review.</w:t>
      </w:r>
    </w:p>
    <w:p>
      <w:pPr>
        <w:pStyle w:val="BodyText"/>
        <w:spacing w:line="480" w:lineRule="auto" w:before="161"/>
        <w:ind w:right="737"/>
        <w:jc w:val="both"/>
      </w:pPr>
      <w:r>
        <w:rPr>
          <w:b/>
        </w:rPr>
        <w:t>Exchange</w:t>
      </w:r>
      <w:r>
        <w:rPr>
          <w:b/>
          <w:spacing w:val="-4"/>
        </w:rPr>
        <w:t> </w:t>
      </w:r>
      <w:r>
        <w:rPr>
          <w:b/>
        </w:rPr>
        <w:t>Rate</w:t>
      </w:r>
      <w:r>
        <w:rPr>
          <w:b/>
          <w:spacing w:val="-4"/>
        </w:rPr>
        <w:t> </w:t>
      </w:r>
      <w:r>
        <w:rPr>
          <w:b/>
        </w:rPr>
        <w:t>(EXCH)</w:t>
      </w:r>
      <w:r>
        <w:rPr/>
        <w:t>:</w:t>
      </w:r>
      <w:r>
        <w:rPr>
          <w:spacing w:val="-4"/>
        </w:rPr>
        <w:t> </w:t>
      </w:r>
      <w:r>
        <w:rPr/>
        <w:t>The</w:t>
      </w:r>
      <w:r>
        <w:rPr>
          <w:spacing w:val="-4"/>
        </w:rPr>
        <w:t> </w:t>
      </w:r>
      <w:r>
        <w:rPr/>
        <w:t>result</w:t>
      </w:r>
      <w:r>
        <w:rPr>
          <w:spacing w:val="-4"/>
        </w:rPr>
        <w:t> </w:t>
      </w:r>
      <w:r>
        <w:rPr/>
        <w:t>showed</w:t>
      </w:r>
      <w:r>
        <w:rPr>
          <w:spacing w:val="-4"/>
        </w:rPr>
        <w:t> </w:t>
      </w:r>
      <w:r>
        <w:rPr/>
        <w:t>that</w:t>
      </w:r>
      <w:r>
        <w:rPr>
          <w:spacing w:val="-4"/>
        </w:rPr>
        <w:t> </w:t>
      </w:r>
      <w:r>
        <w:rPr/>
        <w:t>thecoefficient</w:t>
      </w:r>
      <w:r>
        <w:rPr>
          <w:spacing w:val="-4"/>
        </w:rPr>
        <w:t> </w:t>
      </w:r>
      <w:r>
        <w:rPr/>
        <w:t>of</w:t>
      </w:r>
      <w:r>
        <w:rPr>
          <w:spacing w:val="-4"/>
        </w:rPr>
        <w:t> </w:t>
      </w:r>
      <w:r>
        <w:rPr/>
        <w:t>exchangerate</w:t>
      </w:r>
      <w:r>
        <w:rPr>
          <w:spacing w:val="-4"/>
        </w:rPr>
        <w:t> </w:t>
      </w:r>
      <w:r>
        <w:rPr/>
        <w:t>is</w:t>
      </w:r>
      <w:r>
        <w:rPr>
          <w:spacing w:val="-2"/>
        </w:rPr>
        <w:t> </w:t>
      </w:r>
      <w:r>
        <w:rPr/>
        <w:t>-53.27011 with</w:t>
      </w:r>
      <w:r>
        <w:rPr>
          <w:spacing w:val="30"/>
        </w:rPr>
        <w:t> </w:t>
      </w:r>
      <w:r>
        <w:rPr/>
        <w:t>a</w:t>
      </w:r>
      <w:r>
        <w:rPr>
          <w:spacing w:val="30"/>
        </w:rPr>
        <w:t> </w:t>
      </w:r>
      <w:r>
        <w:rPr/>
        <w:t>t-statistics</w:t>
      </w:r>
      <w:r>
        <w:rPr>
          <w:spacing w:val="31"/>
        </w:rPr>
        <w:t> </w:t>
      </w:r>
      <w:r>
        <w:rPr/>
        <w:t>valueof</w:t>
      </w:r>
      <w:r>
        <w:rPr>
          <w:spacing w:val="31"/>
        </w:rPr>
        <w:t> </w:t>
      </w:r>
      <w:r>
        <w:rPr/>
        <w:t>-2.060664</w:t>
      </w:r>
      <w:r>
        <w:rPr>
          <w:spacing w:val="30"/>
        </w:rPr>
        <w:t> </w:t>
      </w:r>
      <w:r>
        <w:rPr/>
        <w:t>and</w:t>
      </w:r>
      <w:r>
        <w:rPr>
          <w:spacing w:val="30"/>
        </w:rPr>
        <w:t> </w:t>
      </w:r>
      <w:r>
        <w:rPr/>
        <w:t>aprobability</w:t>
      </w:r>
      <w:r>
        <w:rPr>
          <w:spacing w:val="31"/>
        </w:rPr>
        <w:t> </w:t>
      </w:r>
      <w:r>
        <w:rPr/>
        <w:t>value</w:t>
      </w:r>
      <w:r>
        <w:rPr>
          <w:spacing w:val="29"/>
        </w:rPr>
        <w:t> </w:t>
      </w:r>
      <w:r>
        <w:rPr/>
        <w:t>of</w:t>
      </w:r>
      <w:r>
        <w:rPr>
          <w:spacing w:val="33"/>
        </w:rPr>
        <w:t> </w:t>
      </w:r>
      <w:r>
        <w:rPr/>
        <w:t>0.0495</w:t>
      </w:r>
      <w:r>
        <w:rPr>
          <w:spacing w:val="30"/>
        </w:rPr>
        <w:t> </w:t>
      </w:r>
      <w:r>
        <w:rPr/>
        <w:t>which</w:t>
      </w:r>
      <w:r>
        <w:rPr>
          <w:spacing w:val="30"/>
        </w:rPr>
        <w:t> </w:t>
      </w:r>
      <w:r>
        <w:rPr>
          <w:spacing w:val="-2"/>
        </w:rPr>
        <w:t>isstatistically</w:t>
      </w:r>
    </w:p>
    <w:p>
      <w:pPr>
        <w:spacing w:after="0" w:line="480" w:lineRule="auto"/>
        <w:jc w:val="both"/>
        <w:sectPr>
          <w:pgSz w:w="12240" w:h="15840"/>
          <w:pgMar w:header="0" w:footer="1012" w:top="1380" w:bottom="1200" w:left="1220" w:right="700"/>
        </w:sectPr>
      </w:pPr>
    </w:p>
    <w:p>
      <w:pPr>
        <w:pStyle w:val="BodyText"/>
        <w:spacing w:line="480" w:lineRule="auto" w:before="60"/>
        <w:ind w:right="741"/>
        <w:jc w:val="both"/>
      </w:pPr>
      <w:r>
        <w:rPr/>
        <w:t>significant. This implies thatexchange rate had asignificant negative effect oneconomic growth in Nigeria.</w:t>
      </w:r>
    </w:p>
    <w:p>
      <w:pPr>
        <w:pStyle w:val="BodyText"/>
        <w:spacing w:line="480" w:lineRule="auto" w:before="160"/>
        <w:ind w:right="734"/>
        <w:jc w:val="both"/>
      </w:pPr>
      <w:r>
        <w:rPr/>
        <mc:AlternateContent>
          <mc:Choice Requires="wps">
            <w:drawing>
              <wp:anchor distT="0" distB="0" distL="0" distR="0" allowOverlap="1" layoutInCell="1" locked="0" behindDoc="1" simplePos="0" relativeHeight="478098944">
                <wp:simplePos x="0" y="0"/>
                <wp:positionH relativeFrom="page">
                  <wp:posOffset>950112</wp:posOffset>
                </wp:positionH>
                <wp:positionV relativeFrom="paragraph">
                  <wp:posOffset>552765</wp:posOffset>
                </wp:positionV>
                <wp:extent cx="5505450" cy="5661025"/>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17536" id="docshape193"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b/>
        </w:rPr>
        <w:t>Credit to Private Sector as a Percentage of Gross Domestic</w:t>
      </w:r>
      <w:r>
        <w:rPr>
          <w:b/>
          <w:spacing w:val="-2"/>
        </w:rPr>
        <w:t> </w:t>
      </w:r>
      <w:r>
        <w:rPr>
          <w:b/>
        </w:rPr>
        <w:t>Product</w:t>
      </w:r>
      <w:r>
        <w:rPr>
          <w:b/>
          <w:spacing w:val="-2"/>
        </w:rPr>
        <w:t> </w:t>
      </w:r>
      <w:r>
        <w:rPr>
          <w:b/>
        </w:rPr>
        <w:t>(CPS/GDP) </w:t>
      </w:r>
      <w:r>
        <w:rPr/>
        <w:t>Table</w:t>
      </w:r>
      <w:r>
        <w:rPr>
          <w:spacing w:val="-1"/>
        </w:rPr>
        <w:t> </w:t>
      </w:r>
      <w:r>
        <w:rPr/>
        <w:t>5 showed that thecoefficient of credit toprivate sector as apercentage of grossdomestic</w:t>
      </w:r>
      <w:r>
        <w:rPr>
          <w:spacing w:val="80"/>
        </w:rPr>
        <w:t> </w:t>
      </w:r>
      <w:r>
        <w:rPr/>
        <w:t>products (a proxy for financialdeepening) is 547.9377 with a t-statistics valueof 547.9377</w:t>
      </w:r>
      <w:r>
        <w:rPr>
          <w:spacing w:val="40"/>
        </w:rPr>
        <w:t> </w:t>
      </w:r>
      <w:r>
        <w:rPr/>
        <w:t>and aprobability value of 0.014which is statistically significant. This implies thatcredit to privatesector as a percentage of gross domesticproducts had a significant positiveeffect on economic growthin Nigeria within theperiod under review.</w:t>
      </w:r>
    </w:p>
    <w:p>
      <w:pPr>
        <w:pStyle w:val="BodyText"/>
        <w:spacing w:line="480" w:lineRule="auto" w:before="160"/>
        <w:ind w:right="735"/>
        <w:jc w:val="both"/>
      </w:pPr>
      <w:r>
        <w:rPr>
          <w:b/>
        </w:rPr>
        <w:t>Trade Openness (TOP)</w:t>
      </w:r>
      <w:r>
        <w:rPr/>
        <w:t>: The result showed that theestimation coefficient of tradeopenness is 140.6051 with a t-statisticsvalue of 2.777748 and a probabilityvalue of 0.0100 which is statisticallysignificant. This implies thattrade openness had a significantpositive effect on economic growth inNigeria</w:t>
      </w:r>
    </w:p>
    <w:p>
      <w:pPr>
        <w:pStyle w:val="BodyText"/>
        <w:spacing w:line="480" w:lineRule="auto" w:before="161"/>
        <w:ind w:right="737"/>
        <w:jc w:val="both"/>
      </w:pPr>
      <w:r>
        <w:rPr>
          <w:b/>
        </w:rPr>
        <w:t>Coefficient of Determination (R</w:t>
      </w:r>
      <w:r>
        <w:rPr>
          <w:b/>
          <w:vertAlign w:val="superscript"/>
        </w:rPr>
        <w:t>2</w:t>
      </w:r>
      <w:r>
        <w:rPr>
          <w:b/>
          <w:vertAlign w:val="baseline"/>
        </w:rPr>
        <w:t>)/Adjusted R</w:t>
      </w:r>
      <w:r>
        <w:rPr>
          <w:b/>
          <w:vertAlign w:val="superscript"/>
        </w:rPr>
        <w:t>2</w:t>
      </w:r>
      <w:r>
        <w:rPr>
          <w:vertAlign w:val="baseline"/>
        </w:rPr>
        <w:t>: From table 5, thecoefficient of determination (R</w:t>
      </w:r>
      <w:r>
        <w:rPr>
          <w:vertAlign w:val="superscript"/>
        </w:rPr>
        <w:t>2</w:t>
      </w:r>
      <w:r>
        <w:rPr>
          <w:vertAlign w:val="baseline"/>
        </w:rPr>
        <w:t>) is 0.684646 withadjusted R</w:t>
      </w:r>
      <w:r>
        <w:rPr>
          <w:vertAlign w:val="superscript"/>
        </w:rPr>
        <w:t>2</w:t>
      </w:r>
      <w:r>
        <w:rPr>
          <w:vertAlign w:val="baseline"/>
        </w:rPr>
        <w:t> value of 0.679922, which showsthat the explanatorypower of the variables ishigh. This implies thatonly 68.5% of thevariations in economicgrowth in Nigeria are explained by thevariations in foreign directinvestment, foreign portfolio investmenttrade openness, remittances, officialdevelopment assistance, credit to private sector as apercentage of GDP, interest rateand exchange rate.</w:t>
      </w:r>
    </w:p>
    <w:p>
      <w:pPr>
        <w:pStyle w:val="BodyText"/>
        <w:spacing w:line="480" w:lineRule="auto" w:before="161"/>
        <w:ind w:right="734"/>
        <w:jc w:val="both"/>
      </w:pPr>
      <w:r>
        <w:rPr>
          <w:b/>
        </w:rPr>
        <w:t>F-statistics</w:t>
      </w:r>
      <w:r>
        <w:rPr/>
        <w:t>: The F-test was applied tocheck the overall significanceof the model. The F- statistic is instrumental inverifying the overall significanceof an estimated model. Table 5 shows</w:t>
      </w:r>
      <w:r>
        <w:rPr>
          <w:spacing w:val="33"/>
        </w:rPr>
        <w:t> </w:t>
      </w:r>
      <w:r>
        <w:rPr/>
        <w:t>f-statistics</w:t>
      </w:r>
      <w:r>
        <w:rPr>
          <w:spacing w:val="34"/>
        </w:rPr>
        <w:t> </w:t>
      </w:r>
      <w:r>
        <w:rPr/>
        <w:t>valueof</w:t>
      </w:r>
      <w:r>
        <w:rPr>
          <w:spacing w:val="35"/>
        </w:rPr>
        <w:t> </w:t>
      </w:r>
      <w:r>
        <w:rPr/>
        <w:t>208.4198</w:t>
      </w:r>
      <w:r>
        <w:rPr>
          <w:spacing w:val="33"/>
        </w:rPr>
        <w:t> </w:t>
      </w:r>
      <w:r>
        <w:rPr/>
        <w:t>with</w:t>
      </w:r>
      <w:r>
        <w:rPr>
          <w:spacing w:val="33"/>
        </w:rPr>
        <w:t> </w:t>
      </w:r>
      <w:r>
        <w:rPr/>
        <w:t>its</w:t>
      </w:r>
      <w:r>
        <w:rPr>
          <w:spacing w:val="35"/>
        </w:rPr>
        <w:t> </w:t>
      </w:r>
      <w:r>
        <w:rPr/>
        <w:t>probabilityvalue</w:t>
      </w:r>
      <w:r>
        <w:rPr>
          <w:spacing w:val="33"/>
        </w:rPr>
        <w:t> </w:t>
      </w:r>
      <w:r>
        <w:rPr/>
        <w:t>of</w:t>
      </w:r>
      <w:r>
        <w:rPr>
          <w:spacing w:val="34"/>
        </w:rPr>
        <w:t> </w:t>
      </w:r>
      <w:r>
        <w:rPr/>
        <w:t>0.000000</w:t>
      </w:r>
      <w:r>
        <w:rPr>
          <w:spacing w:val="34"/>
        </w:rPr>
        <w:t> </w:t>
      </w:r>
      <w:r>
        <w:rPr/>
        <w:t>which</w:t>
      </w:r>
      <w:r>
        <w:rPr>
          <w:spacing w:val="33"/>
        </w:rPr>
        <w:t> </w:t>
      </w:r>
      <w:r>
        <w:rPr/>
        <w:t>is</w:t>
      </w:r>
      <w:r>
        <w:rPr>
          <w:spacing w:val="35"/>
        </w:rPr>
        <w:t> </w:t>
      </w:r>
      <w:r>
        <w:rPr>
          <w:spacing w:val="-2"/>
        </w:rPr>
        <w:t>highly</w:t>
      </w:r>
    </w:p>
    <w:p>
      <w:pPr>
        <w:spacing w:after="0" w:line="480" w:lineRule="auto"/>
        <w:jc w:val="both"/>
        <w:sectPr>
          <w:pgSz w:w="12240" w:h="15840"/>
          <w:pgMar w:header="0" w:footer="1012" w:top="1380" w:bottom="1200" w:left="1220" w:right="700"/>
        </w:sectPr>
      </w:pPr>
    </w:p>
    <w:p>
      <w:pPr>
        <w:pStyle w:val="BodyText"/>
        <w:spacing w:line="480" w:lineRule="auto" w:before="60"/>
        <w:ind w:right="737"/>
        <w:jc w:val="both"/>
      </w:pPr>
      <w:r>
        <w:rPr/>
        <mc:AlternateContent>
          <mc:Choice Requires="wps">
            <w:drawing>
              <wp:anchor distT="0" distB="0" distL="0" distR="0" allowOverlap="1" layoutInCell="1" locked="0" behindDoc="1" simplePos="0" relativeHeight="478099456">
                <wp:simplePos x="0" y="0"/>
                <wp:positionH relativeFrom="page">
                  <wp:posOffset>950112</wp:posOffset>
                </wp:positionH>
                <wp:positionV relativeFrom="paragraph">
                  <wp:posOffset>1321053</wp:posOffset>
                </wp:positionV>
                <wp:extent cx="5505450" cy="5661025"/>
                <wp:effectExtent l="0" t="0" r="0" b="0"/>
                <wp:wrapNone/>
                <wp:docPr id="194" name="Graphic 194"/>
                <wp:cNvGraphicFramePr>
                  <a:graphicFrameLocks/>
                </wp:cNvGraphicFramePr>
                <a:graphic>
                  <a:graphicData uri="http://schemas.microsoft.com/office/word/2010/wordprocessingShape">
                    <wps:wsp>
                      <wps:cNvPr id="194" name="Graphic 19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17024" id="docshape194"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significant. This indicatesthat foreign direct investmentforeign portfolio investment, trade openness, remittancesofficial developmentassistance, credit to privatesector as a percentage of GDP, interest rate andexchange rate have no joint significant effecton economic growth in </w:t>
      </w:r>
      <w:r>
        <w:rPr>
          <w:spacing w:val="-2"/>
        </w:rPr>
        <w:t>Nigeria.</w:t>
      </w:r>
    </w:p>
    <w:p>
      <w:pPr>
        <w:pStyle w:val="BodyText"/>
        <w:spacing w:line="480" w:lineRule="auto" w:before="160"/>
        <w:ind w:right="733"/>
        <w:jc w:val="both"/>
      </w:pPr>
      <w:r>
        <w:rPr>
          <w:b/>
        </w:rPr>
        <w:t>Durbin-Watson (DW) Statistics</w:t>
      </w:r>
      <w:r>
        <w:rPr/>
        <w:t>: From the regressionresult in Table 5, the DurbinWatson D-Statistic obtained was 1.892712 which can beapproximated 2. This means thatthere is no autocorrelationin the model. Hence, themodel can be used for realisticforecasts.</w:t>
      </w:r>
    </w:p>
    <w:p>
      <w:pPr>
        <w:pStyle w:val="BodyText"/>
        <w:spacing w:line="480" w:lineRule="auto" w:before="162"/>
        <w:ind w:right="733"/>
        <w:jc w:val="both"/>
      </w:pPr>
      <w:r>
        <w:rPr>
          <w:b/>
        </w:rPr>
        <w:t>Error Correction Mechanism</w:t>
      </w:r>
      <w:r>
        <w:rPr/>
        <w:t>: Fromthe result obtained intable 5, ECT (-1) has negative coefficient</w:t>
      </w:r>
      <w:r>
        <w:rPr>
          <w:spacing w:val="-16"/>
        </w:rPr>
        <w:t> </w:t>
      </w:r>
      <w:r>
        <w:rPr/>
        <w:t>value</w:t>
      </w:r>
      <w:r>
        <w:rPr>
          <w:spacing w:val="-16"/>
        </w:rPr>
        <w:t> </w:t>
      </w:r>
      <w:r>
        <w:rPr/>
        <w:t>of</w:t>
      </w:r>
      <w:r>
        <w:rPr>
          <w:spacing w:val="-15"/>
        </w:rPr>
        <w:t> </w:t>
      </w:r>
      <w:r>
        <w:rPr/>
        <w:t>0.468294</w:t>
      </w:r>
      <w:r>
        <w:rPr>
          <w:spacing w:val="-13"/>
        </w:rPr>
        <w:t> </w:t>
      </w:r>
      <w:r>
        <w:rPr/>
        <w:t>with</w:t>
      </w:r>
      <w:r>
        <w:rPr>
          <w:spacing w:val="-14"/>
        </w:rPr>
        <w:t> </w:t>
      </w:r>
      <w:r>
        <w:rPr/>
        <w:t>aprobability</w:t>
      </w:r>
      <w:r>
        <w:rPr>
          <w:spacing w:val="-15"/>
        </w:rPr>
        <w:t> </w:t>
      </w:r>
      <w:r>
        <w:rPr/>
        <w:t>value</w:t>
      </w:r>
      <w:r>
        <w:rPr>
          <w:spacing w:val="-16"/>
        </w:rPr>
        <w:t> </w:t>
      </w:r>
      <w:r>
        <w:rPr/>
        <w:t>of</w:t>
      </w:r>
      <w:r>
        <w:rPr>
          <w:spacing w:val="-15"/>
        </w:rPr>
        <w:t> </w:t>
      </w:r>
      <w:r>
        <w:rPr/>
        <w:t>0.0455.</w:t>
      </w:r>
      <w:r>
        <w:rPr>
          <w:spacing w:val="-16"/>
        </w:rPr>
        <w:t> </w:t>
      </w:r>
      <w:r>
        <w:rPr/>
        <w:t>This</w:t>
      </w:r>
      <w:r>
        <w:rPr>
          <w:spacing w:val="-10"/>
        </w:rPr>
        <w:t> </w:t>
      </w:r>
      <w:r>
        <w:rPr/>
        <w:t>suggests</w:t>
      </w:r>
      <w:r>
        <w:rPr>
          <w:spacing w:val="-10"/>
        </w:rPr>
        <w:t> </w:t>
      </w:r>
      <w:r>
        <w:rPr/>
        <w:t>that</w:t>
      </w:r>
      <w:r>
        <w:rPr>
          <w:spacing w:val="-11"/>
        </w:rPr>
        <w:t> </w:t>
      </w:r>
      <w:r>
        <w:rPr/>
        <w:t>theprevious years would be corrected in thefollowing year at anadjustment rate of 10%. Hence,there is convergence of the studyvariables (real gross domesticproduct, foreign directinvestment, foreign portfolio investmenttrade openness, remittancesofficial development assistance,</w:t>
      </w:r>
      <w:r>
        <w:rPr>
          <w:spacing w:val="40"/>
        </w:rPr>
        <w:t> </w:t>
      </w:r>
      <w:r>
        <w:rPr/>
        <w:t>credit to private sectoras a percentage of GDP, interest rateand exchange rate) to longrun relationship equilibriumrelationship. On this premise, we conclude that the coefficients are significantly differentlyfrom zero signposting that financialintegration on thehas high statistical significant effect oneconomic growth of Nigeriaon the short run.</w:t>
      </w:r>
    </w:p>
    <w:p>
      <w:pPr>
        <w:pStyle w:val="BodyText"/>
        <w:ind w:left="0"/>
      </w:pPr>
    </w:p>
    <w:p>
      <w:pPr>
        <w:pStyle w:val="BodyText"/>
        <w:spacing w:before="33"/>
        <w:ind w:left="0"/>
      </w:pPr>
    </w:p>
    <w:p>
      <w:pPr>
        <w:pStyle w:val="Heading2"/>
        <w:numPr>
          <w:ilvl w:val="1"/>
          <w:numId w:val="24"/>
        </w:numPr>
        <w:tabs>
          <w:tab w:pos="593" w:val="left" w:leader="none"/>
        </w:tabs>
        <w:spacing w:line="240" w:lineRule="auto" w:before="0" w:after="0"/>
        <w:ind w:left="593" w:right="0" w:hanging="373"/>
        <w:jc w:val="left"/>
      </w:pPr>
      <w:bookmarkStart w:name="_TOC_250018" w:id="57"/>
      <w:r>
        <w:rPr/>
        <w:t>Diagnostic</w:t>
      </w:r>
      <w:r>
        <w:rPr>
          <w:spacing w:val="-12"/>
        </w:rPr>
        <w:t> </w:t>
      </w:r>
      <w:bookmarkEnd w:id="57"/>
      <w:r>
        <w:rPr>
          <w:spacing w:val="-2"/>
        </w:rPr>
        <w:t>Statistics</w:t>
      </w:r>
    </w:p>
    <w:p>
      <w:pPr>
        <w:pStyle w:val="BodyText"/>
        <w:spacing w:before="159"/>
        <w:ind w:left="0"/>
        <w:rPr>
          <w:b/>
        </w:rPr>
      </w:pPr>
    </w:p>
    <w:p>
      <w:pPr>
        <w:pStyle w:val="BodyText"/>
        <w:spacing w:line="480" w:lineRule="auto"/>
        <w:ind w:right="736"/>
        <w:jc w:val="both"/>
      </w:pPr>
      <w:r>
        <w:rPr/>
        <w:t>The reliability of the econometric modelsof estimation and data analysiswere determined using Serial Correlation and Heteroskedascity and the resultswere presented below.</w:t>
      </w:r>
    </w:p>
    <w:p>
      <w:pPr>
        <w:spacing w:after="0" w:line="480" w:lineRule="auto"/>
        <w:jc w:val="both"/>
        <w:sectPr>
          <w:pgSz w:w="12240" w:h="15840"/>
          <w:pgMar w:header="0" w:footer="1012" w:top="1380" w:bottom="1200" w:left="1220" w:right="700"/>
        </w:sectPr>
      </w:pPr>
    </w:p>
    <w:p>
      <w:pPr>
        <w:pStyle w:val="Heading2"/>
        <w:numPr>
          <w:ilvl w:val="2"/>
          <w:numId w:val="24"/>
        </w:numPr>
        <w:tabs>
          <w:tab w:pos="780" w:val="left" w:leader="none"/>
        </w:tabs>
        <w:spacing w:line="240" w:lineRule="auto" w:before="60" w:after="0"/>
        <w:ind w:left="780" w:right="0" w:hanging="560"/>
        <w:jc w:val="left"/>
      </w:pPr>
      <w:bookmarkStart w:name="_TOC_250017" w:id="58"/>
      <w:r>
        <w:rPr/>
        <w:t>Serial</w:t>
      </w:r>
      <w:r>
        <w:rPr>
          <w:spacing w:val="-10"/>
        </w:rPr>
        <w:t> </w:t>
      </w:r>
      <w:r>
        <w:rPr/>
        <w:t>Correlation</w:t>
      </w:r>
      <w:r>
        <w:rPr>
          <w:spacing w:val="-9"/>
        </w:rPr>
        <w:t> </w:t>
      </w:r>
      <w:bookmarkEnd w:id="58"/>
      <w:r>
        <w:rPr>
          <w:spacing w:val="-4"/>
        </w:rPr>
        <w:t>Test</w:t>
      </w:r>
    </w:p>
    <w:p>
      <w:pPr>
        <w:pStyle w:val="BodyText"/>
        <w:spacing w:before="161"/>
        <w:ind w:left="0"/>
        <w:rPr>
          <w:b/>
        </w:rPr>
      </w:pPr>
    </w:p>
    <w:p>
      <w:pPr>
        <w:pStyle w:val="BodyText"/>
        <w:spacing w:line="480" w:lineRule="auto"/>
        <w:ind w:right="734"/>
        <w:jc w:val="both"/>
      </w:pPr>
      <w:r>
        <w:rPr/>
        <mc:AlternateContent>
          <mc:Choice Requires="wps">
            <w:drawing>
              <wp:anchor distT="0" distB="0" distL="0" distR="0" allowOverlap="1" layoutInCell="1" locked="0" behindDoc="1" simplePos="0" relativeHeight="478099968">
                <wp:simplePos x="0" y="0"/>
                <wp:positionH relativeFrom="page">
                  <wp:posOffset>950112</wp:posOffset>
                </wp:positionH>
                <wp:positionV relativeFrom="paragraph">
                  <wp:posOffset>815624</wp:posOffset>
                </wp:positionV>
                <wp:extent cx="5505450" cy="5661025"/>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64.222412pt;width:433.5pt;height:445.75pt;mso-position-horizontal-relative:page;mso-position-vertical-relative:paragraph;z-index:-25216512" id="docshape195" coordorigin="1496,1284" coordsize="8670,8915" path="m2562,10004l1691,9133,1496,9328,2367,10199,2562,10004xm3154,9328l3153,9289,3148,9246,3139,9202,3125,9158,3106,9114,3083,9071,3055,9029,3025,8988,2991,8948,2954,8909,2435,8389,2241,8583,2772,9115,2805,9151,2829,9187,2846,9221,2856,9255,2858,9288,2851,9319,2837,9347,2816,9373,2790,9395,2761,9409,2730,9415,2697,9413,2663,9403,2628,9387,2593,9362,2557,9330,2026,8799,1831,8993,2351,9512,2385,9544,2424,9577,2468,9609,2516,9642,2548,9660,2583,9676,2620,9689,2658,9700,2697,9708,2733,9712,2767,9712,2800,9709,2831,9702,2863,9690,2895,9674,2926,9653,2957,9630,2985,9607,3011,9584,3035,9561,3071,9521,3102,9480,3125,9439,3142,9397,3150,9364,3154,9328xm3882,8545l3876,8481,3860,8415,3834,8348,3806,8294,3771,8238,3728,8180,3678,8121,3661,8103,3621,8061,3597,8039,3597,8533,3592,8573,3577,8610,3551,8643,3518,8668,3481,8683,3441,8688,3396,8681,3347,8663,3294,8632,3235,8587,3171,8527,3112,8464,3066,8404,3035,8350,3016,8301,3010,8257,3014,8216,3029,8180,3053,8149,3086,8123,3122,8108,3163,8103,3207,8108,3255,8125,3307,8155,3363,8197,3423,8252,3488,8322,3538,8385,3572,8441,3591,8489,3597,8533,3597,8039,3551,7996,3482,7941,3413,7896,3344,7860,3276,7835,3209,7819,3130,7813,3055,7823,2983,7849,2914,7889,2850,7945,2796,8008,2756,8076,2732,8148,2723,8223,2729,8303,2746,8371,2772,8440,2808,8510,2854,8580,2910,8650,2976,8721,3036,8778,3096,8828,3156,8870,3215,8904,3273,8932,3344,8956,3411,8970,3475,8973,3535,8967,3593,8951,3649,8924,3705,8886,3758,8838,3805,8784,3841,8728,3858,8688,3866,8669,3879,8608,3882,8545xm4153,7965l3966,7778,3712,8032,3899,8219,4153,7965xm4664,7903l3793,7031,3598,7226,4469,8098,4664,7903xm4998,7568l4675,7245,4781,7138,4832,7079,4837,7069,4866,7017,4883,6954,4882,6889,4866,6823,4843,6773,4836,6758,4792,6692,4733,6626,4670,6569,4607,6525,4598,6521,4598,6914,4597,6940,4587,6966,4570,6993,4546,7021,4498,7069,4304,6874,4359,6819,4386,6795,4412,6780,4438,6773,4462,6773,4486,6780,4509,6790,4531,6804,4552,6823,4570,6844,4584,6867,4593,6890,4598,6914,4598,6521,4544,6496,4483,6480,4423,6479,4365,6494,4309,6524,4255,6569,3931,6893,4803,7764,4998,7568xm5788,6779l5132,6123,5330,5924,5115,5709,4524,6301,4739,6516,4937,6317,5593,6973,5788,6779xm6423,6143l5767,5487,5966,5289,5751,5074,5159,5665,5374,5880,5573,5682,6229,6338,6423,6143xm7157,5270l7151,5206,7135,5140,7109,5073,7081,5019,7046,4963,7003,4906,6953,4847,6935,4828,6896,4786,6872,4764,6872,5258,6867,5298,6851,5335,6825,5368,6793,5393,6756,5408,6716,5413,6671,5406,6622,5388,6569,5357,6510,5312,6446,5253,6387,5189,6341,5129,6309,5075,6291,5026,6285,4982,6289,4942,6304,4906,6328,4874,6361,4849,6397,4833,6438,4828,6482,4833,6530,4850,6582,4880,6638,4922,6698,4977,6763,5047,6813,5110,6847,5166,6866,5214,6872,5258,6872,4764,6826,4721,6756,4666,6687,4621,6619,4586,6551,4560,6483,4544,6405,4538,6329,4548,6258,4574,6189,4614,6125,4670,6071,4733,6031,4801,6007,4873,5998,4948,6004,5028,6021,5096,6047,5165,6083,5235,6129,5305,6184,5375,6250,5446,6311,5503,6371,5553,6431,5595,6490,5630,6548,5657,6619,5681,6686,5695,6750,5698,6810,5692,6868,5676,6924,5649,6979,5611,7033,5563,7080,5509,7116,5453,7133,5413,7141,5394,7154,5333,7157,5270xm8170,4275l8165,4226,8153,4175,8134,4122,8109,4068,8079,4012,8041,3955,7980,3980,7799,4054,7831,4101,7855,4144,7873,4184,7884,4221,7887,4257,7881,4290,7866,4321,7843,4350,7812,4373,7778,4388,7740,4392,7700,4385,7653,4367,7600,4333,7538,4283,7469,4219,7417,4162,7375,4110,7344,4063,7324,4020,7311,3969,7312,3922,7325,3881,7352,3845,7367,3832,7384,3822,7402,3814,7422,3809,7442,3807,7464,3807,7486,3811,7509,3817,7524,3822,7542,3831,7563,3842,7586,3856,7705,3631,7622,3585,7543,3553,7469,3534,7400,3528,7333,3535,7269,3558,7206,3596,7146,3648,7092,3711,7054,3778,7030,3848,7021,3922,7027,3999,7044,4066,7070,4134,7106,4203,7153,4273,7209,4344,7276,4415,7341,4476,7404,4528,7467,4572,7529,4607,7590,4635,7662,4658,7730,4671,7791,4674,7847,4667,7900,4650,7952,4624,8004,4587,8056,4540,8094,4498,8125,4455,8147,4411,8161,4367,8169,4322,8170,4275xm8868,3559l8861,3495,8846,3429,8820,3363,8792,3308,8757,3252,8714,3195,8664,3136,8646,3117,8607,3075,8583,3053,8583,3547,8578,3587,8562,3624,8536,3657,8504,3682,8467,3698,8427,3702,8382,3696,8333,3678,8279,3646,8221,3601,8157,3542,8098,3478,8052,3419,8020,3365,8002,3315,7996,3271,8000,3231,8014,3195,8039,3163,8071,3138,8108,3122,8149,3117,8193,3122,8241,3139,8293,3169,8349,3211,8409,3266,8474,3336,8524,3399,8558,3455,8577,3504,8583,3547,8583,3053,8537,3010,8467,2955,8398,2910,8330,2875,8262,2849,8194,2833,8116,2828,8040,2838,7968,2863,7900,2904,7835,2959,7781,3023,7742,3090,7718,3162,7709,3238,7715,3317,7731,3386,7758,3455,7794,3524,7839,3594,7895,3664,7961,3735,8022,3792,8082,3842,8142,3884,8201,3919,8259,3946,8329,3970,8397,3984,8461,3988,8521,3981,8579,3965,8635,3938,8690,3900,8744,3852,8791,3798,8827,3742,8844,3702,8852,3683,8865,3622,8868,3559xm9348,3218l9025,2895,9132,2788,9182,2728,9188,2718,9216,2667,9233,2603,9233,2539,9217,2473,9194,2422,9187,2407,9142,2341,9084,2275,9020,2218,8957,2175,8948,2171,8948,2564,8947,2590,8938,2616,8921,2643,8896,2671,8849,2718,8654,2524,8710,2469,8737,2445,8763,2430,8788,2422,8812,2423,8836,2429,8859,2440,8881,2454,8902,2473,8920,2494,8934,2517,8943,2540,8948,2564,8948,2171,8895,2146,8833,2130,8773,2129,8715,2144,8659,2174,8605,2219,8282,2542,9153,3414,9348,3218xm10166,2400l9801,2036,9748,1886,9593,1434,9540,1284,9325,1500,9353,1570,9436,1781,9492,1921,9422,1893,9211,1810,9071,1754,8854,1970,9005,2023,9456,2178,9606,2231,9971,2595,10166,2400xe" filled="true" fillcolor="#c0c0c0" stroked="false">
                <v:path arrowok="t"/>
                <v:fill opacity="32896f" type="solid"/>
                <w10:wrap type="none"/>
              </v:shape>
            </w:pict>
          </mc:Fallback>
        </mc:AlternateContent>
      </w:r>
      <w:r>
        <w:rPr/>
        <w:t>Serial correlation investigates whetherthere is a correlation between onetime period and another over time in thetime series used for theanalyses. The presenceof correlation of time periods will lead toserial correlation which will have hugeeffect on the reliabilityof model estimation. It may lead to highsignificant value, inefficient estimationexaggerated goodness of fit and falsecoefficient of regressionsign (positive or negative). The presenceof serial correlation is testedusing Breusch-GodfreySerial Correlation LM Test. The nullhypothesis is no presenceof serial correlation.</w:t>
      </w:r>
    </w:p>
    <w:p>
      <w:pPr>
        <w:spacing w:before="159"/>
        <w:ind w:left="220" w:right="0" w:firstLine="0"/>
        <w:jc w:val="both"/>
        <w:rPr>
          <w:sz w:val="25"/>
        </w:rPr>
      </w:pPr>
      <w:r>
        <w:rPr>
          <w:b/>
          <w:sz w:val="25"/>
        </w:rPr>
        <w:t>The</w:t>
      </w:r>
      <w:r>
        <w:rPr>
          <w:b/>
          <w:spacing w:val="-7"/>
          <w:sz w:val="25"/>
        </w:rPr>
        <w:t> </w:t>
      </w:r>
      <w:r>
        <w:rPr>
          <w:b/>
          <w:sz w:val="25"/>
        </w:rPr>
        <w:t>Decision</w:t>
      </w:r>
      <w:r>
        <w:rPr>
          <w:b/>
          <w:spacing w:val="-6"/>
          <w:sz w:val="25"/>
        </w:rPr>
        <w:t> </w:t>
      </w:r>
      <w:r>
        <w:rPr>
          <w:b/>
          <w:sz w:val="25"/>
        </w:rPr>
        <w:t>Rule:</w:t>
      </w:r>
      <w:r>
        <w:rPr>
          <w:b/>
          <w:spacing w:val="-4"/>
          <w:sz w:val="25"/>
        </w:rPr>
        <w:t> </w:t>
      </w:r>
      <w:r>
        <w:rPr>
          <w:sz w:val="25"/>
        </w:rPr>
        <w:t>The</w:t>
      </w:r>
      <w:r>
        <w:rPr>
          <w:spacing w:val="-6"/>
          <w:sz w:val="25"/>
        </w:rPr>
        <w:t> </w:t>
      </w:r>
      <w:r>
        <w:rPr>
          <w:sz w:val="25"/>
        </w:rPr>
        <w:t>decisionrule</w:t>
      </w:r>
      <w:r>
        <w:rPr>
          <w:spacing w:val="-6"/>
          <w:sz w:val="25"/>
        </w:rPr>
        <w:t> </w:t>
      </w:r>
      <w:r>
        <w:rPr>
          <w:sz w:val="25"/>
        </w:rPr>
        <w:t>is</w:t>
      </w:r>
      <w:r>
        <w:rPr>
          <w:spacing w:val="-5"/>
          <w:sz w:val="25"/>
        </w:rPr>
        <w:t> </w:t>
      </w:r>
      <w:r>
        <w:rPr>
          <w:sz w:val="25"/>
        </w:rPr>
        <w:t>to</w:t>
      </w:r>
      <w:r>
        <w:rPr>
          <w:spacing w:val="-6"/>
          <w:sz w:val="25"/>
        </w:rPr>
        <w:t> </w:t>
      </w:r>
      <w:r>
        <w:rPr>
          <w:sz w:val="25"/>
        </w:rPr>
        <w:t>reject</w:t>
      </w:r>
      <w:r>
        <w:rPr>
          <w:spacing w:val="-6"/>
          <w:sz w:val="25"/>
        </w:rPr>
        <w:t> </w:t>
      </w:r>
      <w:r>
        <w:rPr>
          <w:sz w:val="25"/>
        </w:rPr>
        <w:t>thenull</w:t>
      </w:r>
      <w:r>
        <w:rPr>
          <w:spacing w:val="-6"/>
          <w:sz w:val="25"/>
        </w:rPr>
        <w:t> </w:t>
      </w:r>
      <w:r>
        <w:rPr>
          <w:sz w:val="25"/>
        </w:rPr>
        <w:t>hypothesis</w:t>
      </w:r>
      <w:r>
        <w:rPr>
          <w:spacing w:val="-4"/>
          <w:sz w:val="25"/>
        </w:rPr>
        <w:t> </w:t>
      </w:r>
      <w:r>
        <w:rPr>
          <w:sz w:val="25"/>
        </w:rPr>
        <w:t>if</w:t>
      </w:r>
      <w:r>
        <w:rPr>
          <w:spacing w:val="-5"/>
          <w:sz w:val="25"/>
        </w:rPr>
        <w:t> </w:t>
      </w:r>
      <w:r>
        <w:rPr>
          <w:sz w:val="25"/>
        </w:rPr>
        <w:t>the</w:t>
      </w:r>
      <w:r>
        <w:rPr>
          <w:spacing w:val="-6"/>
          <w:sz w:val="25"/>
        </w:rPr>
        <w:t> </w:t>
      </w:r>
      <w:r>
        <w:rPr>
          <w:sz w:val="25"/>
        </w:rPr>
        <w:t>p.</w:t>
      </w:r>
      <w:r>
        <w:rPr>
          <w:spacing w:val="-6"/>
          <w:sz w:val="25"/>
        </w:rPr>
        <w:t> </w:t>
      </w:r>
      <w:r>
        <w:rPr>
          <w:sz w:val="25"/>
        </w:rPr>
        <w:t>value</w:t>
      </w:r>
      <w:r>
        <w:rPr>
          <w:spacing w:val="-6"/>
          <w:sz w:val="25"/>
        </w:rPr>
        <w:t> </w:t>
      </w:r>
      <w:r>
        <w:rPr>
          <w:spacing w:val="-2"/>
          <w:sz w:val="25"/>
        </w:rPr>
        <w:t>isless</w:t>
      </w:r>
    </w:p>
    <w:p>
      <w:pPr>
        <w:pStyle w:val="BodyText"/>
        <w:spacing w:before="160"/>
        <w:ind w:left="0"/>
      </w:pPr>
    </w:p>
    <w:p>
      <w:pPr>
        <w:pStyle w:val="Heading2"/>
        <w:ind w:left="220" w:firstLine="0"/>
        <w:jc w:val="both"/>
      </w:pPr>
      <w:r>
        <w:rPr/>
        <w:t>Table</w:t>
      </w:r>
      <w:r>
        <w:rPr>
          <w:spacing w:val="-7"/>
        </w:rPr>
        <w:t> </w:t>
      </w:r>
      <w:r>
        <w:rPr/>
        <w:t>5:</w:t>
      </w:r>
      <w:r>
        <w:rPr>
          <w:spacing w:val="-5"/>
        </w:rPr>
        <w:t> </w:t>
      </w:r>
      <w:r>
        <w:rPr/>
        <w:t>Serial</w:t>
      </w:r>
      <w:r>
        <w:rPr>
          <w:spacing w:val="-6"/>
        </w:rPr>
        <w:t> </w:t>
      </w:r>
      <w:r>
        <w:rPr/>
        <w:t>Correlation</w:t>
      </w:r>
      <w:r>
        <w:rPr>
          <w:spacing w:val="-6"/>
        </w:rPr>
        <w:t> </w:t>
      </w:r>
      <w:r>
        <w:rPr/>
        <w:t>Test</w:t>
      </w:r>
      <w:r>
        <w:rPr>
          <w:spacing w:val="-3"/>
        </w:rPr>
        <w:t> </w:t>
      </w:r>
      <w:r>
        <w:rPr/>
        <w:t>for</w:t>
      </w:r>
      <w:r>
        <w:rPr>
          <w:spacing w:val="-6"/>
        </w:rPr>
        <w:t> </w:t>
      </w:r>
      <w:r>
        <w:rPr/>
        <w:t>the</w:t>
      </w:r>
      <w:r>
        <w:rPr>
          <w:spacing w:val="-7"/>
        </w:rPr>
        <w:t> </w:t>
      </w:r>
      <w:r>
        <w:rPr>
          <w:spacing w:val="-2"/>
        </w:rPr>
        <w:t>Model</w:t>
      </w:r>
    </w:p>
    <w:p>
      <w:pPr>
        <w:pStyle w:val="BodyText"/>
        <w:spacing w:before="74"/>
        <w:ind w:left="0"/>
        <w:rPr>
          <w:b/>
          <w:sz w:val="20"/>
        </w:rPr>
      </w:pPr>
    </w:p>
    <w:tbl>
      <w:tblPr>
        <w:tblW w:w="0" w:type="auto"/>
        <w:jc w:val="left"/>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9"/>
        <w:gridCol w:w="1416"/>
        <w:gridCol w:w="2237"/>
        <w:gridCol w:w="1078"/>
      </w:tblGrid>
      <w:tr>
        <w:trPr>
          <w:trHeight w:val="291" w:hRule="atLeast"/>
        </w:trPr>
        <w:tc>
          <w:tcPr>
            <w:tcW w:w="6530" w:type="dxa"/>
            <w:gridSpan w:val="4"/>
            <w:tcBorders>
              <w:bottom w:val="double" w:sz="6" w:space="0" w:color="000000"/>
            </w:tcBorders>
          </w:tcPr>
          <w:p>
            <w:pPr>
              <w:pStyle w:val="TableParagraph"/>
              <w:spacing w:line="201" w:lineRule="exact" w:before="0"/>
              <w:rPr>
                <w:sz w:val="18"/>
              </w:rPr>
            </w:pPr>
            <w:r>
              <w:rPr>
                <w:sz w:val="18"/>
              </w:rPr>
              <w:t>Breusch-Godfrey</w:t>
            </w:r>
            <w:r>
              <w:rPr>
                <w:spacing w:val="-4"/>
                <w:sz w:val="18"/>
              </w:rPr>
              <w:t> </w:t>
            </w:r>
            <w:r>
              <w:rPr>
                <w:sz w:val="18"/>
              </w:rPr>
              <w:t>Serial</w:t>
            </w:r>
            <w:r>
              <w:rPr>
                <w:spacing w:val="-7"/>
                <w:sz w:val="18"/>
              </w:rPr>
              <w:t> </w:t>
            </w:r>
            <w:r>
              <w:rPr>
                <w:sz w:val="18"/>
              </w:rPr>
              <w:t>Correlation</w:t>
            </w:r>
            <w:r>
              <w:rPr>
                <w:spacing w:val="-7"/>
                <w:sz w:val="18"/>
              </w:rPr>
              <w:t> </w:t>
            </w:r>
            <w:r>
              <w:rPr>
                <w:sz w:val="18"/>
              </w:rPr>
              <w:t>LM</w:t>
            </w:r>
            <w:r>
              <w:rPr>
                <w:spacing w:val="-6"/>
                <w:sz w:val="18"/>
              </w:rPr>
              <w:t> </w:t>
            </w:r>
            <w:r>
              <w:rPr>
                <w:spacing w:val="-4"/>
                <w:sz w:val="18"/>
              </w:rPr>
              <w:t>Test:</w:t>
            </w:r>
          </w:p>
        </w:tc>
      </w:tr>
      <w:tr>
        <w:trPr>
          <w:trHeight w:val="327" w:hRule="atLeast"/>
        </w:trPr>
        <w:tc>
          <w:tcPr>
            <w:tcW w:w="1799" w:type="dxa"/>
            <w:tcBorders>
              <w:top w:val="double" w:sz="6" w:space="0" w:color="000000"/>
            </w:tcBorders>
          </w:tcPr>
          <w:p>
            <w:pPr>
              <w:pStyle w:val="TableParagraph"/>
              <w:spacing w:line="198" w:lineRule="exact" w:before="109"/>
              <w:rPr>
                <w:sz w:val="18"/>
              </w:rPr>
            </w:pPr>
            <w:r>
              <w:rPr>
                <w:spacing w:val="-2"/>
                <w:sz w:val="18"/>
              </w:rPr>
              <w:t>F-statistic</w:t>
            </w:r>
          </w:p>
        </w:tc>
        <w:tc>
          <w:tcPr>
            <w:tcW w:w="1416" w:type="dxa"/>
            <w:tcBorders>
              <w:top w:val="double" w:sz="6" w:space="0" w:color="000000"/>
            </w:tcBorders>
          </w:tcPr>
          <w:p>
            <w:pPr>
              <w:pStyle w:val="TableParagraph"/>
              <w:spacing w:line="198" w:lineRule="exact" w:before="109"/>
              <w:ind w:right="103"/>
              <w:jc w:val="right"/>
              <w:rPr>
                <w:sz w:val="18"/>
              </w:rPr>
            </w:pPr>
            <w:r>
              <w:rPr>
                <w:spacing w:val="-2"/>
                <w:sz w:val="18"/>
              </w:rPr>
              <w:t>4.507049</w:t>
            </w:r>
          </w:p>
        </w:tc>
        <w:tc>
          <w:tcPr>
            <w:tcW w:w="2237" w:type="dxa"/>
            <w:tcBorders>
              <w:top w:val="double" w:sz="6" w:space="0" w:color="000000"/>
            </w:tcBorders>
          </w:tcPr>
          <w:p>
            <w:pPr>
              <w:pStyle w:val="TableParagraph"/>
              <w:spacing w:line="198" w:lineRule="exact" w:before="109"/>
              <w:ind w:left="107"/>
              <w:rPr>
                <w:sz w:val="18"/>
              </w:rPr>
            </w:pPr>
            <w:r>
              <w:rPr>
                <w:sz w:val="18"/>
              </w:rPr>
              <w:t>Prob.</w:t>
            </w:r>
            <w:r>
              <w:rPr>
                <w:spacing w:val="-4"/>
                <w:sz w:val="18"/>
              </w:rPr>
              <w:t> </w:t>
            </w:r>
            <w:r>
              <w:rPr>
                <w:spacing w:val="-2"/>
                <w:sz w:val="18"/>
              </w:rPr>
              <w:t>F(2,24)</w:t>
            </w:r>
          </w:p>
        </w:tc>
        <w:tc>
          <w:tcPr>
            <w:tcW w:w="1078" w:type="dxa"/>
            <w:tcBorders>
              <w:top w:val="double" w:sz="6" w:space="0" w:color="000000"/>
            </w:tcBorders>
          </w:tcPr>
          <w:p>
            <w:pPr>
              <w:pStyle w:val="TableParagraph"/>
              <w:spacing w:line="198" w:lineRule="exact" w:before="109"/>
              <w:ind w:right="4"/>
              <w:jc w:val="right"/>
              <w:rPr>
                <w:sz w:val="18"/>
              </w:rPr>
            </w:pPr>
            <w:r>
              <w:rPr>
                <w:spacing w:val="-2"/>
                <w:sz w:val="18"/>
              </w:rPr>
              <w:t>0.1218</w:t>
            </w:r>
          </w:p>
        </w:tc>
      </w:tr>
      <w:tr>
        <w:trPr>
          <w:trHeight w:val="302" w:hRule="atLeast"/>
        </w:trPr>
        <w:tc>
          <w:tcPr>
            <w:tcW w:w="1799" w:type="dxa"/>
            <w:tcBorders>
              <w:bottom w:val="double" w:sz="6" w:space="0" w:color="000000"/>
            </w:tcBorders>
          </w:tcPr>
          <w:p>
            <w:pPr>
              <w:pStyle w:val="TableParagraph"/>
              <w:spacing w:line="240" w:lineRule="auto" w:before="5"/>
              <w:rPr>
                <w:sz w:val="18"/>
              </w:rPr>
            </w:pPr>
            <w:r>
              <w:rPr>
                <w:spacing w:val="-2"/>
                <w:sz w:val="18"/>
              </w:rPr>
              <w:t>Obs*R-squared</w:t>
            </w:r>
          </w:p>
        </w:tc>
        <w:tc>
          <w:tcPr>
            <w:tcW w:w="1416" w:type="dxa"/>
            <w:tcBorders>
              <w:bottom w:val="double" w:sz="6" w:space="0" w:color="000000"/>
            </w:tcBorders>
          </w:tcPr>
          <w:p>
            <w:pPr>
              <w:pStyle w:val="TableParagraph"/>
              <w:spacing w:line="240" w:lineRule="auto" w:before="5"/>
              <w:ind w:right="103"/>
              <w:jc w:val="right"/>
              <w:rPr>
                <w:sz w:val="18"/>
              </w:rPr>
            </w:pPr>
            <w:r>
              <w:rPr>
                <w:spacing w:val="-2"/>
                <w:sz w:val="18"/>
              </w:rPr>
              <w:t>9.556325</w:t>
            </w:r>
          </w:p>
        </w:tc>
        <w:tc>
          <w:tcPr>
            <w:tcW w:w="2237" w:type="dxa"/>
            <w:tcBorders>
              <w:bottom w:val="double" w:sz="6" w:space="0" w:color="000000"/>
            </w:tcBorders>
          </w:tcPr>
          <w:p>
            <w:pPr>
              <w:pStyle w:val="TableParagraph"/>
              <w:spacing w:line="240" w:lineRule="auto" w:before="5"/>
              <w:ind w:left="107"/>
              <w:rPr>
                <w:sz w:val="18"/>
              </w:rPr>
            </w:pPr>
            <w:r>
              <w:rPr>
                <w:sz w:val="18"/>
              </w:rPr>
              <w:t>Prob.</w:t>
            </w:r>
            <w:r>
              <w:rPr>
                <w:spacing w:val="-7"/>
                <w:sz w:val="18"/>
              </w:rPr>
              <w:t> </w:t>
            </w:r>
            <w:r>
              <w:rPr>
                <w:sz w:val="18"/>
              </w:rPr>
              <w:t>Chi-</w:t>
            </w:r>
            <w:r>
              <w:rPr>
                <w:spacing w:val="-2"/>
                <w:sz w:val="18"/>
              </w:rPr>
              <w:t>Square(2)</w:t>
            </w:r>
          </w:p>
        </w:tc>
        <w:tc>
          <w:tcPr>
            <w:tcW w:w="1078" w:type="dxa"/>
            <w:tcBorders>
              <w:bottom w:val="double" w:sz="6" w:space="0" w:color="000000"/>
            </w:tcBorders>
          </w:tcPr>
          <w:p>
            <w:pPr>
              <w:pStyle w:val="TableParagraph"/>
              <w:spacing w:line="240" w:lineRule="auto" w:before="5"/>
              <w:ind w:right="6"/>
              <w:jc w:val="right"/>
              <w:rPr>
                <w:sz w:val="18"/>
              </w:rPr>
            </w:pPr>
            <w:r>
              <w:rPr>
                <w:spacing w:val="-2"/>
                <w:sz w:val="18"/>
              </w:rPr>
              <w:t>0.1084</w:t>
            </w:r>
          </w:p>
        </w:tc>
      </w:tr>
    </w:tbl>
    <w:p>
      <w:pPr>
        <w:pStyle w:val="BodyText"/>
        <w:spacing w:before="259"/>
        <w:jc w:val="both"/>
      </w:pPr>
      <w:r>
        <w:rPr/>
        <w:t>Source:</w:t>
      </w:r>
      <w:r>
        <w:rPr>
          <w:spacing w:val="-9"/>
        </w:rPr>
        <w:t> </w:t>
      </w:r>
      <w:r>
        <w:rPr/>
        <w:t>Author’s</w:t>
      </w:r>
      <w:r>
        <w:rPr>
          <w:spacing w:val="-8"/>
        </w:rPr>
        <w:t> </w:t>
      </w:r>
      <w:r>
        <w:rPr/>
        <w:t>Computation</w:t>
      </w:r>
      <w:r>
        <w:rPr>
          <w:spacing w:val="-9"/>
        </w:rPr>
        <w:t> </w:t>
      </w:r>
      <w:r>
        <w:rPr/>
        <w:t>from</w:t>
      </w:r>
      <w:r>
        <w:rPr>
          <w:spacing w:val="-8"/>
        </w:rPr>
        <w:t> </w:t>
      </w:r>
      <w:r>
        <w:rPr/>
        <w:t>E-view</w:t>
      </w:r>
      <w:r>
        <w:rPr>
          <w:spacing w:val="-9"/>
        </w:rPr>
        <w:t> </w:t>
      </w:r>
      <w:r>
        <w:rPr>
          <w:spacing w:val="-5"/>
        </w:rPr>
        <w:t>9.0</w:t>
      </w:r>
    </w:p>
    <w:p>
      <w:pPr>
        <w:pStyle w:val="BodyText"/>
        <w:spacing w:before="162"/>
        <w:ind w:left="0"/>
      </w:pPr>
    </w:p>
    <w:p>
      <w:pPr>
        <w:pStyle w:val="BodyText"/>
        <w:spacing w:line="480" w:lineRule="auto"/>
        <w:ind w:right="733"/>
        <w:jc w:val="both"/>
      </w:pPr>
      <w:r>
        <w:rPr/>
        <w:t>Table 6 indicates F-statistic value of 4.507049 withprobability value of 0.1218which is greater than</w:t>
      </w:r>
      <w:r>
        <w:rPr>
          <w:spacing w:val="-1"/>
        </w:rPr>
        <w:t> </w:t>
      </w:r>
      <w:r>
        <w:rPr/>
        <w:t>0.05. This indicatesthat there is no serialcorrelation</w:t>
      </w:r>
      <w:r>
        <w:rPr>
          <w:spacing w:val="-1"/>
        </w:rPr>
        <w:t> </w:t>
      </w:r>
      <w:r>
        <w:rPr/>
        <w:t>(of time</w:t>
      </w:r>
      <w:r>
        <w:rPr>
          <w:spacing w:val="-1"/>
        </w:rPr>
        <w:t> </w:t>
      </w:r>
      <w:r>
        <w:rPr/>
        <w:t>series) in the</w:t>
      </w:r>
      <w:r>
        <w:rPr>
          <w:spacing w:val="-1"/>
        </w:rPr>
        <w:t> </w:t>
      </w:r>
      <w:r>
        <w:rPr/>
        <w:t>model. This confirms that the natureof the relationship (negativeor positive) as found in the estimation fromthe rror Correction Mechanism (ECM) is correct and trueof the model characteristics. This implies that theresult of the test of hypothesis from the ECMgives correct position of the effectof financial integration on economicgrowth in Nigeria.</w:t>
      </w:r>
    </w:p>
    <w:p>
      <w:pPr>
        <w:spacing w:after="0" w:line="480" w:lineRule="auto"/>
        <w:jc w:val="both"/>
        <w:sectPr>
          <w:pgSz w:w="12240" w:h="15840"/>
          <w:pgMar w:header="0" w:footer="1012" w:top="1380" w:bottom="1200" w:left="1220" w:right="700"/>
        </w:sectPr>
      </w:pPr>
    </w:p>
    <w:p>
      <w:pPr>
        <w:pStyle w:val="Heading2"/>
        <w:numPr>
          <w:ilvl w:val="2"/>
          <w:numId w:val="24"/>
        </w:numPr>
        <w:tabs>
          <w:tab w:pos="780" w:val="left" w:leader="none"/>
        </w:tabs>
        <w:spacing w:line="240" w:lineRule="auto" w:before="60" w:after="0"/>
        <w:ind w:left="780" w:right="0" w:hanging="560"/>
        <w:jc w:val="left"/>
      </w:pPr>
      <w:bookmarkStart w:name="_TOC_250016" w:id="59"/>
      <w:r>
        <w:rPr>
          <w:spacing w:val="-2"/>
        </w:rPr>
        <w:t>Heteroskedasticity</w:t>
      </w:r>
      <w:r>
        <w:rPr>
          <w:spacing w:val="17"/>
        </w:rPr>
        <w:t> </w:t>
      </w:r>
      <w:bookmarkEnd w:id="59"/>
      <w:r>
        <w:rPr>
          <w:spacing w:val="-4"/>
        </w:rPr>
        <w:t>Test</w:t>
      </w:r>
    </w:p>
    <w:p>
      <w:pPr>
        <w:pStyle w:val="BodyText"/>
        <w:spacing w:before="161"/>
        <w:ind w:left="0"/>
        <w:rPr>
          <w:b/>
        </w:rPr>
      </w:pPr>
    </w:p>
    <w:p>
      <w:pPr>
        <w:pStyle w:val="BodyText"/>
        <w:spacing w:line="480" w:lineRule="auto"/>
        <w:ind w:right="733"/>
        <w:jc w:val="both"/>
      </w:pPr>
      <w:r>
        <w:rPr/>
        <mc:AlternateContent>
          <mc:Choice Requires="wps">
            <w:drawing>
              <wp:anchor distT="0" distB="0" distL="0" distR="0" allowOverlap="1" layoutInCell="1" locked="0" behindDoc="1" simplePos="0" relativeHeight="478100480">
                <wp:simplePos x="0" y="0"/>
                <wp:positionH relativeFrom="page">
                  <wp:posOffset>950112</wp:posOffset>
                </wp:positionH>
                <wp:positionV relativeFrom="paragraph">
                  <wp:posOffset>815624</wp:posOffset>
                </wp:positionV>
                <wp:extent cx="5505450" cy="5661025"/>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64.222412pt;width:433.5pt;height:445.75pt;mso-position-horizontal-relative:page;mso-position-vertical-relative:paragraph;z-index:-25216000" id="docshape196" coordorigin="1496,1284" coordsize="8670,8915" path="m2562,10004l1691,9133,1496,9328,2367,10199,2562,10004xm3154,9328l3153,9289,3148,9246,3139,9202,3125,9158,3106,9114,3083,9071,3055,9029,3025,8988,2991,8948,2954,8909,2435,8389,2241,8583,2772,9115,2805,9151,2829,9187,2846,9221,2856,9255,2858,9288,2851,9319,2837,9347,2816,9373,2790,9395,2761,9409,2730,9415,2697,9413,2663,9403,2628,9387,2593,9362,2557,9330,2026,8799,1831,8993,2351,9512,2385,9544,2424,9577,2468,9609,2516,9642,2548,9660,2583,9676,2620,9689,2658,9700,2697,9708,2733,9712,2767,9712,2800,9709,2831,9702,2863,9690,2895,9674,2926,9653,2957,9630,2985,9607,3011,9584,3035,9561,3071,9521,3102,9480,3125,9439,3142,9397,3150,9364,3154,9328xm3882,8545l3876,8481,3860,8415,3834,8348,3806,8294,3771,8238,3728,8180,3678,8121,3661,8103,3621,8061,3597,8039,3597,8533,3592,8573,3577,8610,3551,8643,3518,8668,3481,8683,3441,8688,3396,8681,3347,8663,3294,8632,3235,8587,3171,8527,3112,8464,3066,8404,3035,8350,3016,8301,3010,8257,3014,8216,3029,8180,3053,8149,3086,8123,3122,8108,3163,8103,3207,8108,3255,8125,3307,8155,3363,8197,3423,8252,3488,8322,3538,8385,3572,8441,3591,8489,3597,8533,3597,8039,3551,7996,3482,7941,3413,7896,3344,7860,3276,7835,3209,7819,3130,7813,3055,7823,2983,7849,2914,7889,2850,7945,2796,8008,2756,8076,2732,8148,2723,8223,2729,8303,2746,8371,2772,8440,2808,8510,2854,8580,2910,8650,2976,8721,3036,8778,3096,8828,3156,8870,3215,8904,3273,8932,3344,8956,3411,8970,3475,8973,3535,8967,3593,8951,3649,8924,3705,8886,3758,8838,3805,8784,3841,8728,3858,8688,3866,8669,3879,8608,3882,8545xm4153,7965l3966,7778,3712,8032,3899,8219,4153,7965xm4664,7903l3793,7031,3598,7226,4469,8098,4664,7903xm4998,7568l4675,7245,4781,7138,4832,7079,4837,7069,4866,7017,4883,6954,4882,6889,4866,6823,4843,6773,4836,6758,4792,6692,4733,6626,4670,6569,4607,6525,4598,6521,4598,6914,4597,6940,4587,6966,4570,6993,4546,7021,4498,7069,4304,6874,4359,6819,4386,6795,4412,6780,4438,6773,4462,6773,4486,6780,4509,6790,4531,6804,4552,6823,4570,6844,4584,6867,4593,6890,4598,6914,4598,6521,4544,6496,4483,6480,4423,6479,4365,6494,4309,6524,4255,6569,3931,6893,4803,7764,4998,7568xm5788,6779l5132,6123,5330,5924,5115,5709,4524,6301,4739,6516,4937,6317,5593,6973,5788,6779xm6423,6143l5767,5487,5966,5289,5751,5074,5159,5665,5374,5880,5573,5682,6229,6338,6423,6143xm7157,5270l7151,5206,7135,5140,7109,5073,7081,5019,7046,4963,7003,4906,6953,4847,6935,4828,6896,4786,6872,4764,6872,5258,6867,5298,6851,5335,6825,5368,6793,5393,6756,5408,6716,5413,6671,5406,6622,5388,6569,5357,6510,5312,6446,5253,6387,5189,6341,5129,6309,5075,6291,5026,6285,4982,6289,4942,6304,4906,6328,4874,6361,4849,6397,4833,6438,4828,6482,4833,6530,4850,6582,4880,6638,4922,6698,4977,6763,5047,6813,5110,6847,5166,6866,5214,6872,5258,6872,4764,6826,4721,6756,4666,6687,4621,6619,4586,6551,4560,6483,4544,6405,4538,6329,4548,6258,4574,6189,4614,6125,4670,6071,4733,6031,4801,6007,4873,5998,4948,6004,5028,6021,5096,6047,5165,6083,5235,6129,5305,6184,5375,6250,5446,6311,5503,6371,5553,6431,5595,6490,5630,6548,5657,6619,5681,6686,5695,6750,5698,6810,5692,6868,5676,6924,5649,6979,5611,7033,5563,7080,5509,7116,5453,7133,5413,7141,5394,7154,5333,7157,5270xm8170,4275l8165,4226,8153,4175,8134,4122,8109,4068,8079,4012,8041,3955,7980,3980,7799,4054,7831,4101,7855,4144,7873,4184,7884,4221,7887,4257,7881,4290,7866,4321,7843,4350,7812,4373,7778,4388,7740,4392,7700,4385,7653,4367,7600,4333,7538,4283,7469,4219,7417,4162,7375,4110,7344,4063,7324,4020,7311,3969,7312,3922,7325,3881,7352,3845,7367,3832,7384,3822,7402,3814,7422,3809,7442,3807,7464,3807,7486,3811,7509,3817,7524,3822,7542,3831,7563,3842,7586,3856,7705,3631,7622,3585,7543,3553,7469,3534,7400,3528,7333,3535,7269,3558,7206,3596,7146,3648,7092,3711,7054,3778,7030,3848,7021,3922,7027,3999,7044,4066,7070,4134,7106,4203,7153,4273,7209,4344,7276,4415,7341,4476,7404,4528,7467,4572,7529,4607,7590,4635,7662,4658,7730,4671,7791,4674,7847,4667,7900,4650,7952,4624,8004,4587,8056,4540,8094,4498,8125,4455,8147,4411,8161,4367,8169,4322,8170,4275xm8868,3559l8861,3495,8846,3429,8820,3363,8792,3308,8757,3252,8714,3195,8664,3136,8646,3117,8607,3075,8583,3053,8583,3547,8578,3587,8562,3624,8536,3657,8504,3682,8467,3698,8427,3702,8382,3696,8333,3678,8279,3646,8221,3601,8157,3542,8098,3478,8052,3419,8020,3365,8002,3315,7996,3271,8000,3231,8014,3195,8039,3163,8071,3138,8108,3122,8149,3117,8193,3122,8241,3139,8293,3169,8349,3211,8409,3266,8474,3336,8524,3399,8558,3455,8577,3504,8583,3547,8583,3053,8537,3010,8467,2955,8398,2910,8330,2875,8262,2849,8194,2833,8116,2828,8040,2838,7968,2863,7900,2904,7835,2959,7781,3023,7742,3090,7718,3162,7709,3238,7715,3317,7731,3386,7758,3455,7794,3524,7839,3594,7895,3664,7961,3735,8022,3792,8082,3842,8142,3884,8201,3919,8259,3946,8329,3970,8397,3984,8461,3988,8521,3981,8579,3965,8635,3938,8690,3900,8744,3852,8791,3798,8827,3742,8844,3702,8852,3683,8865,3622,8868,3559xm9348,3218l9025,2895,9132,2788,9182,2728,9188,2718,9216,2667,9233,2603,9233,2539,9217,2473,9194,2422,9187,2407,9142,2341,9084,2275,9020,2218,8957,2175,8948,2171,8948,2564,8947,2590,8938,2616,8921,2643,8896,2671,8849,2718,8654,2524,8710,2469,8737,2445,8763,2430,8788,2422,8812,2423,8836,2429,8859,2440,8881,2454,8902,2473,8920,2494,8934,2517,8943,2540,8948,2564,8948,2171,8895,2146,8833,2130,8773,2129,8715,2144,8659,2174,8605,2219,8282,2542,9153,3414,9348,3218xm10166,2400l9801,2036,9748,1886,9593,1434,9540,1284,9325,1500,9353,1570,9436,1781,9492,1921,9422,1893,9211,1810,9071,1754,8854,1970,9005,2023,9456,2178,9606,2231,9971,2595,10166,2400xe" filled="true" fillcolor="#c0c0c0" stroked="false">
                <v:path arrowok="t"/>
                <v:fill opacity="32896f" type="solid"/>
                <w10:wrap type="none"/>
              </v:shape>
            </w:pict>
          </mc:Fallback>
        </mc:AlternateContent>
      </w:r>
      <w:r>
        <w:rPr/>
        <w:t>Heteroskedasticity was also tested for thelinear regression analysis. Presenceof heteroskedasticity impliesthat the coefficients estimated fromthe regression analyses will be</w:t>
      </w:r>
      <w:r>
        <w:rPr>
          <w:spacing w:val="40"/>
        </w:rPr>
        <w:t> </w:t>
      </w:r>
      <w:r>
        <w:rPr/>
        <w:t>a biased one. Presenceof heteroskedasticity means that there is anunequal error variance in the modelfrom the data observations. The nullhypothesis is that the residualsare homoscedastic and the alternatehypotheses are that the residuals are heteroscedastic.</w:t>
      </w:r>
    </w:p>
    <w:p>
      <w:pPr>
        <w:pStyle w:val="BodyText"/>
        <w:spacing w:before="160"/>
        <w:jc w:val="both"/>
      </w:pPr>
      <w:r>
        <w:rPr>
          <w:b/>
        </w:rPr>
        <w:t>The</w:t>
      </w:r>
      <w:r>
        <w:rPr>
          <w:b/>
          <w:spacing w:val="-6"/>
        </w:rPr>
        <w:t> </w:t>
      </w:r>
      <w:r>
        <w:rPr>
          <w:b/>
        </w:rPr>
        <w:t>Decision</w:t>
      </w:r>
      <w:r>
        <w:rPr>
          <w:b/>
          <w:spacing w:val="-5"/>
        </w:rPr>
        <w:t> </w:t>
      </w:r>
      <w:r>
        <w:rPr>
          <w:b/>
        </w:rPr>
        <w:t>Rule:</w:t>
      </w:r>
      <w:r>
        <w:rPr>
          <w:b/>
          <w:spacing w:val="-4"/>
        </w:rPr>
        <w:t> </w:t>
      </w:r>
      <w:r>
        <w:rPr/>
        <w:t>The</w:t>
      </w:r>
      <w:r>
        <w:rPr>
          <w:spacing w:val="-6"/>
        </w:rPr>
        <w:t> </w:t>
      </w:r>
      <w:r>
        <w:rPr/>
        <w:t>decision</w:t>
      </w:r>
      <w:r>
        <w:rPr>
          <w:spacing w:val="-5"/>
        </w:rPr>
        <w:t> </w:t>
      </w:r>
      <w:r>
        <w:rPr/>
        <w:t>rule</w:t>
      </w:r>
      <w:r>
        <w:rPr>
          <w:spacing w:val="-5"/>
        </w:rPr>
        <w:t> </w:t>
      </w:r>
      <w:r>
        <w:rPr/>
        <w:t>is</w:t>
      </w:r>
      <w:r>
        <w:rPr>
          <w:spacing w:val="-5"/>
        </w:rPr>
        <w:t> </w:t>
      </w:r>
      <w:r>
        <w:rPr/>
        <w:t>toreject</w:t>
      </w:r>
      <w:r>
        <w:rPr>
          <w:spacing w:val="-5"/>
        </w:rPr>
        <w:t> </w:t>
      </w:r>
      <w:r>
        <w:rPr/>
        <w:t>the</w:t>
      </w:r>
      <w:r>
        <w:rPr>
          <w:spacing w:val="-6"/>
        </w:rPr>
        <w:t> </w:t>
      </w:r>
      <w:r>
        <w:rPr/>
        <w:t>null</w:t>
      </w:r>
      <w:r>
        <w:rPr>
          <w:spacing w:val="-5"/>
        </w:rPr>
        <w:t> </w:t>
      </w:r>
      <w:r>
        <w:rPr/>
        <w:t>hypothesisif</w:t>
      </w:r>
      <w:r>
        <w:rPr>
          <w:spacing w:val="-5"/>
        </w:rPr>
        <w:t> </w:t>
      </w:r>
      <w:r>
        <w:rPr/>
        <w:t>the</w:t>
      </w:r>
      <w:r>
        <w:rPr>
          <w:spacing w:val="-5"/>
        </w:rPr>
        <w:t> </w:t>
      </w:r>
      <w:r>
        <w:rPr/>
        <w:t>p.</w:t>
      </w:r>
      <w:r>
        <w:rPr>
          <w:spacing w:val="-6"/>
        </w:rPr>
        <w:t> </w:t>
      </w:r>
      <w:r>
        <w:rPr/>
        <w:t>value</w:t>
      </w:r>
      <w:r>
        <w:rPr>
          <w:spacing w:val="-4"/>
        </w:rPr>
        <w:t> </w:t>
      </w:r>
      <w:r>
        <w:rPr/>
        <w:t>is</w:t>
      </w:r>
      <w:r>
        <w:rPr>
          <w:spacing w:val="-3"/>
        </w:rPr>
        <w:t> </w:t>
      </w:r>
      <w:r>
        <w:rPr/>
        <w:t>less</w:t>
      </w:r>
      <w:r>
        <w:rPr>
          <w:spacing w:val="-5"/>
        </w:rPr>
        <w:t> </w:t>
      </w:r>
      <w:r>
        <w:rPr>
          <w:spacing w:val="-4"/>
        </w:rPr>
        <w:t>than</w:t>
      </w:r>
    </w:p>
    <w:p>
      <w:pPr>
        <w:pStyle w:val="BodyText"/>
        <w:spacing w:before="286"/>
      </w:pPr>
      <w:r>
        <w:rPr/>
        <w:t>0.05</w:t>
      </w:r>
      <w:r>
        <w:rPr>
          <w:spacing w:val="-5"/>
        </w:rPr>
        <w:t> </w:t>
      </w:r>
      <w:r>
        <w:rPr/>
        <w:t>level</w:t>
      </w:r>
      <w:r>
        <w:rPr>
          <w:spacing w:val="-5"/>
        </w:rPr>
        <w:t> </w:t>
      </w:r>
      <w:r>
        <w:rPr/>
        <w:t>of</w:t>
      </w:r>
      <w:r>
        <w:rPr>
          <w:spacing w:val="-5"/>
        </w:rPr>
        <w:t> </w:t>
      </w:r>
      <w:r>
        <w:rPr>
          <w:spacing w:val="-2"/>
        </w:rPr>
        <w:t>significance.</w:t>
      </w:r>
    </w:p>
    <w:p>
      <w:pPr>
        <w:pStyle w:val="BodyText"/>
        <w:spacing w:before="162"/>
        <w:ind w:left="0"/>
      </w:pPr>
    </w:p>
    <w:p>
      <w:pPr>
        <w:pStyle w:val="Heading2"/>
        <w:ind w:left="220" w:firstLine="0"/>
        <w:jc w:val="both"/>
      </w:pPr>
      <w:r>
        <w:rPr/>
        <w:t>Table</w:t>
      </w:r>
      <w:r>
        <w:rPr>
          <w:spacing w:val="-8"/>
        </w:rPr>
        <w:t> </w:t>
      </w:r>
      <w:r>
        <w:rPr/>
        <w:t>6:</w:t>
      </w:r>
      <w:r>
        <w:rPr>
          <w:spacing w:val="-6"/>
        </w:rPr>
        <w:t> </w:t>
      </w:r>
      <w:r>
        <w:rPr/>
        <w:t>Heteroskedasticity</w:t>
      </w:r>
      <w:r>
        <w:rPr>
          <w:spacing w:val="-6"/>
        </w:rPr>
        <w:t> </w:t>
      </w:r>
      <w:r>
        <w:rPr/>
        <w:t>Test</w:t>
      </w:r>
      <w:r>
        <w:rPr>
          <w:spacing w:val="-6"/>
        </w:rPr>
        <w:t> </w:t>
      </w:r>
      <w:r>
        <w:rPr/>
        <w:t>for</w:t>
      </w:r>
      <w:r>
        <w:rPr>
          <w:spacing w:val="-7"/>
        </w:rPr>
        <w:t> </w:t>
      </w:r>
      <w:r>
        <w:rPr/>
        <w:t>the</w:t>
      </w:r>
      <w:r>
        <w:rPr>
          <w:spacing w:val="-8"/>
        </w:rPr>
        <w:t> </w:t>
      </w:r>
      <w:r>
        <w:rPr>
          <w:spacing w:val="-4"/>
        </w:rPr>
        <w:t>Model</w:t>
      </w:r>
    </w:p>
    <w:p>
      <w:pPr>
        <w:pStyle w:val="BodyText"/>
        <w:spacing w:before="73" w:after="1"/>
        <w:ind w:left="0"/>
        <w:rPr>
          <w:b/>
          <w:sz w:val="20"/>
        </w:rPr>
      </w:pPr>
    </w:p>
    <w:tbl>
      <w:tblPr>
        <w:tblW w:w="0" w:type="auto"/>
        <w:jc w:val="left"/>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9"/>
        <w:gridCol w:w="1206"/>
        <w:gridCol w:w="2237"/>
        <w:gridCol w:w="1078"/>
      </w:tblGrid>
      <w:tr>
        <w:trPr>
          <w:trHeight w:val="289" w:hRule="atLeast"/>
        </w:trPr>
        <w:tc>
          <w:tcPr>
            <w:tcW w:w="6530" w:type="dxa"/>
            <w:gridSpan w:val="4"/>
            <w:tcBorders>
              <w:bottom w:val="double" w:sz="6" w:space="0" w:color="000000"/>
            </w:tcBorders>
          </w:tcPr>
          <w:p>
            <w:pPr>
              <w:pStyle w:val="TableParagraph"/>
              <w:spacing w:line="201" w:lineRule="exact" w:before="0"/>
              <w:rPr>
                <w:sz w:val="18"/>
              </w:rPr>
            </w:pPr>
            <w:r>
              <w:rPr>
                <w:sz w:val="18"/>
              </w:rPr>
              <w:t>Heteroskedasticity</w:t>
            </w:r>
            <w:r>
              <w:rPr>
                <w:spacing w:val="-10"/>
                <w:sz w:val="18"/>
              </w:rPr>
              <w:t> </w:t>
            </w:r>
            <w:r>
              <w:rPr>
                <w:sz w:val="18"/>
              </w:rPr>
              <w:t>Test:</w:t>
            </w:r>
            <w:r>
              <w:rPr>
                <w:spacing w:val="-8"/>
                <w:sz w:val="18"/>
              </w:rPr>
              <w:t> </w:t>
            </w:r>
            <w:r>
              <w:rPr>
                <w:sz w:val="18"/>
              </w:rPr>
              <w:t>Breusch-Pagan-</w:t>
            </w:r>
            <w:r>
              <w:rPr>
                <w:spacing w:val="-2"/>
                <w:sz w:val="18"/>
              </w:rPr>
              <w:t>Godfrey</w:t>
            </w:r>
          </w:p>
        </w:tc>
      </w:tr>
      <w:tr>
        <w:trPr>
          <w:trHeight w:val="327" w:hRule="atLeast"/>
        </w:trPr>
        <w:tc>
          <w:tcPr>
            <w:tcW w:w="2009" w:type="dxa"/>
            <w:tcBorders>
              <w:top w:val="double" w:sz="6" w:space="0" w:color="000000"/>
            </w:tcBorders>
          </w:tcPr>
          <w:p>
            <w:pPr>
              <w:pStyle w:val="TableParagraph"/>
              <w:spacing w:before="108"/>
              <w:rPr>
                <w:sz w:val="18"/>
              </w:rPr>
            </w:pPr>
            <w:r>
              <w:rPr>
                <w:spacing w:val="-2"/>
                <w:sz w:val="18"/>
              </w:rPr>
              <w:t>F-statistic</w:t>
            </w:r>
          </w:p>
        </w:tc>
        <w:tc>
          <w:tcPr>
            <w:tcW w:w="1206" w:type="dxa"/>
            <w:tcBorders>
              <w:top w:val="double" w:sz="6" w:space="0" w:color="000000"/>
            </w:tcBorders>
          </w:tcPr>
          <w:p>
            <w:pPr>
              <w:pStyle w:val="TableParagraph"/>
              <w:spacing w:before="108"/>
              <w:ind w:right="103"/>
              <w:jc w:val="right"/>
              <w:rPr>
                <w:sz w:val="18"/>
              </w:rPr>
            </w:pPr>
            <w:r>
              <w:rPr>
                <w:spacing w:val="-2"/>
                <w:sz w:val="18"/>
              </w:rPr>
              <w:t>0.905751</w:t>
            </w:r>
          </w:p>
        </w:tc>
        <w:tc>
          <w:tcPr>
            <w:tcW w:w="2237" w:type="dxa"/>
            <w:tcBorders>
              <w:top w:val="double" w:sz="6" w:space="0" w:color="000000"/>
            </w:tcBorders>
          </w:tcPr>
          <w:p>
            <w:pPr>
              <w:pStyle w:val="TableParagraph"/>
              <w:spacing w:before="108"/>
              <w:ind w:left="107"/>
              <w:rPr>
                <w:sz w:val="18"/>
              </w:rPr>
            </w:pPr>
            <w:r>
              <w:rPr>
                <w:sz w:val="18"/>
              </w:rPr>
              <w:t>Prob.</w:t>
            </w:r>
            <w:r>
              <w:rPr>
                <w:spacing w:val="-4"/>
                <w:sz w:val="18"/>
              </w:rPr>
              <w:t> </w:t>
            </w:r>
            <w:r>
              <w:rPr>
                <w:spacing w:val="-2"/>
                <w:sz w:val="18"/>
              </w:rPr>
              <w:t>F(8,26)</w:t>
            </w:r>
          </w:p>
        </w:tc>
        <w:tc>
          <w:tcPr>
            <w:tcW w:w="1078" w:type="dxa"/>
            <w:tcBorders>
              <w:top w:val="double" w:sz="6" w:space="0" w:color="000000"/>
            </w:tcBorders>
          </w:tcPr>
          <w:p>
            <w:pPr>
              <w:pStyle w:val="TableParagraph"/>
              <w:spacing w:before="108"/>
              <w:ind w:right="5"/>
              <w:jc w:val="right"/>
              <w:rPr>
                <w:sz w:val="18"/>
              </w:rPr>
            </w:pPr>
            <w:r>
              <w:rPr>
                <w:spacing w:val="-2"/>
                <w:sz w:val="18"/>
              </w:rPr>
              <w:t>0.5266</w:t>
            </w:r>
          </w:p>
        </w:tc>
      </w:tr>
      <w:tr>
        <w:trPr>
          <w:trHeight w:val="225" w:hRule="atLeast"/>
        </w:trPr>
        <w:tc>
          <w:tcPr>
            <w:tcW w:w="2009" w:type="dxa"/>
          </w:tcPr>
          <w:p>
            <w:pPr>
              <w:pStyle w:val="TableParagraph"/>
              <w:rPr>
                <w:sz w:val="18"/>
              </w:rPr>
            </w:pPr>
            <w:r>
              <w:rPr>
                <w:spacing w:val="-2"/>
                <w:sz w:val="18"/>
              </w:rPr>
              <w:t>Obs*R-squared</w:t>
            </w:r>
          </w:p>
        </w:tc>
        <w:tc>
          <w:tcPr>
            <w:tcW w:w="1206" w:type="dxa"/>
          </w:tcPr>
          <w:p>
            <w:pPr>
              <w:pStyle w:val="TableParagraph"/>
              <w:ind w:right="103"/>
              <w:jc w:val="right"/>
              <w:rPr>
                <w:sz w:val="18"/>
              </w:rPr>
            </w:pPr>
            <w:r>
              <w:rPr>
                <w:spacing w:val="-2"/>
                <w:sz w:val="18"/>
              </w:rPr>
              <w:t>7.628290</w:t>
            </w:r>
          </w:p>
        </w:tc>
        <w:tc>
          <w:tcPr>
            <w:tcW w:w="2237" w:type="dxa"/>
          </w:tcPr>
          <w:p>
            <w:pPr>
              <w:pStyle w:val="TableParagraph"/>
              <w:ind w:left="107"/>
              <w:rPr>
                <w:sz w:val="18"/>
              </w:rPr>
            </w:pPr>
            <w:r>
              <w:rPr>
                <w:sz w:val="18"/>
              </w:rPr>
              <w:t>Prob.</w:t>
            </w:r>
            <w:r>
              <w:rPr>
                <w:spacing w:val="-7"/>
                <w:sz w:val="18"/>
              </w:rPr>
              <w:t> </w:t>
            </w:r>
            <w:r>
              <w:rPr>
                <w:sz w:val="18"/>
              </w:rPr>
              <w:t>Chi-</w:t>
            </w:r>
            <w:r>
              <w:rPr>
                <w:spacing w:val="-2"/>
                <w:sz w:val="18"/>
              </w:rPr>
              <w:t>Square(8)</w:t>
            </w:r>
          </w:p>
        </w:tc>
        <w:tc>
          <w:tcPr>
            <w:tcW w:w="1078" w:type="dxa"/>
          </w:tcPr>
          <w:p>
            <w:pPr>
              <w:pStyle w:val="TableParagraph"/>
              <w:ind w:right="5"/>
              <w:jc w:val="right"/>
              <w:rPr>
                <w:sz w:val="18"/>
              </w:rPr>
            </w:pPr>
            <w:r>
              <w:rPr>
                <w:spacing w:val="-2"/>
                <w:sz w:val="18"/>
              </w:rPr>
              <w:t>0.4706</w:t>
            </w:r>
          </w:p>
        </w:tc>
      </w:tr>
      <w:tr>
        <w:trPr>
          <w:trHeight w:val="301" w:hRule="atLeast"/>
        </w:trPr>
        <w:tc>
          <w:tcPr>
            <w:tcW w:w="2009" w:type="dxa"/>
            <w:tcBorders>
              <w:bottom w:val="double" w:sz="6" w:space="0" w:color="000000"/>
            </w:tcBorders>
          </w:tcPr>
          <w:p>
            <w:pPr>
              <w:pStyle w:val="TableParagraph"/>
              <w:spacing w:line="240" w:lineRule="auto"/>
              <w:rPr>
                <w:sz w:val="18"/>
              </w:rPr>
            </w:pPr>
            <w:r>
              <w:rPr>
                <w:sz w:val="18"/>
              </w:rPr>
              <w:t>Scaled</w:t>
            </w:r>
            <w:r>
              <w:rPr>
                <w:spacing w:val="-4"/>
                <w:sz w:val="18"/>
              </w:rPr>
              <w:t> </w:t>
            </w:r>
            <w:r>
              <w:rPr>
                <w:sz w:val="18"/>
              </w:rPr>
              <w:t>explained</w:t>
            </w:r>
            <w:r>
              <w:rPr>
                <w:spacing w:val="-3"/>
                <w:sz w:val="18"/>
              </w:rPr>
              <w:t> </w:t>
            </w:r>
            <w:r>
              <w:rPr>
                <w:spacing w:val="-5"/>
                <w:sz w:val="18"/>
              </w:rPr>
              <w:t>SS</w:t>
            </w:r>
          </w:p>
        </w:tc>
        <w:tc>
          <w:tcPr>
            <w:tcW w:w="1206" w:type="dxa"/>
            <w:tcBorders>
              <w:bottom w:val="double" w:sz="6" w:space="0" w:color="000000"/>
            </w:tcBorders>
          </w:tcPr>
          <w:p>
            <w:pPr>
              <w:pStyle w:val="TableParagraph"/>
              <w:spacing w:line="240" w:lineRule="auto"/>
              <w:ind w:right="103"/>
              <w:jc w:val="right"/>
              <w:rPr>
                <w:sz w:val="18"/>
              </w:rPr>
            </w:pPr>
            <w:r>
              <w:rPr>
                <w:spacing w:val="-2"/>
                <w:sz w:val="18"/>
              </w:rPr>
              <w:t>4.676163</w:t>
            </w:r>
          </w:p>
        </w:tc>
        <w:tc>
          <w:tcPr>
            <w:tcW w:w="2237" w:type="dxa"/>
            <w:tcBorders>
              <w:bottom w:val="double" w:sz="6" w:space="0" w:color="000000"/>
            </w:tcBorders>
          </w:tcPr>
          <w:p>
            <w:pPr>
              <w:pStyle w:val="TableParagraph"/>
              <w:spacing w:line="240" w:lineRule="auto"/>
              <w:ind w:left="107"/>
              <w:rPr>
                <w:sz w:val="18"/>
              </w:rPr>
            </w:pPr>
            <w:r>
              <w:rPr>
                <w:sz w:val="18"/>
              </w:rPr>
              <w:t>Prob.</w:t>
            </w:r>
            <w:r>
              <w:rPr>
                <w:spacing w:val="-9"/>
                <w:sz w:val="18"/>
              </w:rPr>
              <w:t> </w:t>
            </w:r>
            <w:r>
              <w:rPr>
                <w:sz w:val="18"/>
              </w:rPr>
              <w:t>Chi-</w:t>
            </w:r>
            <w:r>
              <w:rPr>
                <w:spacing w:val="-2"/>
                <w:sz w:val="18"/>
              </w:rPr>
              <w:t>Square(8)</w:t>
            </w:r>
          </w:p>
        </w:tc>
        <w:tc>
          <w:tcPr>
            <w:tcW w:w="1078" w:type="dxa"/>
            <w:tcBorders>
              <w:bottom w:val="double" w:sz="6" w:space="0" w:color="000000"/>
            </w:tcBorders>
          </w:tcPr>
          <w:p>
            <w:pPr>
              <w:pStyle w:val="TableParagraph"/>
              <w:spacing w:line="240" w:lineRule="auto"/>
              <w:ind w:right="5"/>
              <w:jc w:val="right"/>
              <w:rPr>
                <w:sz w:val="18"/>
              </w:rPr>
            </w:pPr>
            <w:r>
              <w:rPr>
                <w:spacing w:val="-2"/>
                <w:sz w:val="18"/>
              </w:rPr>
              <w:t>0.7916</w:t>
            </w:r>
          </w:p>
        </w:tc>
      </w:tr>
    </w:tbl>
    <w:p>
      <w:pPr>
        <w:pStyle w:val="BodyText"/>
        <w:spacing w:before="262"/>
        <w:jc w:val="both"/>
      </w:pPr>
      <w:r>
        <w:rPr/>
        <w:t>Source:</w:t>
      </w:r>
      <w:r>
        <w:rPr>
          <w:spacing w:val="-9"/>
        </w:rPr>
        <w:t> </w:t>
      </w:r>
      <w:r>
        <w:rPr/>
        <w:t>Author’s</w:t>
      </w:r>
      <w:r>
        <w:rPr>
          <w:spacing w:val="-8"/>
        </w:rPr>
        <w:t> </w:t>
      </w:r>
      <w:r>
        <w:rPr/>
        <w:t>Computation</w:t>
      </w:r>
      <w:r>
        <w:rPr>
          <w:spacing w:val="-9"/>
        </w:rPr>
        <w:t> </w:t>
      </w:r>
      <w:r>
        <w:rPr/>
        <w:t>from</w:t>
      </w:r>
      <w:r>
        <w:rPr>
          <w:spacing w:val="-8"/>
        </w:rPr>
        <w:t> </w:t>
      </w:r>
      <w:r>
        <w:rPr/>
        <w:t>E-view</w:t>
      </w:r>
      <w:r>
        <w:rPr>
          <w:spacing w:val="-9"/>
        </w:rPr>
        <w:t> </w:t>
      </w:r>
      <w:r>
        <w:rPr>
          <w:spacing w:val="-5"/>
        </w:rPr>
        <w:t>9.0</w:t>
      </w:r>
    </w:p>
    <w:p>
      <w:pPr>
        <w:pStyle w:val="BodyText"/>
        <w:spacing w:before="160"/>
        <w:ind w:left="0"/>
      </w:pPr>
    </w:p>
    <w:p>
      <w:pPr>
        <w:pStyle w:val="BodyText"/>
        <w:spacing w:line="480" w:lineRule="auto"/>
        <w:ind w:right="736"/>
        <w:jc w:val="both"/>
      </w:pPr>
      <w:r>
        <w:rPr/>
        <w:t>The</w:t>
      </w:r>
      <w:r>
        <w:rPr>
          <w:spacing w:val="-3"/>
        </w:rPr>
        <w:t> </w:t>
      </w:r>
      <w:r>
        <w:rPr/>
        <w:t>F-statistic</w:t>
      </w:r>
      <w:r>
        <w:rPr>
          <w:spacing w:val="-2"/>
        </w:rPr>
        <w:t> </w:t>
      </w:r>
      <w:r>
        <w:rPr/>
        <w:t>of</w:t>
      </w:r>
      <w:r>
        <w:rPr>
          <w:spacing w:val="-4"/>
        </w:rPr>
        <w:t> </w:t>
      </w:r>
      <w:r>
        <w:rPr/>
        <w:t>the</w:t>
      </w:r>
      <w:r>
        <w:rPr>
          <w:spacing w:val="-1"/>
        </w:rPr>
        <w:t> </w:t>
      </w:r>
      <w:r>
        <w:rPr/>
        <w:t>Breusch-GodfreySerial</w:t>
      </w:r>
      <w:r>
        <w:rPr>
          <w:spacing w:val="-2"/>
        </w:rPr>
        <w:t> </w:t>
      </w:r>
      <w:r>
        <w:rPr/>
        <w:t>Correlation</w:t>
      </w:r>
      <w:r>
        <w:rPr>
          <w:spacing w:val="-3"/>
        </w:rPr>
        <w:t> </w:t>
      </w:r>
      <w:r>
        <w:rPr/>
        <w:t>LM</w:t>
      </w:r>
      <w:r>
        <w:rPr>
          <w:spacing w:val="-1"/>
        </w:rPr>
        <w:t> </w:t>
      </w:r>
      <w:r>
        <w:rPr/>
        <w:t>test is</w:t>
      </w:r>
      <w:r>
        <w:rPr>
          <w:spacing w:val="-1"/>
        </w:rPr>
        <w:t> </w:t>
      </w:r>
      <w:r>
        <w:rPr/>
        <w:t>0.905751with</w:t>
      </w:r>
      <w:r>
        <w:rPr>
          <w:spacing w:val="-2"/>
        </w:rPr>
        <w:t> </w:t>
      </w:r>
      <w:r>
        <w:rPr/>
        <w:t>probability valueof 0.5266. Since the probabilityvalue is greater than 0.05, we cannot reject thenull hypothesis that theresiduals are homoscedastic. Thus we conclude thatthere is no heteroscedastic in the model. This implies that theresult obtained from theestimated model is not biased.</w:t>
      </w:r>
    </w:p>
    <w:p>
      <w:pPr>
        <w:spacing w:after="0" w:line="480" w:lineRule="auto"/>
        <w:jc w:val="both"/>
        <w:sectPr>
          <w:pgSz w:w="12240" w:h="15840"/>
          <w:pgMar w:header="0" w:footer="1012" w:top="1380" w:bottom="1200" w:left="1220" w:right="700"/>
        </w:sectPr>
      </w:pPr>
    </w:p>
    <w:p>
      <w:pPr>
        <w:pStyle w:val="Heading2"/>
        <w:numPr>
          <w:ilvl w:val="1"/>
          <w:numId w:val="24"/>
        </w:numPr>
        <w:tabs>
          <w:tab w:pos="593" w:val="left" w:leader="none"/>
        </w:tabs>
        <w:spacing w:line="240" w:lineRule="auto" w:before="60" w:after="0"/>
        <w:ind w:left="593" w:right="0" w:hanging="373"/>
        <w:jc w:val="both"/>
      </w:pPr>
      <w:bookmarkStart w:name="_TOC_250015" w:id="60"/>
      <w:r>
        <w:rPr/>
        <w:t>Test</w:t>
      </w:r>
      <w:r>
        <w:rPr>
          <w:spacing w:val="-4"/>
        </w:rPr>
        <w:t> </w:t>
      </w:r>
      <w:r>
        <w:rPr/>
        <w:t>of</w:t>
      </w:r>
      <w:r>
        <w:rPr>
          <w:spacing w:val="-4"/>
        </w:rPr>
        <w:t> </w:t>
      </w:r>
      <w:bookmarkEnd w:id="60"/>
      <w:r>
        <w:rPr>
          <w:spacing w:val="-2"/>
        </w:rPr>
        <w:t>Hypotheses</w:t>
      </w:r>
    </w:p>
    <w:p>
      <w:pPr>
        <w:pStyle w:val="BodyText"/>
        <w:spacing w:before="161"/>
        <w:ind w:left="0"/>
        <w:rPr>
          <w:b/>
        </w:rPr>
      </w:pPr>
    </w:p>
    <w:p>
      <w:pPr>
        <w:pStyle w:val="BodyText"/>
        <w:spacing w:line="480" w:lineRule="auto"/>
        <w:ind w:right="733"/>
        <w:jc w:val="both"/>
      </w:pPr>
      <w:r>
        <w:rPr/>
        <mc:AlternateContent>
          <mc:Choice Requires="wps">
            <w:drawing>
              <wp:anchor distT="0" distB="0" distL="0" distR="0" allowOverlap="1" layoutInCell="1" locked="0" behindDoc="1" simplePos="0" relativeHeight="478100992">
                <wp:simplePos x="0" y="0"/>
                <wp:positionH relativeFrom="page">
                  <wp:posOffset>950112</wp:posOffset>
                </wp:positionH>
                <wp:positionV relativeFrom="paragraph">
                  <wp:posOffset>815624</wp:posOffset>
                </wp:positionV>
                <wp:extent cx="5505450" cy="5661025"/>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64.222412pt;width:433.5pt;height:445.75pt;mso-position-horizontal-relative:page;mso-position-vertical-relative:paragraph;z-index:-25215488" id="docshape197" coordorigin="1496,1284" coordsize="8670,8915" path="m2562,10004l1691,9133,1496,9328,2367,10199,2562,10004xm3154,9328l3153,9289,3148,9246,3139,9202,3125,9158,3106,9114,3083,9071,3055,9029,3025,8988,2991,8948,2954,8909,2435,8389,2241,8583,2772,9115,2805,9151,2829,9187,2846,9221,2856,9255,2858,9288,2851,9319,2837,9347,2816,9373,2790,9395,2761,9409,2730,9415,2697,9413,2663,9403,2628,9387,2593,9362,2557,9330,2026,8799,1831,8993,2351,9512,2385,9544,2424,9577,2468,9609,2516,9642,2548,9660,2583,9676,2620,9689,2658,9700,2697,9708,2733,9712,2767,9712,2800,9709,2831,9702,2863,9690,2895,9674,2926,9653,2957,9630,2985,9607,3011,9584,3035,9561,3071,9521,3102,9480,3125,9439,3142,9397,3150,9364,3154,9328xm3882,8545l3876,8481,3860,8415,3834,8348,3806,8294,3771,8238,3728,8180,3678,8121,3661,8103,3621,8061,3597,8039,3597,8533,3592,8573,3577,8610,3551,8643,3518,8668,3481,8683,3441,8688,3396,8681,3347,8663,3294,8632,3235,8587,3171,8527,3112,8464,3066,8404,3035,8350,3016,8301,3010,8257,3014,8216,3029,8180,3053,8149,3086,8123,3122,8108,3163,8103,3207,8108,3255,8125,3307,8155,3363,8197,3423,8252,3488,8322,3538,8385,3572,8441,3591,8489,3597,8533,3597,8039,3551,7996,3482,7941,3413,7896,3344,7860,3276,7835,3209,7819,3130,7813,3055,7823,2983,7849,2914,7889,2850,7945,2796,8008,2756,8076,2732,8148,2723,8223,2729,8303,2746,8371,2772,8440,2808,8510,2854,8580,2910,8650,2976,8721,3036,8778,3096,8828,3156,8870,3215,8904,3273,8932,3344,8956,3411,8970,3475,8973,3535,8967,3593,8951,3649,8924,3705,8886,3758,8838,3805,8784,3841,8728,3858,8688,3866,8669,3879,8608,3882,8545xm4153,7965l3966,7778,3712,8032,3899,8219,4153,7965xm4664,7903l3793,7031,3598,7226,4469,8098,4664,7903xm4998,7568l4675,7245,4781,7138,4832,7079,4837,7069,4866,7017,4883,6954,4882,6889,4866,6823,4843,6773,4836,6758,4792,6692,4733,6626,4670,6569,4607,6525,4598,6521,4598,6914,4597,6940,4587,6966,4570,6993,4546,7021,4498,7069,4304,6874,4359,6819,4386,6795,4412,6780,4438,6773,4462,6773,4486,6780,4509,6790,4531,6804,4552,6823,4570,6844,4584,6867,4593,6890,4598,6914,4598,6521,4544,6496,4483,6480,4423,6479,4365,6494,4309,6524,4255,6569,3931,6893,4803,7764,4998,7568xm5788,6779l5132,6123,5330,5924,5115,5709,4524,6301,4739,6516,4937,6317,5593,6973,5788,6779xm6423,6143l5767,5487,5966,5289,5751,5074,5159,5665,5374,5880,5573,5682,6229,6338,6423,6143xm7157,5270l7151,5206,7135,5140,7109,5073,7081,5019,7046,4963,7003,4906,6953,4847,6935,4828,6896,4786,6872,4764,6872,5258,6867,5298,6851,5335,6825,5368,6793,5393,6756,5408,6716,5413,6671,5406,6622,5388,6569,5357,6510,5312,6446,5253,6387,5189,6341,5129,6309,5075,6291,5026,6285,4982,6289,4942,6304,4906,6328,4874,6361,4849,6397,4833,6438,4828,6482,4833,6530,4850,6582,4880,6638,4922,6698,4977,6763,5047,6813,5110,6847,5166,6866,5214,6872,5258,6872,4764,6826,4721,6756,4666,6687,4621,6619,4586,6551,4560,6483,4544,6405,4538,6329,4548,6258,4574,6189,4614,6125,4670,6071,4733,6031,4801,6007,4873,5998,4948,6004,5028,6021,5096,6047,5165,6083,5235,6129,5305,6184,5375,6250,5446,6311,5503,6371,5553,6431,5595,6490,5630,6548,5657,6619,5681,6686,5695,6750,5698,6810,5692,6868,5676,6924,5649,6979,5611,7033,5563,7080,5509,7116,5453,7133,5413,7141,5394,7154,5333,7157,5270xm8170,4275l8165,4226,8153,4175,8134,4122,8109,4068,8079,4012,8041,3955,7980,3980,7799,4054,7831,4101,7855,4144,7873,4184,7884,4221,7887,4257,7881,4290,7866,4321,7843,4350,7812,4373,7778,4388,7740,4392,7700,4385,7653,4367,7600,4333,7538,4283,7469,4219,7417,4162,7375,4110,7344,4063,7324,4020,7311,3969,7312,3922,7325,3881,7352,3845,7367,3832,7384,3822,7402,3814,7422,3809,7442,3807,7464,3807,7486,3811,7509,3817,7524,3822,7542,3831,7563,3842,7586,3856,7705,3631,7622,3585,7543,3553,7469,3534,7400,3528,7333,3535,7269,3558,7206,3596,7146,3648,7092,3711,7054,3778,7030,3848,7021,3922,7027,3999,7044,4066,7070,4134,7106,4203,7153,4273,7209,4344,7276,4415,7341,4476,7404,4528,7467,4572,7529,4607,7590,4635,7662,4658,7730,4671,7791,4674,7847,4667,7900,4650,7952,4624,8004,4587,8056,4540,8094,4498,8125,4455,8147,4411,8161,4367,8169,4322,8170,4275xm8868,3559l8861,3495,8846,3429,8820,3363,8792,3308,8757,3252,8714,3195,8664,3136,8646,3117,8607,3075,8583,3053,8583,3547,8578,3587,8562,3624,8536,3657,8504,3682,8467,3698,8427,3702,8382,3696,8333,3678,8279,3646,8221,3601,8157,3542,8098,3478,8052,3419,8020,3365,8002,3315,7996,3271,8000,3231,8014,3195,8039,3163,8071,3138,8108,3122,8149,3117,8193,3122,8241,3139,8293,3169,8349,3211,8409,3266,8474,3336,8524,3399,8558,3455,8577,3504,8583,3547,8583,3053,8537,3010,8467,2955,8398,2910,8330,2875,8262,2849,8194,2833,8116,2828,8040,2838,7968,2863,7900,2904,7835,2959,7781,3023,7742,3090,7718,3162,7709,3238,7715,3317,7731,3386,7758,3455,7794,3524,7839,3594,7895,3664,7961,3735,8022,3792,8082,3842,8142,3884,8201,3919,8259,3946,8329,3970,8397,3984,8461,3988,8521,3981,8579,3965,8635,3938,8690,3900,8744,3852,8791,3798,8827,3742,8844,3702,8852,3683,8865,3622,8868,3559xm9348,3218l9025,2895,9132,2788,9182,2728,9188,2718,9216,2667,9233,2603,9233,2539,9217,2473,9194,2422,9187,2407,9142,2341,9084,2275,9020,2218,8957,2175,8948,2171,8948,2564,8947,2590,8938,2616,8921,2643,8896,2671,8849,2718,8654,2524,8710,2469,8737,2445,8763,2430,8788,2422,8812,2423,8836,2429,8859,2440,8881,2454,8902,2473,8920,2494,8934,2517,8943,2540,8948,2564,8948,2171,8895,2146,8833,2130,8773,2129,8715,2144,8659,2174,8605,2219,8282,2542,9153,3414,9348,3218xm10166,2400l9801,2036,9748,1886,9593,1434,9540,1284,9325,1500,9353,1570,9436,1781,9492,1921,9422,1893,9211,1810,9071,1754,8854,1970,9005,2023,9456,2178,9606,2231,9971,2595,10166,2400xe" filled="true" fillcolor="#c0c0c0" stroked="false">
                <v:path arrowok="t"/>
                <v:fill opacity="32896f" type="solid"/>
                <w10:wrap type="none"/>
              </v:shape>
            </w:pict>
          </mc:Fallback>
        </mc:AlternateContent>
      </w:r>
      <w:r>
        <w:rPr/>
        <w:t>In this section, the hypothesesformulated earlier in the studywere tested for empirical significance and theresults are presented below. The t value in theECM result which measures the individualsignificance of the variableand the probabilityvalues were used.</w:t>
      </w:r>
    </w:p>
    <w:p>
      <w:pPr>
        <w:pStyle w:val="Heading2"/>
        <w:numPr>
          <w:ilvl w:val="2"/>
          <w:numId w:val="24"/>
        </w:numPr>
        <w:tabs>
          <w:tab w:pos="780" w:val="left" w:leader="none"/>
        </w:tabs>
        <w:spacing w:line="240" w:lineRule="auto" w:before="159" w:after="0"/>
        <w:ind w:left="780" w:right="0" w:hanging="560"/>
        <w:jc w:val="both"/>
      </w:pPr>
      <w:bookmarkStart w:name="_TOC_250014" w:id="61"/>
      <w:r>
        <w:rPr/>
        <w:t>Test</w:t>
      </w:r>
      <w:r>
        <w:rPr>
          <w:spacing w:val="-6"/>
        </w:rPr>
        <w:t> </w:t>
      </w:r>
      <w:r>
        <w:rPr/>
        <w:t>of</w:t>
      </w:r>
      <w:r>
        <w:rPr>
          <w:spacing w:val="-6"/>
        </w:rPr>
        <w:t> </w:t>
      </w:r>
      <w:r>
        <w:rPr/>
        <w:t>Hypothesis</w:t>
      </w:r>
      <w:bookmarkEnd w:id="61"/>
      <w:r>
        <w:rPr>
          <w:spacing w:val="-5"/>
        </w:rPr>
        <w:t> One</w:t>
      </w:r>
    </w:p>
    <w:p>
      <w:pPr>
        <w:pStyle w:val="BodyText"/>
        <w:spacing w:before="160"/>
        <w:ind w:left="0"/>
        <w:rPr>
          <w:b/>
        </w:rPr>
      </w:pPr>
    </w:p>
    <w:p>
      <w:pPr>
        <w:pStyle w:val="BodyText"/>
        <w:spacing w:line="480" w:lineRule="auto" w:before="1"/>
        <w:ind w:left="940" w:right="738" w:hanging="720"/>
        <w:jc w:val="both"/>
      </w:pPr>
      <w:r>
        <w:rPr/>
        <w:t>Ho:</w:t>
      </w:r>
      <w:r>
        <w:rPr>
          <w:spacing w:val="80"/>
        </w:rPr>
        <w:t> </w:t>
      </w:r>
      <w:r>
        <w:rPr/>
        <w:t>Foreign direct investment inflow has nosignificant effect on economic growthin</w:t>
      </w:r>
      <w:r>
        <w:rPr>
          <w:spacing w:val="40"/>
        </w:rPr>
        <w:t> </w:t>
      </w:r>
      <w:r>
        <w:rPr>
          <w:spacing w:val="-2"/>
        </w:rPr>
        <w:t>Nigeria.</w:t>
      </w:r>
    </w:p>
    <w:p>
      <w:pPr>
        <w:pStyle w:val="BodyText"/>
        <w:spacing w:line="480" w:lineRule="auto" w:before="160"/>
        <w:ind w:left="940" w:right="737" w:hanging="720"/>
        <w:jc w:val="both"/>
      </w:pPr>
      <w:r>
        <w:rPr/>
        <w:t>Hi:</w:t>
      </w:r>
      <w:r>
        <w:rPr>
          <w:spacing w:val="40"/>
        </w:rPr>
        <w:t>  </w:t>
      </w:r>
      <w:r>
        <w:rPr/>
        <w:t>Foreign</w:t>
      </w:r>
      <w:r>
        <w:rPr>
          <w:spacing w:val="40"/>
        </w:rPr>
        <w:t> </w:t>
      </w:r>
      <w:r>
        <w:rPr/>
        <w:t>direct</w:t>
      </w:r>
      <w:r>
        <w:rPr>
          <w:spacing w:val="40"/>
        </w:rPr>
        <w:t> </w:t>
      </w:r>
      <w:r>
        <w:rPr/>
        <w:t>investment</w:t>
      </w:r>
      <w:r>
        <w:rPr>
          <w:spacing w:val="40"/>
        </w:rPr>
        <w:t> </w:t>
      </w:r>
      <w:r>
        <w:rPr/>
        <w:t>inflow</w:t>
      </w:r>
      <w:r>
        <w:rPr>
          <w:spacing w:val="40"/>
        </w:rPr>
        <w:t> </w:t>
      </w:r>
      <w:r>
        <w:rPr/>
        <w:t>has</w:t>
      </w:r>
      <w:r>
        <w:rPr>
          <w:spacing w:val="40"/>
        </w:rPr>
        <w:t> </w:t>
      </w:r>
      <w:r>
        <w:rPr/>
        <w:t>significant</w:t>
      </w:r>
      <w:r>
        <w:rPr>
          <w:spacing w:val="40"/>
        </w:rPr>
        <w:t> </w:t>
      </w:r>
      <w:r>
        <w:rPr/>
        <w:t>effecton</w:t>
      </w:r>
      <w:r>
        <w:rPr>
          <w:spacing w:val="40"/>
        </w:rPr>
        <w:t> </w:t>
      </w:r>
      <w:r>
        <w:rPr/>
        <w:t>economic</w:t>
      </w:r>
      <w:r>
        <w:rPr>
          <w:spacing w:val="40"/>
        </w:rPr>
        <w:t> </w:t>
      </w:r>
      <w:r>
        <w:rPr/>
        <w:t>growth</w:t>
      </w:r>
      <w:r>
        <w:rPr>
          <w:spacing w:val="40"/>
        </w:rPr>
        <w:t> </w:t>
      </w:r>
      <w:r>
        <w:rPr/>
        <w:t>in </w:t>
      </w:r>
      <w:r>
        <w:rPr>
          <w:spacing w:val="-2"/>
        </w:rPr>
        <w:t>Nigeria.</w:t>
      </w:r>
    </w:p>
    <w:p>
      <w:pPr>
        <w:pStyle w:val="BodyText"/>
        <w:spacing w:line="480" w:lineRule="auto" w:before="161"/>
        <w:ind w:right="737"/>
        <w:jc w:val="both"/>
      </w:pPr>
      <w:r>
        <w:rPr/>
        <w:t>Based on the t-statistics</w:t>
      </w:r>
      <w:r>
        <w:rPr>
          <w:spacing w:val="-2"/>
        </w:rPr>
        <w:t> </w:t>
      </w:r>
      <w:r>
        <w:rPr/>
        <w:t>valueof 3.014132 and probability valueof 0.0057 in Table 5 which is statistically significant, we reject the nullhypothesis and accept thealternative hypothesis. This implies that foreign directinvestment inflow has significant effect oneconomic growth </w:t>
      </w:r>
      <w:r>
        <w:rPr>
          <w:spacing w:val="-2"/>
        </w:rPr>
        <w:t>inNigeria.</w:t>
      </w:r>
    </w:p>
    <w:p>
      <w:pPr>
        <w:pStyle w:val="Heading2"/>
        <w:numPr>
          <w:ilvl w:val="2"/>
          <w:numId w:val="24"/>
        </w:numPr>
        <w:tabs>
          <w:tab w:pos="780" w:val="left" w:leader="none"/>
        </w:tabs>
        <w:spacing w:line="240" w:lineRule="auto" w:before="160" w:after="0"/>
        <w:ind w:left="780" w:right="0" w:hanging="560"/>
        <w:jc w:val="both"/>
      </w:pPr>
      <w:bookmarkStart w:name="_TOC_250013" w:id="62"/>
      <w:r>
        <w:rPr/>
        <w:t>Test</w:t>
      </w:r>
      <w:r>
        <w:rPr>
          <w:spacing w:val="-6"/>
        </w:rPr>
        <w:t> </w:t>
      </w:r>
      <w:r>
        <w:rPr/>
        <w:t>of</w:t>
      </w:r>
      <w:r>
        <w:rPr>
          <w:spacing w:val="-5"/>
        </w:rPr>
        <w:t> </w:t>
      </w:r>
      <w:r>
        <w:rPr/>
        <w:t>Hypothesis</w:t>
      </w:r>
      <w:bookmarkEnd w:id="62"/>
      <w:r>
        <w:rPr>
          <w:spacing w:val="-5"/>
        </w:rPr>
        <w:t> Two</w:t>
      </w:r>
    </w:p>
    <w:p>
      <w:pPr>
        <w:pStyle w:val="BodyText"/>
        <w:spacing w:before="159"/>
        <w:ind w:left="0"/>
        <w:rPr>
          <w:b/>
        </w:rPr>
      </w:pPr>
    </w:p>
    <w:p>
      <w:pPr>
        <w:pStyle w:val="BodyText"/>
        <w:tabs>
          <w:tab w:pos="940" w:val="left" w:leader="none"/>
        </w:tabs>
        <w:spacing w:line="480" w:lineRule="auto" w:before="1"/>
        <w:ind w:left="940" w:right="804" w:hanging="720"/>
      </w:pPr>
      <w:r>
        <w:rPr>
          <w:spacing w:val="-4"/>
        </w:rPr>
        <w:t>Ho:</w:t>
      </w:r>
      <w:r>
        <w:rPr/>
        <w:tab/>
        <w:t>Foreign</w:t>
      </w:r>
      <w:r>
        <w:rPr>
          <w:spacing w:val="40"/>
        </w:rPr>
        <w:t> </w:t>
      </w:r>
      <w:r>
        <w:rPr/>
        <w:t>portfolio</w:t>
      </w:r>
      <w:r>
        <w:rPr>
          <w:spacing w:val="40"/>
        </w:rPr>
        <w:t> </w:t>
      </w:r>
      <w:r>
        <w:rPr/>
        <w:t>investmentinflow</w:t>
      </w:r>
      <w:r>
        <w:rPr>
          <w:spacing w:val="40"/>
        </w:rPr>
        <w:t> </w:t>
      </w:r>
      <w:r>
        <w:rPr/>
        <w:t>has</w:t>
      </w:r>
      <w:r>
        <w:rPr>
          <w:spacing w:val="40"/>
        </w:rPr>
        <w:t> </w:t>
      </w:r>
      <w:r>
        <w:rPr/>
        <w:t>no</w:t>
      </w:r>
      <w:r>
        <w:rPr>
          <w:spacing w:val="40"/>
        </w:rPr>
        <w:t> </w:t>
      </w:r>
      <w:r>
        <w:rPr/>
        <w:t>significant</w:t>
      </w:r>
      <w:r>
        <w:rPr>
          <w:spacing w:val="40"/>
        </w:rPr>
        <w:t> </w:t>
      </w:r>
      <w:r>
        <w:rPr/>
        <w:t>effecton</w:t>
      </w:r>
      <w:r>
        <w:rPr>
          <w:spacing w:val="40"/>
        </w:rPr>
        <w:t> </w:t>
      </w:r>
      <w:r>
        <w:rPr/>
        <w:t>economic</w:t>
      </w:r>
      <w:r>
        <w:rPr>
          <w:spacing w:val="40"/>
        </w:rPr>
        <w:t> </w:t>
      </w:r>
      <w:r>
        <w:rPr/>
        <w:t>growth</w:t>
      </w:r>
      <w:r>
        <w:rPr>
          <w:spacing w:val="80"/>
        </w:rPr>
        <w:t> </w:t>
      </w:r>
      <w:r>
        <w:rPr/>
        <w:t>in Nigeria.</w:t>
      </w:r>
    </w:p>
    <w:p>
      <w:pPr>
        <w:pStyle w:val="BodyText"/>
        <w:tabs>
          <w:tab w:pos="940" w:val="left" w:leader="none"/>
        </w:tabs>
        <w:spacing w:line="480" w:lineRule="auto" w:before="161"/>
        <w:ind w:left="940" w:right="804" w:hanging="720"/>
      </w:pPr>
      <w:r>
        <w:rPr>
          <w:spacing w:val="-4"/>
        </w:rPr>
        <w:t>Hi:</w:t>
      </w:r>
      <w:r>
        <w:rPr/>
        <w:tab/>
        <w:t>Foreign</w:t>
      </w:r>
      <w:r>
        <w:rPr>
          <w:spacing w:val="40"/>
        </w:rPr>
        <w:t> </w:t>
      </w:r>
      <w:r>
        <w:rPr/>
        <w:t>portfolio</w:t>
      </w:r>
      <w:r>
        <w:rPr>
          <w:spacing w:val="40"/>
        </w:rPr>
        <w:t> </w:t>
      </w:r>
      <w:r>
        <w:rPr/>
        <w:t>investment</w:t>
      </w:r>
      <w:r>
        <w:rPr>
          <w:spacing w:val="40"/>
        </w:rPr>
        <w:t> </w:t>
      </w:r>
      <w:r>
        <w:rPr/>
        <w:t>inflow</w:t>
      </w:r>
      <w:r>
        <w:rPr>
          <w:spacing w:val="40"/>
        </w:rPr>
        <w:t> </w:t>
      </w:r>
      <w:r>
        <w:rPr/>
        <w:t>has</w:t>
      </w:r>
      <w:r>
        <w:rPr>
          <w:spacing w:val="40"/>
        </w:rPr>
        <w:t> </w:t>
      </w:r>
      <w:r>
        <w:rPr/>
        <w:t>significant</w:t>
      </w:r>
      <w:r>
        <w:rPr>
          <w:spacing w:val="40"/>
        </w:rPr>
        <w:t> </w:t>
      </w:r>
      <w:r>
        <w:rPr/>
        <w:t>effecton</w:t>
      </w:r>
      <w:r>
        <w:rPr>
          <w:spacing w:val="40"/>
        </w:rPr>
        <w:t> </w:t>
      </w:r>
      <w:r>
        <w:rPr/>
        <w:t>economic</w:t>
      </w:r>
      <w:r>
        <w:rPr>
          <w:spacing w:val="40"/>
        </w:rPr>
        <w:t> </w:t>
      </w:r>
      <w:r>
        <w:rPr/>
        <w:t>growth</w:t>
      </w:r>
      <w:r>
        <w:rPr>
          <w:spacing w:val="40"/>
        </w:rPr>
        <w:t> </w:t>
      </w:r>
      <w:r>
        <w:rPr/>
        <w:t>in</w:t>
      </w:r>
      <w:r>
        <w:rPr>
          <w:spacing w:val="40"/>
        </w:rPr>
        <w:t> </w:t>
      </w:r>
      <w:r>
        <w:rPr>
          <w:spacing w:val="-2"/>
        </w:rPr>
        <w:t>Nigeria.</w:t>
      </w:r>
    </w:p>
    <w:p>
      <w:pPr>
        <w:pStyle w:val="BodyText"/>
        <w:spacing w:line="480" w:lineRule="auto" w:before="158"/>
        <w:ind w:right="505"/>
      </w:pPr>
      <w:r>
        <w:rPr/>
        <w:t>Based</w:t>
      </w:r>
      <w:r>
        <w:rPr>
          <w:spacing w:val="38"/>
        </w:rPr>
        <w:t> </w:t>
      </w:r>
      <w:r>
        <w:rPr/>
        <w:t>on</w:t>
      </w:r>
      <w:r>
        <w:rPr>
          <w:spacing w:val="39"/>
        </w:rPr>
        <w:t> </w:t>
      </w:r>
      <w:r>
        <w:rPr/>
        <w:t>the</w:t>
      </w:r>
      <w:r>
        <w:rPr>
          <w:spacing w:val="39"/>
        </w:rPr>
        <w:t> </w:t>
      </w:r>
      <w:r>
        <w:rPr/>
        <w:t>t-statistics</w:t>
      </w:r>
      <w:r>
        <w:rPr>
          <w:spacing w:val="40"/>
        </w:rPr>
        <w:t> </w:t>
      </w:r>
      <w:r>
        <w:rPr/>
        <w:t>value</w:t>
      </w:r>
      <w:r>
        <w:rPr>
          <w:spacing w:val="38"/>
        </w:rPr>
        <w:t> </w:t>
      </w:r>
      <w:r>
        <w:rPr/>
        <w:t>of</w:t>
      </w:r>
      <w:r>
        <w:rPr>
          <w:spacing w:val="40"/>
        </w:rPr>
        <w:t> </w:t>
      </w:r>
      <w:r>
        <w:rPr/>
        <w:t>6.571888</w:t>
      </w:r>
      <w:r>
        <w:rPr>
          <w:spacing w:val="39"/>
        </w:rPr>
        <w:t> </w:t>
      </w:r>
      <w:r>
        <w:rPr/>
        <w:t>and</w:t>
      </w:r>
      <w:r>
        <w:rPr>
          <w:spacing w:val="38"/>
        </w:rPr>
        <w:t> </w:t>
      </w:r>
      <w:r>
        <w:rPr/>
        <w:t>its</w:t>
      </w:r>
      <w:r>
        <w:rPr>
          <w:spacing w:val="40"/>
        </w:rPr>
        <w:t> </w:t>
      </w:r>
      <w:r>
        <w:rPr/>
        <w:t>probability</w:t>
      </w:r>
      <w:r>
        <w:rPr>
          <w:spacing w:val="39"/>
        </w:rPr>
        <w:t> </w:t>
      </w:r>
      <w:r>
        <w:rPr/>
        <w:t>valueof</w:t>
      </w:r>
      <w:r>
        <w:rPr>
          <w:spacing w:val="40"/>
        </w:rPr>
        <w:t> </w:t>
      </w:r>
      <w:r>
        <w:rPr/>
        <w:t>0.0000</w:t>
      </w:r>
      <w:r>
        <w:rPr>
          <w:spacing w:val="39"/>
        </w:rPr>
        <w:t> </w:t>
      </w:r>
      <w:r>
        <w:rPr/>
        <w:t>in</w:t>
      </w:r>
      <w:r>
        <w:rPr>
          <w:spacing w:val="39"/>
        </w:rPr>
        <w:t> </w:t>
      </w:r>
      <w:r>
        <w:rPr/>
        <w:t>Table</w:t>
      </w:r>
      <w:r>
        <w:rPr>
          <w:spacing w:val="38"/>
        </w:rPr>
        <w:t> </w:t>
      </w:r>
      <w:r>
        <w:rPr/>
        <w:t>5 which</w:t>
      </w:r>
      <w:r>
        <w:rPr>
          <w:spacing w:val="52"/>
        </w:rPr>
        <w:t> </w:t>
      </w:r>
      <w:r>
        <w:rPr/>
        <w:t>is</w:t>
      </w:r>
      <w:r>
        <w:rPr>
          <w:spacing w:val="55"/>
        </w:rPr>
        <w:t> </w:t>
      </w:r>
      <w:r>
        <w:rPr/>
        <w:t>statistically</w:t>
      </w:r>
      <w:r>
        <w:rPr>
          <w:spacing w:val="54"/>
        </w:rPr>
        <w:t> </w:t>
      </w:r>
      <w:r>
        <w:rPr/>
        <w:t>significant,</w:t>
      </w:r>
      <w:r>
        <w:rPr>
          <w:spacing w:val="52"/>
        </w:rPr>
        <w:t> </w:t>
      </w:r>
      <w:r>
        <w:rPr/>
        <w:t>we</w:t>
      </w:r>
      <w:r>
        <w:rPr>
          <w:spacing w:val="57"/>
        </w:rPr>
        <w:t> </w:t>
      </w:r>
      <w:r>
        <w:rPr/>
        <w:t>reject</w:t>
      </w:r>
      <w:r>
        <w:rPr>
          <w:spacing w:val="54"/>
        </w:rPr>
        <w:t> </w:t>
      </w:r>
      <w:r>
        <w:rPr/>
        <w:t>the</w:t>
      </w:r>
      <w:r>
        <w:rPr>
          <w:spacing w:val="53"/>
        </w:rPr>
        <w:t> </w:t>
      </w:r>
      <w:r>
        <w:rPr/>
        <w:t>null</w:t>
      </w:r>
      <w:r>
        <w:rPr>
          <w:spacing w:val="54"/>
        </w:rPr>
        <w:t> </w:t>
      </w:r>
      <w:r>
        <w:rPr/>
        <w:t>hypothesis</w:t>
      </w:r>
      <w:r>
        <w:rPr>
          <w:spacing w:val="54"/>
        </w:rPr>
        <w:t> </w:t>
      </w:r>
      <w:r>
        <w:rPr/>
        <w:t>andaccept</w:t>
      </w:r>
      <w:r>
        <w:rPr>
          <w:spacing w:val="54"/>
        </w:rPr>
        <w:t> </w:t>
      </w:r>
      <w:r>
        <w:rPr/>
        <w:t>the</w:t>
      </w:r>
      <w:r>
        <w:rPr>
          <w:spacing w:val="56"/>
        </w:rPr>
        <w:t> </w:t>
      </w:r>
      <w:r>
        <w:rPr>
          <w:spacing w:val="-2"/>
        </w:rPr>
        <w:t>alternative</w:t>
      </w:r>
    </w:p>
    <w:p>
      <w:pPr>
        <w:spacing w:after="0" w:line="480" w:lineRule="auto"/>
        <w:sectPr>
          <w:pgSz w:w="12240" w:h="15840"/>
          <w:pgMar w:header="0" w:footer="1012" w:top="1380" w:bottom="1200" w:left="1220" w:right="700"/>
        </w:sectPr>
      </w:pPr>
    </w:p>
    <w:p>
      <w:pPr>
        <w:pStyle w:val="BodyText"/>
        <w:spacing w:line="480" w:lineRule="auto" w:before="60"/>
        <w:ind w:right="747"/>
        <w:jc w:val="both"/>
      </w:pPr>
      <w:r>
        <w:rPr/>
        <w:t>hypothesis. This implies that foreign portfolio investment inflow has significant effect on economic growth in Nigeria.</w:t>
      </w:r>
    </w:p>
    <w:p>
      <w:pPr>
        <w:pStyle w:val="Heading2"/>
        <w:numPr>
          <w:ilvl w:val="2"/>
          <w:numId w:val="24"/>
        </w:numPr>
        <w:tabs>
          <w:tab w:pos="780" w:val="left" w:leader="none"/>
        </w:tabs>
        <w:spacing w:line="240" w:lineRule="auto" w:before="160" w:after="0"/>
        <w:ind w:left="780" w:right="0" w:hanging="560"/>
        <w:jc w:val="both"/>
      </w:pPr>
      <w:bookmarkStart w:name="_TOC_250012" w:id="63"/>
      <w:r>
        <w:rPr/>
        <w:t>Test</w:t>
      </w:r>
      <w:r>
        <w:rPr>
          <w:spacing w:val="-6"/>
        </w:rPr>
        <w:t> </w:t>
      </w:r>
      <w:r>
        <w:rPr/>
        <w:t>of</w:t>
      </w:r>
      <w:r>
        <w:rPr>
          <w:spacing w:val="-6"/>
        </w:rPr>
        <w:t> </w:t>
      </w:r>
      <w:r>
        <w:rPr/>
        <w:t>Hypothesis</w:t>
      </w:r>
      <w:r>
        <w:rPr>
          <w:spacing w:val="-5"/>
        </w:rPr>
        <w:t> </w:t>
      </w:r>
      <w:bookmarkEnd w:id="63"/>
      <w:r>
        <w:rPr>
          <w:spacing w:val="-2"/>
        </w:rPr>
        <w:t>Three</w:t>
      </w:r>
    </w:p>
    <w:p>
      <w:pPr>
        <w:pStyle w:val="BodyText"/>
        <w:spacing w:before="159"/>
        <w:ind w:left="0"/>
        <w:rPr>
          <w:b/>
        </w:rPr>
      </w:pPr>
    </w:p>
    <w:p>
      <w:pPr>
        <w:pStyle w:val="BodyText"/>
        <w:spacing w:line="614" w:lineRule="auto"/>
        <w:ind w:right="2112"/>
        <w:jc w:val="both"/>
      </w:pPr>
      <w:r>
        <w:rPr/>
        <mc:AlternateContent>
          <mc:Choice Requires="wps">
            <w:drawing>
              <wp:anchor distT="0" distB="0" distL="0" distR="0" allowOverlap="1" layoutInCell="1" locked="0" behindDoc="1" simplePos="0" relativeHeight="478101504">
                <wp:simplePos x="0" y="0"/>
                <wp:positionH relativeFrom="page">
                  <wp:posOffset>950112</wp:posOffset>
                </wp:positionH>
                <wp:positionV relativeFrom="paragraph">
                  <wp:posOffset>-14893</wp:posOffset>
                </wp:positionV>
                <wp:extent cx="5505450" cy="5661025"/>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172705pt;width:433.5pt;height:445.75pt;mso-position-horizontal-relative:page;mso-position-vertical-relative:paragraph;z-index:-25214976" id="docshape198" coordorigin="1496,-23" coordsize="8670,8915" path="m2562,8696l1691,7825,1496,8020,2367,8891,2562,8696xm3154,8020l3153,7981,3148,7938,3139,7894,3125,7850,3106,7807,3083,7763,3055,7721,3025,7680,2991,7640,2954,7601,2435,7081,2241,7276,2772,7807,2805,7843,2829,7879,2846,7913,2856,7948,2858,7980,2851,8011,2837,8039,2816,8066,2790,8087,2761,8101,2730,8107,2697,8105,2663,8095,2628,8079,2593,8054,2557,8023,2026,7491,1831,7685,2351,8204,2385,8237,2424,8269,2468,8301,2516,8334,2548,8353,2583,8368,2620,8382,2658,8392,2697,8400,2733,8404,2767,8404,2800,8401,2831,8394,2863,8382,2895,8366,2926,8345,2957,8322,2985,8299,3011,8276,3035,8254,3071,8213,3102,8173,3125,8131,3142,8089,3150,8056,3154,8020xm3882,7237l3876,7173,3860,7107,3834,7041,3806,6986,3771,6930,3728,6873,3678,6814,3661,6795,3621,6753,3597,6731,3597,7225,3592,7265,3577,7302,3551,7335,3518,7360,3481,7375,3441,7380,3396,7374,3347,7355,3294,7324,3235,7279,3171,7220,3112,7156,3066,7097,3035,7042,3016,6993,3010,6949,3014,6909,3029,6873,3053,6841,3086,6815,3122,6800,3163,6795,3207,6800,3255,6817,3307,6847,3363,6889,3423,6944,3488,7014,3538,7077,3572,7133,3591,7181,3597,7225,3597,6731,3551,6688,3482,6633,3413,6588,3344,6553,3276,6527,3209,6511,3130,6505,3055,6515,2983,6541,2914,6581,2850,6637,2796,6700,2756,6768,2732,6840,2723,6915,2729,6995,2746,7063,2772,7132,2808,7202,2854,7272,2910,7342,2976,7413,3036,7470,3096,7520,3156,7562,3215,7597,3273,7624,3344,7648,3411,7662,3475,7665,3535,7659,3593,7643,3649,7616,3705,7578,3758,7530,3805,7476,3841,7420,3858,7380,3866,7361,3879,7300,3882,7237xm4153,6657l3966,6470,3712,6725,3899,6912,4153,6657xm4664,6595l3793,5724,3598,5919,4469,6790,4664,6595xm4998,6261l4675,5937,4781,5831,4832,5771,4837,5761,4866,5709,4883,5646,4882,5581,4866,5516,4843,5465,4836,5450,4792,5384,4733,5318,4670,5261,4607,5218,4598,5213,4598,5607,4597,5632,4587,5658,4570,5685,4546,5713,4498,5761,4304,5566,4359,5511,4386,5488,4412,5472,4438,5465,4462,5465,4486,5472,4509,5482,4531,5496,4552,5515,4570,5536,4584,5559,4593,5582,4598,5607,4598,5213,4544,5188,4483,5172,4423,5171,4365,5186,4309,5216,4255,5261,3931,5585,4803,6456,4998,6261xm5788,5471l5132,4815,5330,4616,5115,4401,4524,4993,4739,5208,4937,5009,5593,5665,5788,5471xm6423,4835l5767,4179,5966,3981,5751,3766,5159,4357,5374,4572,5573,4374,6229,5030,6423,4835xm7157,3962l7151,3898,7135,3832,7109,3766,7081,3711,7046,3655,7003,3598,6953,3539,6935,3520,6896,3479,6872,3456,6872,3950,6867,3990,6851,4027,6825,4060,6793,4086,6756,4101,6716,4105,6671,4099,6622,4080,6569,4049,6510,4004,6446,3945,6387,3881,6341,3822,6309,3767,6291,3718,6285,3674,6289,3634,6304,3598,6328,3566,6361,3541,6397,3525,6438,3520,6482,3525,6530,3543,6582,3572,6638,3615,6698,3670,6763,3739,6813,3802,6847,3858,6866,3907,6872,3950,6872,3456,6826,3413,6756,3358,6687,3313,6619,3278,6551,3252,6483,3236,6405,3231,6329,3241,6258,3266,6189,3306,6125,3362,6071,3425,6031,3493,6007,3565,5998,3640,6004,3720,6021,3788,6047,3857,6083,3927,6129,3997,6184,4067,6250,4138,6311,4195,6371,4245,6431,4287,6490,4322,6548,4349,6619,4373,6686,4387,6750,4391,6810,4384,6868,4368,6924,4341,6979,4303,7033,4255,7080,4201,7116,4145,7133,4105,7141,4086,7154,4025,7157,3962xm8170,2967l8165,2918,8153,2867,8134,2815,8109,2760,8079,2704,8041,2647,7980,2672,7799,2746,7831,2793,7855,2836,7873,2876,7884,2914,7887,2949,7881,2982,7866,3013,7843,3042,7812,3066,7778,3080,7740,3084,7700,3078,7653,3059,7600,3025,7538,2976,7469,2911,7417,2855,7375,2803,7344,2755,7324,2712,7311,2661,7312,2614,7325,2573,7352,2537,7367,2524,7384,2514,7402,2506,7422,2501,7442,2499,7464,2500,7486,2503,7509,2509,7524,2515,7542,2523,7563,2534,7586,2548,7705,2323,7622,2277,7543,2245,7469,2226,7400,2220,7333,2228,7269,2250,7206,2288,7146,2341,7092,2403,7054,2470,7030,2540,7021,2614,7027,2692,7044,2759,7070,2826,7106,2895,7153,2965,7209,3036,7276,3108,7341,3168,7404,3220,7467,3264,7529,3299,7590,3327,7662,3350,7730,3363,7791,3366,7847,3359,7900,3342,7952,3316,8004,3279,8056,3233,8094,3190,8125,3147,8147,3103,8161,3059,8169,3014,8170,2967xm8868,2251l8861,2187,8846,2122,8820,2055,8792,2000,8757,1944,8714,1887,8664,1828,8646,1809,8607,1768,8583,1745,8583,2239,8578,2279,8562,2316,8536,2349,8504,2375,8467,2390,8427,2394,8382,2388,8333,2370,8279,2338,8221,2293,8157,2234,8098,2170,8052,2111,8020,2057,8002,2008,7996,1963,8000,1923,8014,1887,8039,1855,8071,1830,8108,1814,8149,1809,8193,1814,8241,1832,8293,1861,8349,1904,8409,1959,8474,2028,8524,2091,8558,2147,8577,2196,8583,2239,8583,1745,8537,1702,8467,1647,8398,1602,8330,1567,8262,1541,8194,1525,8116,1520,8040,1530,7968,1555,7900,1596,7835,1651,7781,1715,7742,1782,7718,1854,7709,1930,7715,2009,7731,2078,7758,2147,7794,2216,7839,2286,7895,2357,7961,2427,8022,2485,8082,2534,8142,2576,8201,2611,8259,2638,8329,2663,8397,2676,8461,2680,8521,2673,8579,2657,8635,2630,8690,2592,8744,2544,8791,2490,8827,2434,8844,2394,8852,2375,8865,2314,8868,2251xm9348,1910l9025,1587,9132,1480,9182,1420,9188,1411,9216,1359,9233,1296,9233,1231,9217,1165,9194,1114,9187,1099,9142,1034,9084,968,9020,910,8957,867,8948,863,8948,1256,8947,1282,8938,1308,8921,1335,8896,1363,8849,1411,8654,1216,8710,1161,8737,1137,8763,1122,8788,1114,8812,1115,8836,1121,8859,1132,8881,1146,8902,1165,8920,1186,8934,1209,8943,1232,8948,1256,8948,863,8895,838,8833,822,8773,821,8715,836,8659,866,8605,911,8282,1235,9153,2106,9348,1910xm10166,1093l9801,728,9748,578,9593,127,9540,-23,9325,192,9353,262,9436,473,9492,613,9422,585,9211,502,9071,446,8854,662,9005,715,9456,870,9606,923,9971,1288,10166,1093xe" filled="true" fillcolor="#c0c0c0" stroked="false">
                <v:path arrowok="t"/>
                <v:fill opacity="32896f" type="solid"/>
                <w10:wrap type="none"/>
              </v:shape>
            </w:pict>
          </mc:Fallback>
        </mc:AlternateContent>
      </w:r>
      <w:r>
        <w:rPr/>
        <w:t>Ho:</w:t>
      </w:r>
      <w:r>
        <w:rPr>
          <w:spacing w:val="40"/>
        </w:rPr>
        <w:t>  </w:t>
      </w:r>
      <w:r>
        <w:rPr/>
        <w:t>Trade</w:t>
      </w:r>
      <w:r>
        <w:rPr>
          <w:spacing w:val="-4"/>
        </w:rPr>
        <w:t> </w:t>
      </w:r>
      <w:r>
        <w:rPr/>
        <w:t>openness</w:t>
      </w:r>
      <w:r>
        <w:rPr>
          <w:spacing w:val="-2"/>
        </w:rPr>
        <w:t> </w:t>
      </w:r>
      <w:r>
        <w:rPr/>
        <w:t>has</w:t>
      </w:r>
      <w:r>
        <w:rPr>
          <w:spacing w:val="-3"/>
        </w:rPr>
        <w:t> </w:t>
      </w:r>
      <w:r>
        <w:rPr/>
        <w:t>no</w:t>
      </w:r>
      <w:r>
        <w:rPr>
          <w:spacing w:val="-4"/>
        </w:rPr>
        <w:t> </w:t>
      </w:r>
      <w:r>
        <w:rPr/>
        <w:t>significant</w:t>
      </w:r>
      <w:r>
        <w:rPr>
          <w:spacing w:val="-4"/>
        </w:rPr>
        <w:t> </w:t>
      </w:r>
      <w:r>
        <w:rPr/>
        <w:t>effect</w:t>
      </w:r>
      <w:r>
        <w:rPr>
          <w:spacing w:val="-4"/>
        </w:rPr>
        <w:t> </w:t>
      </w:r>
      <w:r>
        <w:rPr/>
        <w:t>on</w:t>
      </w:r>
      <w:r>
        <w:rPr>
          <w:spacing w:val="-4"/>
        </w:rPr>
        <w:t> </w:t>
      </w:r>
      <w:r>
        <w:rPr/>
        <w:t>economic</w:t>
      </w:r>
      <w:r>
        <w:rPr>
          <w:spacing w:val="-4"/>
        </w:rPr>
        <w:t> </w:t>
      </w:r>
      <w:r>
        <w:rPr/>
        <w:t>growth</w:t>
      </w:r>
      <w:r>
        <w:rPr>
          <w:spacing w:val="-4"/>
        </w:rPr>
        <w:t> </w:t>
      </w:r>
      <w:r>
        <w:rPr/>
        <w:t>in</w:t>
      </w:r>
      <w:r>
        <w:rPr>
          <w:spacing w:val="-4"/>
        </w:rPr>
        <w:t> </w:t>
      </w:r>
      <w:r>
        <w:rPr/>
        <w:t>Nigeria. Hi:</w:t>
      </w:r>
      <w:r>
        <w:rPr>
          <w:spacing w:val="80"/>
          <w:w w:val="150"/>
        </w:rPr>
        <w:t>  </w:t>
      </w:r>
      <w:r>
        <w:rPr/>
        <w:t>Trade openness has significant effect on economic growth in Nigeria.</w:t>
      </w:r>
    </w:p>
    <w:p>
      <w:pPr>
        <w:pStyle w:val="BodyText"/>
        <w:spacing w:line="480" w:lineRule="auto"/>
        <w:ind w:right="734"/>
        <w:jc w:val="both"/>
      </w:pPr>
      <w:r>
        <w:rPr/>
        <w:t>Based on the t-statistics value of 2.777748 and its probability value of 0.0100 in Table 5 which is statistically significant, we reject the null hypothesis and accept the alternative hypothesis. This implies that trade openness has significant effect on economic growth in </w:t>
      </w:r>
      <w:r>
        <w:rPr>
          <w:spacing w:val="-2"/>
        </w:rPr>
        <w:t>Nigeria.</w:t>
      </w:r>
    </w:p>
    <w:p>
      <w:pPr>
        <w:pStyle w:val="Heading2"/>
        <w:numPr>
          <w:ilvl w:val="2"/>
          <w:numId w:val="24"/>
        </w:numPr>
        <w:tabs>
          <w:tab w:pos="780" w:val="left" w:leader="none"/>
        </w:tabs>
        <w:spacing w:line="240" w:lineRule="auto" w:before="161" w:after="0"/>
        <w:ind w:left="780" w:right="0" w:hanging="560"/>
        <w:jc w:val="both"/>
      </w:pPr>
      <w:bookmarkStart w:name="_TOC_250011" w:id="64"/>
      <w:r>
        <w:rPr/>
        <w:t>Test</w:t>
      </w:r>
      <w:r>
        <w:rPr>
          <w:spacing w:val="-6"/>
        </w:rPr>
        <w:t> </w:t>
      </w:r>
      <w:r>
        <w:rPr/>
        <w:t>of</w:t>
      </w:r>
      <w:r>
        <w:rPr>
          <w:spacing w:val="-6"/>
        </w:rPr>
        <w:t> </w:t>
      </w:r>
      <w:r>
        <w:rPr/>
        <w:t>Hypothesis</w:t>
      </w:r>
      <w:r>
        <w:rPr>
          <w:spacing w:val="-5"/>
        </w:rPr>
        <w:t> </w:t>
      </w:r>
      <w:bookmarkEnd w:id="64"/>
      <w:r>
        <w:rPr>
          <w:spacing w:val="-4"/>
        </w:rPr>
        <w:t>Four</w:t>
      </w:r>
    </w:p>
    <w:p>
      <w:pPr>
        <w:pStyle w:val="BodyText"/>
        <w:spacing w:before="159"/>
        <w:ind w:left="0"/>
        <w:rPr>
          <w:b/>
        </w:rPr>
      </w:pPr>
    </w:p>
    <w:p>
      <w:pPr>
        <w:pStyle w:val="BodyText"/>
        <w:spacing w:line="612" w:lineRule="auto"/>
        <w:ind w:right="1541"/>
        <w:jc w:val="both"/>
      </w:pPr>
      <w:r>
        <w:rPr/>
        <w:t>Ho:</w:t>
      </w:r>
      <w:r>
        <w:rPr>
          <w:spacing w:val="40"/>
        </w:rPr>
        <w:t>  </w:t>
      </w:r>
      <w:r>
        <w:rPr/>
        <w:t>Foreign</w:t>
      </w:r>
      <w:r>
        <w:rPr>
          <w:spacing w:val="-3"/>
        </w:rPr>
        <w:t> </w:t>
      </w:r>
      <w:r>
        <w:rPr/>
        <w:t>remittances</w:t>
      </w:r>
      <w:r>
        <w:rPr>
          <w:spacing w:val="-3"/>
        </w:rPr>
        <w:t> </w:t>
      </w:r>
      <w:r>
        <w:rPr/>
        <w:t>have</w:t>
      </w:r>
      <w:r>
        <w:rPr>
          <w:spacing w:val="-4"/>
        </w:rPr>
        <w:t> </w:t>
      </w:r>
      <w:r>
        <w:rPr/>
        <w:t>no</w:t>
      </w:r>
      <w:r>
        <w:rPr>
          <w:spacing w:val="-4"/>
        </w:rPr>
        <w:t> </w:t>
      </w:r>
      <w:r>
        <w:rPr/>
        <w:t>significant</w:t>
      </w:r>
      <w:r>
        <w:rPr>
          <w:spacing w:val="-4"/>
        </w:rPr>
        <w:t> </w:t>
      </w:r>
      <w:r>
        <w:rPr/>
        <w:t>effect</w:t>
      </w:r>
      <w:r>
        <w:rPr>
          <w:spacing w:val="-4"/>
        </w:rPr>
        <w:t> </w:t>
      </w:r>
      <w:r>
        <w:rPr/>
        <w:t>on</w:t>
      </w:r>
      <w:r>
        <w:rPr>
          <w:spacing w:val="-4"/>
        </w:rPr>
        <w:t> </w:t>
      </w:r>
      <w:r>
        <w:rPr/>
        <w:t>economic</w:t>
      </w:r>
      <w:r>
        <w:rPr>
          <w:spacing w:val="-4"/>
        </w:rPr>
        <w:t> </w:t>
      </w:r>
      <w:r>
        <w:rPr/>
        <w:t>growth</w:t>
      </w:r>
      <w:r>
        <w:rPr>
          <w:spacing w:val="-4"/>
        </w:rPr>
        <w:t> </w:t>
      </w:r>
      <w:r>
        <w:rPr/>
        <w:t>in</w:t>
      </w:r>
      <w:r>
        <w:rPr>
          <w:spacing w:val="-1"/>
        </w:rPr>
        <w:t> </w:t>
      </w:r>
      <w:r>
        <w:rPr/>
        <w:t>Nigeria. Hi:</w:t>
      </w:r>
      <w:r>
        <w:rPr>
          <w:spacing w:val="80"/>
          <w:w w:val="150"/>
        </w:rPr>
        <w:t>  </w:t>
      </w:r>
      <w:r>
        <w:rPr/>
        <w:t>Foreign remittances have significant effect on economic growth in Nigeria.</w:t>
      </w:r>
    </w:p>
    <w:p>
      <w:pPr>
        <w:pStyle w:val="BodyText"/>
        <w:spacing w:line="480" w:lineRule="auto" w:before="3"/>
        <w:ind w:right="734"/>
        <w:jc w:val="both"/>
      </w:pPr>
      <w:r>
        <w:rPr/>
        <w:t>Based on the t-statistics value of 2.614367 and its probability value of 0.0147 in Table 5 which is statistically insignificant, we accept the null hypothesis and reject the alternative hypothesis. This implies</w:t>
      </w:r>
      <w:r>
        <w:rPr>
          <w:spacing w:val="-1"/>
        </w:rPr>
        <w:t> </w:t>
      </w:r>
      <w:r>
        <w:rPr/>
        <w:t>that financial deepening have significant effect on economic growth in Nigeria.</w:t>
      </w:r>
    </w:p>
    <w:p>
      <w:pPr>
        <w:pStyle w:val="Heading2"/>
        <w:numPr>
          <w:ilvl w:val="2"/>
          <w:numId w:val="24"/>
        </w:numPr>
        <w:tabs>
          <w:tab w:pos="780" w:val="left" w:leader="none"/>
        </w:tabs>
        <w:spacing w:line="240" w:lineRule="auto" w:before="161" w:after="0"/>
        <w:ind w:left="780" w:right="0" w:hanging="560"/>
        <w:jc w:val="both"/>
      </w:pPr>
      <w:bookmarkStart w:name="_TOC_250010" w:id="65"/>
      <w:r>
        <w:rPr/>
        <w:t>Test</w:t>
      </w:r>
      <w:r>
        <w:rPr>
          <w:spacing w:val="-6"/>
        </w:rPr>
        <w:t> </w:t>
      </w:r>
      <w:r>
        <w:rPr/>
        <w:t>of</w:t>
      </w:r>
      <w:r>
        <w:rPr>
          <w:spacing w:val="-6"/>
        </w:rPr>
        <w:t> </w:t>
      </w:r>
      <w:r>
        <w:rPr/>
        <w:t>Hypothesis</w:t>
      </w:r>
      <w:r>
        <w:rPr>
          <w:spacing w:val="-5"/>
        </w:rPr>
        <w:t> </w:t>
      </w:r>
      <w:bookmarkEnd w:id="65"/>
      <w:r>
        <w:rPr>
          <w:spacing w:val="-4"/>
        </w:rPr>
        <w:t>Five</w:t>
      </w:r>
    </w:p>
    <w:p>
      <w:pPr>
        <w:pStyle w:val="BodyText"/>
        <w:spacing w:before="162"/>
        <w:ind w:left="0"/>
        <w:rPr>
          <w:b/>
        </w:rPr>
      </w:pPr>
    </w:p>
    <w:p>
      <w:pPr>
        <w:pStyle w:val="BodyText"/>
        <w:spacing w:line="612" w:lineRule="auto"/>
        <w:ind w:right="1541"/>
        <w:jc w:val="both"/>
      </w:pPr>
      <w:r>
        <w:rPr/>
        <w:t>Ho:</w:t>
      </w:r>
      <w:r>
        <w:rPr>
          <w:spacing w:val="40"/>
        </w:rPr>
        <w:t>  </w:t>
      </w:r>
      <w:r>
        <w:rPr/>
        <w:t>Foreign</w:t>
      </w:r>
      <w:r>
        <w:rPr>
          <w:spacing w:val="-3"/>
        </w:rPr>
        <w:t> </w:t>
      </w:r>
      <w:r>
        <w:rPr/>
        <w:t>remittances</w:t>
      </w:r>
      <w:r>
        <w:rPr>
          <w:spacing w:val="-3"/>
        </w:rPr>
        <w:t> </w:t>
      </w:r>
      <w:r>
        <w:rPr/>
        <w:t>have</w:t>
      </w:r>
      <w:r>
        <w:rPr>
          <w:spacing w:val="-4"/>
        </w:rPr>
        <w:t> </w:t>
      </w:r>
      <w:r>
        <w:rPr/>
        <w:t>no</w:t>
      </w:r>
      <w:r>
        <w:rPr>
          <w:spacing w:val="-4"/>
        </w:rPr>
        <w:t> </w:t>
      </w:r>
      <w:r>
        <w:rPr/>
        <w:t>significant</w:t>
      </w:r>
      <w:r>
        <w:rPr>
          <w:spacing w:val="-4"/>
        </w:rPr>
        <w:t> </w:t>
      </w:r>
      <w:r>
        <w:rPr/>
        <w:t>effect</w:t>
      </w:r>
      <w:r>
        <w:rPr>
          <w:spacing w:val="-4"/>
        </w:rPr>
        <w:t> </w:t>
      </w:r>
      <w:r>
        <w:rPr/>
        <w:t>on</w:t>
      </w:r>
      <w:r>
        <w:rPr>
          <w:spacing w:val="-4"/>
        </w:rPr>
        <w:t> </w:t>
      </w:r>
      <w:r>
        <w:rPr/>
        <w:t>economic</w:t>
      </w:r>
      <w:r>
        <w:rPr>
          <w:spacing w:val="-4"/>
        </w:rPr>
        <w:t> </w:t>
      </w:r>
      <w:r>
        <w:rPr/>
        <w:t>growth</w:t>
      </w:r>
      <w:r>
        <w:rPr>
          <w:spacing w:val="-4"/>
        </w:rPr>
        <w:t> </w:t>
      </w:r>
      <w:r>
        <w:rPr/>
        <w:t>in</w:t>
      </w:r>
      <w:r>
        <w:rPr>
          <w:spacing w:val="-1"/>
        </w:rPr>
        <w:t> </w:t>
      </w:r>
      <w:r>
        <w:rPr/>
        <w:t>Nigeria. Hi:</w:t>
      </w:r>
      <w:r>
        <w:rPr>
          <w:spacing w:val="80"/>
          <w:w w:val="150"/>
        </w:rPr>
        <w:t>  </w:t>
      </w:r>
      <w:r>
        <w:rPr/>
        <w:t>Foreign remittances have significant effect on economic growth in Nigeria.</w:t>
      </w:r>
    </w:p>
    <w:p>
      <w:pPr>
        <w:spacing w:after="0" w:line="612" w:lineRule="auto"/>
        <w:jc w:val="both"/>
        <w:sectPr>
          <w:pgSz w:w="12240" w:h="15840"/>
          <w:pgMar w:header="0" w:footer="1012" w:top="1380" w:bottom="1200" w:left="1220" w:right="700"/>
        </w:sectPr>
      </w:pPr>
    </w:p>
    <w:p>
      <w:pPr>
        <w:pStyle w:val="BodyText"/>
        <w:spacing w:line="480" w:lineRule="auto" w:before="60"/>
        <w:ind w:right="734"/>
        <w:jc w:val="both"/>
      </w:pPr>
      <w:r>
        <w:rPr/>
        <mc:AlternateContent>
          <mc:Choice Requires="wps">
            <w:drawing>
              <wp:anchor distT="0" distB="0" distL="0" distR="0" allowOverlap="1" layoutInCell="1" locked="0" behindDoc="1" simplePos="0" relativeHeight="478102016">
                <wp:simplePos x="0" y="0"/>
                <wp:positionH relativeFrom="page">
                  <wp:posOffset>950112</wp:posOffset>
                </wp:positionH>
                <wp:positionV relativeFrom="paragraph">
                  <wp:posOffset>1321053</wp:posOffset>
                </wp:positionV>
                <wp:extent cx="5505450" cy="5661025"/>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04.019974pt;width:433.5pt;height:445.75pt;mso-position-horizontal-relative:page;mso-position-vertical-relative:paragraph;z-index:-25214464" id="docshape199" coordorigin="1496,2080" coordsize="8670,8915" path="m2562,10800l1691,9929,1496,10124,2367,10995,2562,10800xm3154,10124l3153,10085,3148,10042,3139,9998,3125,9954,3106,9910,3083,9867,3055,9825,3025,9784,2991,9744,2954,9705,2435,9185,2241,9379,2772,9911,2805,9947,2829,9982,2846,10017,2856,10051,2858,10084,2851,10115,2837,10143,2816,10169,2790,10191,2761,10205,2730,10211,2697,10209,2663,10199,2628,10183,2593,10158,2557,10126,2026,9595,1831,9789,2351,10308,2385,10340,2424,10373,2468,10405,2516,10438,2548,10456,2583,10472,2620,10485,2658,10496,2697,10504,2733,10508,2767,10508,2800,10505,2831,10498,2863,10486,2895,10470,2926,10449,2957,10426,2985,10403,3011,10380,3035,10357,3071,10317,3102,10276,3125,10235,3142,10193,3150,10160,3154,10124xm3882,9341l3876,9277,3860,9211,3834,9144,3806,9090,3771,9034,3728,8976,3678,8917,3661,8899,3621,8857,3597,8835,3597,9329,3592,9369,3577,9406,3551,9439,3518,9464,3481,9479,3441,9484,3396,9477,3347,9459,3294,9428,3235,9383,3171,9323,3112,9259,3066,9200,3035,9146,3016,9097,3010,9053,3014,9012,3029,8976,3053,8945,3086,8919,3122,8904,3163,8899,3207,8904,3255,8921,3307,8951,3363,8993,3423,9048,3488,9118,3538,9181,3572,9237,3591,9285,3597,9329,3597,8835,3551,8792,3482,8737,3413,8692,3344,8656,3276,8631,3209,8615,3130,8609,3055,8619,2983,8645,2914,8685,2850,8741,2796,8804,2756,8872,2732,8943,2723,9019,2729,9099,2746,9167,2772,9236,2808,9306,2854,9376,2910,9446,2976,9517,3036,9574,3096,9624,3156,9666,3215,9700,3273,9728,3344,9752,3411,9766,3475,9769,3535,9763,3593,9747,3649,9720,3705,9682,3758,9634,3805,9580,3841,9524,3858,9484,3866,9465,3879,9404,3882,9341x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t>Based on the t-statistics value of -1.348524 and its probability value of 0.1891 in Table 5 which is statistically insignificant, we accept the null hypothesis and reject the alternative hypothesis. This implies that foreign remittances have no significant effect on economic growth in Nigeria.</w:t>
      </w:r>
    </w:p>
    <w:p>
      <w:pPr>
        <w:pStyle w:val="Heading2"/>
        <w:numPr>
          <w:ilvl w:val="2"/>
          <w:numId w:val="24"/>
        </w:numPr>
        <w:tabs>
          <w:tab w:pos="780" w:val="left" w:leader="none"/>
        </w:tabs>
        <w:spacing w:line="240" w:lineRule="auto" w:before="160" w:after="0"/>
        <w:ind w:left="780" w:right="0" w:hanging="560"/>
        <w:jc w:val="both"/>
      </w:pPr>
      <w:r>
        <w:rPr/>
        <w:t>Test</w:t>
      </w:r>
      <w:r>
        <w:rPr>
          <w:spacing w:val="-6"/>
        </w:rPr>
        <w:t> </w:t>
      </w:r>
      <w:r>
        <w:rPr/>
        <w:t>of</w:t>
      </w:r>
      <w:r>
        <w:rPr>
          <w:spacing w:val="-6"/>
        </w:rPr>
        <w:t> </w:t>
      </w:r>
      <w:r>
        <w:rPr/>
        <w:t>Hypothesis</w:t>
      </w:r>
      <w:r>
        <w:rPr>
          <w:spacing w:val="-5"/>
        </w:rPr>
        <w:t> Six</w:t>
      </w:r>
    </w:p>
    <w:p>
      <w:pPr>
        <w:pStyle w:val="BodyText"/>
        <w:spacing w:before="159"/>
        <w:ind w:left="0"/>
        <w:rPr>
          <w:b/>
        </w:rPr>
      </w:pPr>
    </w:p>
    <w:p>
      <w:pPr>
        <w:pStyle w:val="BodyText"/>
        <w:spacing w:line="616" w:lineRule="auto"/>
        <w:ind w:right="1365"/>
        <w:jc w:val="both"/>
      </w:pPr>
      <w:r>
        <w:rPr/>
        <w:t>Ho:</w:t>
      </w:r>
      <w:r>
        <w:rPr>
          <w:spacing w:val="80"/>
        </w:rPr>
        <w:t>  </w:t>
      </w:r>
      <w:r>
        <w:rPr/>
        <w:t>Financial</w:t>
      </w:r>
      <w:r>
        <w:rPr>
          <w:spacing w:val="-3"/>
        </w:rPr>
        <w:t> </w:t>
      </w:r>
      <w:r>
        <w:rPr/>
        <w:t>deepening</w:t>
      </w:r>
      <w:r>
        <w:rPr>
          <w:spacing w:val="-2"/>
        </w:rPr>
        <w:t> </w:t>
      </w:r>
      <w:r>
        <w:rPr/>
        <w:t>has no</w:t>
      </w:r>
      <w:r>
        <w:rPr>
          <w:spacing w:val="-3"/>
        </w:rPr>
        <w:t> </w:t>
      </w:r>
      <w:r>
        <w:rPr/>
        <w:t>significant</w:t>
      </w:r>
      <w:r>
        <w:rPr>
          <w:spacing w:val="-3"/>
        </w:rPr>
        <w:t> </w:t>
      </w:r>
      <w:r>
        <w:rPr/>
        <w:t>effect</w:t>
      </w:r>
      <w:r>
        <w:rPr>
          <w:spacing w:val="-3"/>
        </w:rPr>
        <w:t> </w:t>
      </w:r>
      <w:r>
        <w:rPr/>
        <w:t>on</w:t>
      </w:r>
      <w:r>
        <w:rPr>
          <w:spacing w:val="-3"/>
        </w:rPr>
        <w:t> </w:t>
      </w:r>
      <w:r>
        <w:rPr/>
        <w:t>economic</w:t>
      </w:r>
      <w:r>
        <w:rPr>
          <w:spacing w:val="-3"/>
        </w:rPr>
        <w:t> </w:t>
      </w:r>
      <w:r>
        <w:rPr/>
        <w:t>growth</w:t>
      </w:r>
      <w:r>
        <w:rPr>
          <w:spacing w:val="-3"/>
        </w:rPr>
        <w:t> </w:t>
      </w:r>
      <w:r>
        <w:rPr/>
        <w:t>in</w:t>
      </w:r>
      <w:r>
        <w:rPr>
          <w:spacing w:val="80"/>
        </w:rPr>
        <w:t>  </w:t>
      </w:r>
      <w:r>
        <w:rPr/>
        <w:t>Nigeria. Hi:</w:t>
      </w:r>
      <w:r>
        <w:rPr>
          <w:spacing w:val="80"/>
          <w:w w:val="150"/>
        </w:rPr>
        <w:t>  </w:t>
      </w:r>
      <w:r>
        <w:rPr/>
        <w:t>Financial depending has significant effect on economic growth in Nigeria.</w:t>
      </w:r>
    </w:p>
    <w:p>
      <w:pPr>
        <w:pStyle w:val="BodyText"/>
        <w:spacing w:line="480" w:lineRule="auto"/>
        <w:ind w:right="734"/>
        <w:jc w:val="both"/>
      </w:pPr>
      <w:r>
        <w:rPr/>
        <w:t>Based on the t-statistics value of 5.087938 and its probability value of 0.0000 in Table 5 which is statistically significant, we reject the null hypothesis and accept the alternative hypothesis. This implies that official development assistance has significant effect on economic growth in Nigeria.</w:t>
      </w:r>
    </w:p>
    <w:p>
      <w:pPr>
        <w:spacing w:after="0" w:line="480" w:lineRule="auto"/>
        <w:jc w:val="both"/>
        <w:sectPr>
          <w:pgSz w:w="12240" w:h="15840"/>
          <w:pgMar w:header="0" w:footer="1012" w:top="1380" w:bottom="1200" w:left="1220" w:right="700"/>
        </w:sectPr>
      </w:pPr>
    </w:p>
    <w:p>
      <w:pPr>
        <w:pStyle w:val="Heading1"/>
        <w:spacing w:line="614" w:lineRule="auto"/>
        <w:ind w:left="3288" w:right="3808" w:firstLine="2"/>
      </w:pPr>
      <w:bookmarkStart w:name="_TOC_250009" w:id="66"/>
      <w:r>
        <w:rPr/>
        <w:t>CHAPTER FIVE DISCUSSION</w:t>
      </w:r>
      <w:r>
        <w:rPr>
          <w:spacing w:val="-16"/>
        </w:rPr>
        <w:t> </w:t>
      </w:r>
      <w:r>
        <w:rPr/>
        <w:t>OF</w:t>
      </w:r>
      <w:r>
        <w:rPr>
          <w:spacing w:val="-16"/>
        </w:rPr>
        <w:t> </w:t>
      </w:r>
      <w:bookmarkEnd w:id="66"/>
      <w:r>
        <w:rPr/>
        <w:t>FINDINGS</w:t>
      </w:r>
    </w:p>
    <w:p>
      <w:pPr>
        <w:pStyle w:val="BodyText"/>
        <w:spacing w:line="287" w:lineRule="exact"/>
        <w:ind w:left="172" w:right="688"/>
        <w:jc w:val="center"/>
      </w:pPr>
      <w:r>
        <w:rPr/>
        <w:t>In</w:t>
      </w:r>
      <w:r>
        <w:rPr>
          <w:spacing w:val="-7"/>
        </w:rPr>
        <w:t> </w:t>
      </w:r>
      <w:r>
        <w:rPr/>
        <w:t>this</w:t>
      </w:r>
      <w:r>
        <w:rPr>
          <w:spacing w:val="-4"/>
        </w:rPr>
        <w:t> </w:t>
      </w:r>
      <w:r>
        <w:rPr/>
        <w:t>section,</w:t>
      </w:r>
      <w:r>
        <w:rPr>
          <w:spacing w:val="-6"/>
        </w:rPr>
        <w:t> </w:t>
      </w:r>
      <w:r>
        <w:rPr/>
        <w:t>the</w:t>
      </w:r>
      <w:r>
        <w:rPr>
          <w:spacing w:val="-6"/>
        </w:rPr>
        <w:t> </w:t>
      </w:r>
      <w:r>
        <w:rPr/>
        <w:t>findings</w:t>
      </w:r>
      <w:r>
        <w:rPr>
          <w:spacing w:val="-5"/>
        </w:rPr>
        <w:t> </w:t>
      </w:r>
      <w:r>
        <w:rPr/>
        <w:t>based</w:t>
      </w:r>
      <w:r>
        <w:rPr>
          <w:spacing w:val="-4"/>
        </w:rPr>
        <w:t> </w:t>
      </w:r>
      <w:r>
        <w:rPr/>
        <w:t>on</w:t>
      </w:r>
      <w:r>
        <w:rPr>
          <w:spacing w:val="-6"/>
        </w:rPr>
        <w:t> </w:t>
      </w:r>
      <w:r>
        <w:rPr/>
        <w:t>the</w:t>
      </w:r>
      <w:r>
        <w:rPr>
          <w:spacing w:val="-6"/>
        </w:rPr>
        <w:t> </w:t>
      </w:r>
      <w:r>
        <w:rPr/>
        <w:t>objectives</w:t>
      </w:r>
      <w:r>
        <w:rPr>
          <w:spacing w:val="-5"/>
        </w:rPr>
        <w:t> </w:t>
      </w:r>
      <w:r>
        <w:rPr/>
        <w:t>of</w:t>
      </w:r>
      <w:r>
        <w:rPr>
          <w:spacing w:val="-6"/>
        </w:rPr>
        <w:t> </w:t>
      </w:r>
      <w:r>
        <w:rPr/>
        <w:t>the</w:t>
      </w:r>
      <w:r>
        <w:rPr>
          <w:spacing w:val="-6"/>
        </w:rPr>
        <w:t> </w:t>
      </w:r>
      <w:r>
        <w:rPr/>
        <w:t>studywere</w:t>
      </w:r>
      <w:r>
        <w:rPr>
          <w:spacing w:val="-6"/>
        </w:rPr>
        <w:t> </w:t>
      </w:r>
      <w:r>
        <w:rPr/>
        <w:t>presented</w:t>
      </w:r>
      <w:r>
        <w:rPr>
          <w:spacing w:val="-6"/>
        </w:rPr>
        <w:t> </w:t>
      </w:r>
      <w:r>
        <w:rPr/>
        <w:t>and</w:t>
      </w:r>
      <w:r>
        <w:rPr>
          <w:spacing w:val="-6"/>
        </w:rPr>
        <w:t> </w:t>
      </w:r>
      <w:r>
        <w:rPr>
          <w:spacing w:val="-2"/>
        </w:rPr>
        <w:t>discussed.</w:t>
      </w:r>
    </w:p>
    <w:p>
      <w:pPr>
        <w:pStyle w:val="BodyText"/>
        <w:spacing w:before="159"/>
        <w:ind w:left="0"/>
      </w:pPr>
    </w:p>
    <w:p>
      <w:pPr>
        <w:pStyle w:val="Heading2"/>
        <w:numPr>
          <w:ilvl w:val="1"/>
          <w:numId w:val="25"/>
        </w:numPr>
        <w:tabs>
          <w:tab w:pos="593" w:val="left" w:leader="none"/>
        </w:tabs>
        <w:spacing w:line="240" w:lineRule="auto" w:before="0" w:after="0"/>
        <w:ind w:left="593" w:right="0" w:hanging="373"/>
        <w:jc w:val="left"/>
      </w:pPr>
      <w:r>
        <w:rPr/>
        <mc:AlternateContent>
          <mc:Choice Requires="wps">
            <w:drawing>
              <wp:anchor distT="0" distB="0" distL="0" distR="0" allowOverlap="1" layoutInCell="1" locked="0" behindDoc="1" simplePos="0" relativeHeight="478102528">
                <wp:simplePos x="0" y="0"/>
                <wp:positionH relativeFrom="page">
                  <wp:posOffset>950112</wp:posOffset>
                </wp:positionH>
                <wp:positionV relativeFrom="paragraph">
                  <wp:posOffset>-117317</wp:posOffset>
                </wp:positionV>
                <wp:extent cx="5505450" cy="5661025"/>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9.237586pt;width:433.5pt;height:445.75pt;mso-position-horizontal-relative:page;mso-position-vertical-relative:paragraph;z-index:-25213952" id="docshape200" coordorigin="1496,-185" coordsize="8670,8915" path="m2562,8535l1691,7664,1496,7859,2367,8730,2562,8535xm3154,7859l3153,7820,3148,7777,3139,7733,3125,7689,3106,7645,3083,7602,3055,7560,3025,7519,2991,7479,2954,7439,2435,6920,2241,7114,2772,7646,2805,7682,2829,7717,2846,7752,2856,7786,2858,7819,2851,7850,2837,7878,2816,7904,2790,7926,2761,7940,2730,7946,2697,7944,2663,7934,2628,7917,2593,7893,2557,7861,2026,7329,1831,7524,2351,8043,2385,8075,2424,8107,2468,8140,2516,8172,2548,8191,2583,8207,2620,8220,2658,8231,2697,8239,2733,8243,2767,8243,2800,8239,2831,8232,2863,8221,2895,8205,2926,8184,2957,8161,2985,8138,3011,8115,3035,8092,3071,8052,3102,8011,3125,7970,3142,7927,3150,7895,3154,7859xm3882,7076l3876,7012,3860,6946,3834,6879,3806,6825,3771,6769,3728,6711,3678,6652,3661,6634,3621,6592,3597,6570,3597,7064,3592,7104,3577,7141,3551,7174,3518,7199,3481,7214,3441,7219,3396,7212,3347,7194,3294,7163,3235,7117,3171,7058,3112,6994,3066,6935,3035,6881,3016,6832,3010,6788,3014,6747,3029,6711,3053,6680,3086,6654,3122,6639,3163,6634,3207,6639,3255,6656,3307,6686,3363,6728,3423,6783,3488,6853,3538,6916,3572,6971,3591,7020,3597,7064,3597,6570,3551,6527,3482,6472,3413,6427,3344,6391,3276,6366,3209,6350,3130,6344,3055,6354,2983,6379,2914,6420,2850,6476,2796,6539,2756,6607,2732,6678,2723,6754,2729,6834,2746,6902,2772,6971,2808,7041,2854,7111,2910,7181,2976,7252,3036,7309,3096,7359,3156,7401,3215,7435,3273,7463,3344,7487,3411,7501,3475,7504,3535,7498,3593,7482,3649,7454,3705,7417,3758,7369,3805,7315,3841,7259,3858,7219,3866,7200,3879,7139,3882,7076xm4153,6496l3966,6309,3712,6563,3899,6750,4153,6496xm4664,6433l3793,5562,3598,5757,4469,6628,4664,6433xm4998,6099l4675,5776,4781,5669,4832,5609,4837,5599,4866,5548,4883,5485,4882,5420,4866,5354,4843,5303,4836,5288,4792,5222,4733,5156,4670,5099,4607,5056,4598,5052,4598,5445,4597,5471,4587,5497,4570,5524,4546,5552,4498,5599,4304,5405,4359,5350,4386,5326,4412,5311,4438,5303,4462,5304,4486,5310,4509,5321,4531,5335,4552,5354,4570,5375,4584,5398,4593,5421,4598,5445,4598,5052,4544,5027,4483,5011,4423,5010,4365,5025,4309,5055,4255,5100,3931,5423,4803,6295,4998,6099xm5788,5309l5132,4653,5330,4455,5115,4240,4524,4831,4739,5046,4937,4848,5593,5504,5788,5309xm6423,4674l5767,4018,5966,3819,5751,3604,5159,4196,5374,4411,5573,4213,6229,4869,6423,4674xm7157,3801l7151,3737,7135,3671,7109,3604,7081,3550,7046,3494,7003,3436,6953,3378,6935,3359,6896,3317,6872,3295,6872,3789,6867,3829,6851,3866,6825,3899,6793,3924,6756,3939,6716,3944,6671,3937,6622,3919,6569,3888,6510,3842,6446,3783,6387,3719,6341,3660,6309,3606,6291,3557,6285,3513,6289,3472,6304,3436,6328,3405,6361,3379,6397,3364,6438,3359,6482,3364,6530,3381,6582,3411,6638,3453,6698,3508,6763,3578,6813,3641,6847,3697,6866,3745,6872,3789,6872,3295,6826,3252,6756,3197,6687,3152,6619,3116,6551,3091,6483,3075,6405,3069,6329,3079,6258,3105,6189,3145,6125,3201,6071,3264,6031,3332,6007,3403,5998,3479,6004,3559,6021,3627,6047,3696,6083,3766,6129,3836,6184,3906,6250,3977,6311,4034,6371,4084,6431,4126,6490,4160,6548,4188,6619,4212,6686,4226,6750,4229,6810,4223,6868,4207,6924,4180,6979,4142,7033,4094,7080,4040,7116,3984,7133,3944,7141,3925,7154,3864,7157,3801xm8170,2805l8165,2757,8153,2706,8134,2653,8109,2599,8079,2543,8041,2486,7980,2510,7799,2585,7831,2631,7855,2675,7873,2715,7884,2752,7887,2787,7881,2820,7866,2851,7843,2880,7812,2904,7778,2918,7740,2922,7700,2916,7653,2897,7600,2864,7538,2814,7469,2749,7417,2693,7375,2641,7344,2594,7324,2551,7311,2499,7312,2453,7325,2412,7352,2376,7367,2363,7384,2352,7402,2345,7422,2340,7442,2338,7464,2338,7486,2341,7509,2347,7524,2353,7542,2362,7563,2373,7586,2387,7705,2162,7622,2116,7543,2084,7469,2065,7400,2058,7333,2066,7269,2089,7206,2127,7146,2179,7092,2242,7054,2308,7030,2379,7021,2453,7027,2530,7044,2597,7070,2665,7106,2734,7153,2804,7209,2875,7276,2946,7341,3007,7404,3059,7467,3103,7529,3138,7590,3165,7662,3189,7730,3202,7791,3205,7847,3198,7900,3181,7952,3154,8004,3118,8056,3071,8094,3029,8125,2986,8147,2942,8161,2898,8169,2852,8170,2805xm8868,2090l8861,2026,8846,1960,8820,1893,8792,1839,8757,1783,8714,1726,8664,1667,8646,1648,8607,1606,8583,1584,8583,2078,8578,2118,8562,2155,8536,2188,8504,2213,8467,2228,8427,2233,8382,2226,8333,2208,8279,2177,8221,2132,8157,2073,8098,2009,8052,1949,8020,1895,8002,1846,7996,1802,8000,1761,8014,1726,8039,1694,8071,1668,8108,1653,8149,1648,8193,1653,8241,1670,8293,1700,8349,1742,8409,1797,8474,1867,8524,1930,8558,1986,8577,2034,8583,2078,8583,1584,8537,1541,8467,1486,8398,1441,8330,1405,8262,1380,8194,1364,8116,1358,8040,1368,7968,1394,7900,1434,7835,1490,7781,1553,7742,1621,7718,1693,7709,1768,7715,1848,7731,1916,7758,1985,7794,2055,7839,2125,7895,2195,7961,2266,8022,2323,8082,2373,8142,2415,8201,2450,8259,2477,8329,2501,8397,2515,8461,2518,8521,2512,8579,2496,8635,2469,8690,2431,8744,2383,8791,2329,8827,2273,8844,2233,8852,2214,8865,2153,8868,2090xm9348,1749l9025,1426,9132,1319,9182,1259,9188,1249,9216,1198,9233,1134,9233,1069,9217,1004,9194,953,9187,938,9142,872,9084,806,9020,749,8957,706,8948,702,8948,1095,8947,1121,8938,1147,8921,1174,8896,1201,8849,1249,8654,1055,8710,999,8737,976,8763,961,8788,953,8812,954,8836,960,8859,971,8881,985,8902,1003,8920,1025,8934,1047,8943,1071,8948,1095,8948,702,8895,677,8833,661,8773,660,8715,674,8659,704,8605,750,8282,1073,9153,1944,9348,1749xm10166,931l9801,566,9748,416,9593,-35,9540,-185,9325,30,9353,101,9436,311,9492,452,9422,424,9211,340,9071,284,8854,501,9005,553,9456,709,9606,761,9971,1126,10166,931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03040">
                <wp:simplePos x="0" y="0"/>
                <wp:positionH relativeFrom="page">
                  <wp:posOffset>896416</wp:posOffset>
                </wp:positionH>
                <wp:positionV relativeFrom="paragraph">
                  <wp:posOffset>551</wp:posOffset>
                </wp:positionV>
                <wp:extent cx="5981065" cy="5679440"/>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5981065" cy="5679440"/>
                        </a:xfrm>
                        <a:custGeom>
                          <a:avLst/>
                          <a:gdLst/>
                          <a:ahLst/>
                          <a:cxnLst/>
                          <a:rect l="l" t="t" r="r" b="b"/>
                          <a:pathLst>
                            <a:path w="5981065" h="5679440">
                              <a:moveTo>
                                <a:pt x="5981065" y="4949126"/>
                              </a:moveTo>
                              <a:lnTo>
                                <a:pt x="0" y="4949126"/>
                              </a:lnTo>
                              <a:lnTo>
                                <a:pt x="0" y="5315191"/>
                              </a:lnTo>
                              <a:lnTo>
                                <a:pt x="0" y="5679427"/>
                              </a:lnTo>
                              <a:lnTo>
                                <a:pt x="5981065" y="5679427"/>
                              </a:lnTo>
                              <a:lnTo>
                                <a:pt x="5981065" y="5315191"/>
                              </a:lnTo>
                              <a:lnTo>
                                <a:pt x="5981065" y="4949126"/>
                              </a:lnTo>
                              <a:close/>
                            </a:path>
                            <a:path w="5981065" h="5679440">
                              <a:moveTo>
                                <a:pt x="5981065" y="364299"/>
                              </a:moveTo>
                              <a:lnTo>
                                <a:pt x="0" y="364299"/>
                              </a:lnTo>
                              <a:lnTo>
                                <a:pt x="0" y="830948"/>
                              </a:lnTo>
                              <a:lnTo>
                                <a:pt x="0" y="1196708"/>
                              </a:lnTo>
                              <a:lnTo>
                                <a:pt x="0" y="4949050"/>
                              </a:lnTo>
                              <a:lnTo>
                                <a:pt x="5981065" y="4949050"/>
                              </a:lnTo>
                              <a:lnTo>
                                <a:pt x="5981065" y="830948"/>
                              </a:lnTo>
                              <a:lnTo>
                                <a:pt x="5981065" y="364299"/>
                              </a:lnTo>
                              <a:close/>
                            </a:path>
                            <a:path w="5981065" h="5679440">
                              <a:moveTo>
                                <a:pt x="5981065" y="0"/>
                              </a:moveTo>
                              <a:lnTo>
                                <a:pt x="0" y="0"/>
                              </a:lnTo>
                              <a:lnTo>
                                <a:pt x="0" y="364223"/>
                              </a:lnTo>
                              <a:lnTo>
                                <a:pt x="5981065" y="364223"/>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043415pt;width:470.95pt;height:447.2pt;mso-position-horizontal-relative:page;mso-position-vertical-relative:paragraph;z-index:-25213440" id="docshape201" coordorigin="1412,1" coordsize="9419,8944" path="m10831,7795l1412,7795,1412,8371,1412,8945,10831,8945,10831,8371,10831,7795xm10831,575l1412,575,1412,1309,1412,1885,1412,2461,1412,3035,1412,3769,1412,4345,1412,4345,1412,4922,1412,5495,1412,6071,1412,6645,1412,7221,1412,7795,10831,7795,10831,7221,10831,6645,10831,6071,10831,5495,10831,4922,10831,4345,10831,4345,10831,3769,10831,3035,10831,2461,10831,1885,10831,1309,10831,575xm10831,1l1412,1,1412,574,10831,574,10831,1xe" filled="true" fillcolor="#ffffff" stroked="false">
                <v:path arrowok="t"/>
                <v:fill type="solid"/>
                <w10:wrap type="none"/>
              </v:shape>
            </w:pict>
          </mc:Fallback>
        </mc:AlternateContent>
      </w:r>
      <w:bookmarkStart w:name="_TOC_250008" w:id="67"/>
      <w:r>
        <w:rPr/>
        <w:t>Foreign</w:t>
      </w:r>
      <w:r>
        <w:rPr>
          <w:spacing w:val="-9"/>
        </w:rPr>
        <w:t> </w:t>
      </w:r>
      <w:r>
        <w:rPr/>
        <w:t>Direct</w:t>
      </w:r>
      <w:r>
        <w:rPr>
          <w:spacing w:val="-8"/>
        </w:rPr>
        <w:t> </w:t>
      </w:r>
      <w:r>
        <w:rPr/>
        <w:t>Investment</w:t>
      </w:r>
      <w:r>
        <w:rPr>
          <w:spacing w:val="-8"/>
        </w:rPr>
        <w:t> </w:t>
      </w:r>
      <w:r>
        <w:rPr/>
        <w:t>Inflow</w:t>
      </w:r>
      <w:r>
        <w:rPr>
          <w:spacing w:val="-8"/>
        </w:rPr>
        <w:t> </w:t>
      </w:r>
      <w:r>
        <w:rPr/>
        <w:t>and</w:t>
      </w:r>
      <w:r>
        <w:rPr>
          <w:spacing w:val="-7"/>
        </w:rPr>
        <w:t> </w:t>
      </w:r>
      <w:r>
        <w:rPr/>
        <w:t>Economic</w:t>
      </w:r>
      <w:r>
        <w:rPr>
          <w:spacing w:val="-9"/>
        </w:rPr>
        <w:t> </w:t>
      </w:r>
      <w:r>
        <w:rPr/>
        <w:t>Growth</w:t>
      </w:r>
      <w:r>
        <w:rPr>
          <w:spacing w:val="-8"/>
        </w:rPr>
        <w:t> </w:t>
      </w:r>
      <w:r>
        <w:rPr/>
        <w:t>in</w:t>
      </w:r>
      <w:r>
        <w:rPr>
          <w:spacing w:val="-8"/>
        </w:rPr>
        <w:t> </w:t>
      </w:r>
      <w:bookmarkEnd w:id="67"/>
      <w:r>
        <w:rPr>
          <w:spacing w:val="-2"/>
        </w:rPr>
        <w:t>Nigeria</w:t>
      </w:r>
    </w:p>
    <w:p>
      <w:pPr>
        <w:pStyle w:val="BodyText"/>
        <w:spacing w:before="159"/>
        <w:ind w:left="0"/>
        <w:rPr>
          <w:b/>
        </w:rPr>
      </w:pPr>
    </w:p>
    <w:p>
      <w:pPr>
        <w:pStyle w:val="BodyText"/>
      </w:pPr>
      <w:r>
        <w:rPr/>
        <w:t>The</w:t>
      </w:r>
      <w:r>
        <w:rPr>
          <w:spacing w:val="33"/>
        </w:rPr>
        <w:t> </w:t>
      </w:r>
      <w:r>
        <w:rPr/>
        <w:t>study</w:t>
      </w:r>
      <w:r>
        <w:rPr>
          <w:spacing w:val="34"/>
        </w:rPr>
        <w:t> </w:t>
      </w:r>
      <w:r>
        <w:rPr/>
        <w:t>found</w:t>
      </w:r>
      <w:r>
        <w:rPr>
          <w:spacing w:val="34"/>
        </w:rPr>
        <w:t> </w:t>
      </w:r>
      <w:r>
        <w:rPr/>
        <w:t>that</w:t>
      </w:r>
      <w:r>
        <w:rPr>
          <w:spacing w:val="36"/>
        </w:rPr>
        <w:t> </w:t>
      </w:r>
      <w:r>
        <w:rPr/>
        <w:t>foreign</w:t>
      </w:r>
      <w:r>
        <w:rPr>
          <w:spacing w:val="34"/>
        </w:rPr>
        <w:t> </w:t>
      </w:r>
      <w:r>
        <w:rPr/>
        <w:t>direct</w:t>
      </w:r>
      <w:r>
        <w:rPr>
          <w:spacing w:val="34"/>
        </w:rPr>
        <w:t> </w:t>
      </w:r>
      <w:r>
        <w:rPr/>
        <w:t>investment</w:t>
      </w:r>
      <w:r>
        <w:rPr>
          <w:spacing w:val="34"/>
        </w:rPr>
        <w:t> </w:t>
      </w:r>
      <w:r>
        <w:rPr/>
        <w:t>inflow</w:t>
      </w:r>
      <w:r>
        <w:rPr>
          <w:spacing w:val="34"/>
        </w:rPr>
        <w:t> </w:t>
      </w:r>
      <w:r>
        <w:rPr/>
        <w:t>has</w:t>
      </w:r>
      <w:r>
        <w:rPr>
          <w:spacing w:val="34"/>
        </w:rPr>
        <w:t> </w:t>
      </w:r>
      <w:r>
        <w:rPr/>
        <w:t>significant</w:t>
      </w:r>
      <w:r>
        <w:rPr>
          <w:spacing w:val="35"/>
        </w:rPr>
        <w:t> </w:t>
      </w:r>
      <w:r>
        <w:rPr/>
        <w:t>effect</w:t>
      </w:r>
      <w:r>
        <w:rPr>
          <w:spacing w:val="35"/>
        </w:rPr>
        <w:t> </w:t>
      </w:r>
      <w:r>
        <w:rPr/>
        <w:t>on</w:t>
      </w:r>
      <w:r>
        <w:rPr>
          <w:spacing w:val="36"/>
        </w:rPr>
        <w:t> </w:t>
      </w:r>
      <w:r>
        <w:rPr>
          <w:spacing w:val="-2"/>
        </w:rPr>
        <w:t>economic</w:t>
      </w:r>
    </w:p>
    <w:p>
      <w:pPr>
        <w:pStyle w:val="BodyText"/>
        <w:spacing w:before="287"/>
      </w:pPr>
      <w:r>
        <w:rPr/>
        <w:t>growth</w:t>
      </w:r>
      <w:r>
        <w:rPr>
          <w:spacing w:val="32"/>
        </w:rPr>
        <w:t> </w:t>
      </w:r>
      <w:r>
        <w:rPr/>
        <w:t>in</w:t>
      </w:r>
      <w:r>
        <w:rPr>
          <w:spacing w:val="33"/>
        </w:rPr>
        <w:t> </w:t>
      </w:r>
      <w:r>
        <w:rPr/>
        <w:t>Nigeria.</w:t>
      </w:r>
      <w:r>
        <w:rPr>
          <w:spacing w:val="33"/>
        </w:rPr>
        <w:t> </w:t>
      </w:r>
      <w:r>
        <w:rPr/>
        <w:t>This</w:t>
      </w:r>
      <w:r>
        <w:rPr>
          <w:spacing w:val="34"/>
        </w:rPr>
        <w:t> </w:t>
      </w:r>
      <w:r>
        <w:rPr/>
        <w:t>implies</w:t>
      </w:r>
      <w:r>
        <w:rPr>
          <w:spacing w:val="33"/>
        </w:rPr>
        <w:t> </w:t>
      </w:r>
      <w:r>
        <w:rPr/>
        <w:t>that</w:t>
      </w:r>
      <w:r>
        <w:rPr>
          <w:spacing w:val="32"/>
        </w:rPr>
        <w:t> </w:t>
      </w:r>
      <w:r>
        <w:rPr/>
        <w:t>foreign</w:t>
      </w:r>
      <w:r>
        <w:rPr>
          <w:spacing w:val="35"/>
        </w:rPr>
        <w:t> </w:t>
      </w:r>
      <w:r>
        <w:rPr/>
        <w:t>direct</w:t>
      </w:r>
      <w:r>
        <w:rPr>
          <w:spacing w:val="34"/>
        </w:rPr>
        <w:t> </w:t>
      </w:r>
      <w:r>
        <w:rPr/>
        <w:t>investment</w:t>
      </w:r>
      <w:r>
        <w:rPr>
          <w:spacing w:val="33"/>
        </w:rPr>
        <w:t> </w:t>
      </w:r>
      <w:r>
        <w:rPr/>
        <w:t>contributes</w:t>
      </w:r>
      <w:r>
        <w:rPr>
          <w:spacing w:val="33"/>
        </w:rPr>
        <w:t> </w:t>
      </w:r>
      <w:r>
        <w:rPr/>
        <w:t>significantly</w:t>
      </w:r>
      <w:r>
        <w:rPr>
          <w:spacing w:val="32"/>
        </w:rPr>
        <w:t> </w:t>
      </w:r>
      <w:r>
        <w:rPr>
          <w:spacing w:val="-5"/>
        </w:rPr>
        <w:t>to</w:t>
      </w:r>
    </w:p>
    <w:p>
      <w:pPr>
        <w:pStyle w:val="BodyText"/>
        <w:spacing w:before="1"/>
        <w:ind w:left="0"/>
      </w:pPr>
    </w:p>
    <w:p>
      <w:pPr>
        <w:pStyle w:val="BodyText"/>
      </w:pPr>
      <w:r>
        <w:rPr/>
        <w:t>economic</w:t>
      </w:r>
      <w:r>
        <w:rPr>
          <w:spacing w:val="12"/>
        </w:rPr>
        <w:t> </w:t>
      </w:r>
      <w:r>
        <w:rPr/>
        <w:t>growth</w:t>
      </w:r>
      <w:r>
        <w:rPr>
          <w:spacing w:val="12"/>
        </w:rPr>
        <w:t> </w:t>
      </w:r>
      <w:r>
        <w:rPr/>
        <w:t>in</w:t>
      </w:r>
      <w:r>
        <w:rPr>
          <w:spacing w:val="13"/>
        </w:rPr>
        <w:t> </w:t>
      </w:r>
      <w:r>
        <w:rPr/>
        <w:t>Nigeria</w:t>
      </w:r>
      <w:r>
        <w:rPr>
          <w:spacing w:val="13"/>
        </w:rPr>
        <w:t> </w:t>
      </w:r>
      <w:r>
        <w:rPr/>
        <w:t>within</w:t>
      </w:r>
      <w:r>
        <w:rPr>
          <w:spacing w:val="13"/>
        </w:rPr>
        <w:t> </w:t>
      </w:r>
      <w:r>
        <w:rPr/>
        <w:t>the</w:t>
      </w:r>
      <w:r>
        <w:rPr>
          <w:spacing w:val="12"/>
        </w:rPr>
        <w:t> </w:t>
      </w:r>
      <w:r>
        <w:rPr/>
        <w:t>period</w:t>
      </w:r>
      <w:r>
        <w:rPr>
          <w:spacing w:val="15"/>
        </w:rPr>
        <w:t> </w:t>
      </w:r>
      <w:r>
        <w:rPr/>
        <w:t>under</w:t>
      </w:r>
      <w:r>
        <w:rPr>
          <w:spacing w:val="13"/>
        </w:rPr>
        <w:t> </w:t>
      </w:r>
      <w:r>
        <w:rPr/>
        <w:t>review.</w:t>
      </w:r>
      <w:r>
        <w:rPr>
          <w:spacing w:val="12"/>
        </w:rPr>
        <w:t> </w:t>
      </w:r>
      <w:r>
        <w:rPr/>
        <w:t>This</w:t>
      </w:r>
      <w:r>
        <w:rPr>
          <w:spacing w:val="14"/>
        </w:rPr>
        <w:t> </w:t>
      </w:r>
      <w:r>
        <w:rPr/>
        <w:t>is</w:t>
      </w:r>
      <w:r>
        <w:rPr>
          <w:spacing w:val="14"/>
        </w:rPr>
        <w:t> </w:t>
      </w:r>
      <w:r>
        <w:rPr/>
        <w:t>supported</w:t>
      </w:r>
      <w:r>
        <w:rPr>
          <w:spacing w:val="12"/>
        </w:rPr>
        <w:t> </w:t>
      </w:r>
      <w:r>
        <w:rPr/>
        <w:t>byt-</w:t>
      </w:r>
      <w:r>
        <w:rPr>
          <w:spacing w:val="-2"/>
        </w:rPr>
        <w:t>statistics</w:t>
      </w:r>
    </w:p>
    <w:p>
      <w:pPr>
        <w:pStyle w:val="BodyText"/>
        <w:spacing w:before="1"/>
        <w:ind w:left="0"/>
      </w:pPr>
    </w:p>
    <w:p>
      <w:pPr>
        <w:pStyle w:val="BodyText"/>
      </w:pPr>
      <w:r>
        <w:rPr/>
        <w:t>value</w:t>
      </w:r>
      <w:r>
        <w:rPr>
          <w:spacing w:val="-7"/>
        </w:rPr>
        <w:t> </w:t>
      </w:r>
      <w:r>
        <w:rPr/>
        <w:t>of</w:t>
      </w:r>
      <w:r>
        <w:rPr>
          <w:spacing w:val="-6"/>
        </w:rPr>
        <w:t> </w:t>
      </w:r>
      <w:r>
        <w:rPr/>
        <w:t>3.014132</w:t>
      </w:r>
      <w:r>
        <w:rPr>
          <w:spacing w:val="-7"/>
        </w:rPr>
        <w:t> </w:t>
      </w:r>
      <w:r>
        <w:rPr/>
        <w:t>and</w:t>
      </w:r>
      <w:r>
        <w:rPr>
          <w:spacing w:val="-7"/>
        </w:rPr>
        <w:t> </w:t>
      </w:r>
      <w:r>
        <w:rPr/>
        <w:t>probability</w:t>
      </w:r>
      <w:r>
        <w:rPr>
          <w:spacing w:val="-6"/>
        </w:rPr>
        <w:t> </w:t>
      </w:r>
      <w:r>
        <w:rPr/>
        <w:t>value</w:t>
      </w:r>
      <w:r>
        <w:rPr>
          <w:spacing w:val="-7"/>
        </w:rPr>
        <w:t> </w:t>
      </w:r>
      <w:r>
        <w:rPr/>
        <w:t>of</w:t>
      </w:r>
      <w:r>
        <w:rPr>
          <w:spacing w:val="-4"/>
        </w:rPr>
        <w:t> </w:t>
      </w:r>
      <w:r>
        <w:rPr/>
        <w:t>0.0057which</w:t>
      </w:r>
      <w:r>
        <w:rPr>
          <w:spacing w:val="-7"/>
        </w:rPr>
        <w:t> </w:t>
      </w:r>
      <w:r>
        <w:rPr/>
        <w:t>is</w:t>
      </w:r>
      <w:r>
        <w:rPr>
          <w:spacing w:val="-6"/>
        </w:rPr>
        <w:t> </w:t>
      </w:r>
      <w:r>
        <w:rPr/>
        <w:t>statistically</w:t>
      </w:r>
      <w:r>
        <w:rPr>
          <w:spacing w:val="-6"/>
        </w:rPr>
        <w:t> </w:t>
      </w:r>
      <w:r>
        <w:rPr>
          <w:spacing w:val="-2"/>
        </w:rPr>
        <w:t>significant.</w:t>
      </w:r>
    </w:p>
    <w:p>
      <w:pPr>
        <w:pStyle w:val="BodyText"/>
        <w:spacing w:before="159"/>
        <w:ind w:left="0"/>
      </w:pPr>
    </w:p>
    <w:p>
      <w:pPr>
        <w:pStyle w:val="BodyText"/>
        <w:spacing w:before="1"/>
      </w:pPr>
      <w:r>
        <w:rPr/>
        <w:t>This</w:t>
      </w:r>
      <w:r>
        <w:rPr>
          <w:spacing w:val="59"/>
        </w:rPr>
        <w:t> </w:t>
      </w:r>
      <w:r>
        <w:rPr/>
        <w:t>agrees</w:t>
      </w:r>
      <w:r>
        <w:rPr>
          <w:spacing w:val="58"/>
        </w:rPr>
        <w:t> </w:t>
      </w:r>
      <w:r>
        <w:rPr/>
        <w:t>with</w:t>
      </w:r>
      <w:r>
        <w:rPr>
          <w:spacing w:val="59"/>
        </w:rPr>
        <w:t> </w:t>
      </w:r>
      <w:r>
        <w:rPr/>
        <w:t>the</w:t>
      </w:r>
      <w:r>
        <w:rPr>
          <w:spacing w:val="57"/>
        </w:rPr>
        <w:t> </w:t>
      </w:r>
      <w:r>
        <w:rPr/>
        <w:t>findings</w:t>
      </w:r>
      <w:r>
        <w:rPr>
          <w:spacing w:val="60"/>
        </w:rPr>
        <w:t> </w:t>
      </w:r>
      <w:r>
        <w:rPr/>
        <w:t>of</w:t>
      </w:r>
      <w:r>
        <w:rPr>
          <w:spacing w:val="61"/>
        </w:rPr>
        <w:t> </w:t>
      </w:r>
      <w:r>
        <w:rPr/>
        <w:t>Biplab</w:t>
      </w:r>
      <w:r>
        <w:rPr>
          <w:spacing w:val="59"/>
        </w:rPr>
        <w:t> </w:t>
      </w:r>
      <w:r>
        <w:rPr/>
        <w:t>and</w:t>
      </w:r>
      <w:r>
        <w:rPr>
          <w:spacing w:val="60"/>
        </w:rPr>
        <w:t> </w:t>
      </w:r>
      <w:r>
        <w:rPr/>
        <w:t>Inder</w:t>
      </w:r>
      <w:r>
        <w:rPr>
          <w:spacing w:val="58"/>
        </w:rPr>
        <w:t> </w:t>
      </w:r>
      <w:r>
        <w:rPr/>
        <w:t>(2021)</w:t>
      </w:r>
      <w:r>
        <w:rPr>
          <w:spacing w:val="59"/>
        </w:rPr>
        <w:t> </w:t>
      </w:r>
      <w:r>
        <w:rPr/>
        <w:t>thatinflows</w:t>
      </w:r>
      <w:r>
        <w:rPr>
          <w:spacing w:val="59"/>
        </w:rPr>
        <w:t> </w:t>
      </w:r>
      <w:r>
        <w:rPr/>
        <w:t>of</w:t>
      </w:r>
      <w:r>
        <w:rPr>
          <w:spacing w:val="59"/>
        </w:rPr>
        <w:t> </w:t>
      </w:r>
      <w:r>
        <w:rPr/>
        <w:t>foreign</w:t>
      </w:r>
      <w:r>
        <w:rPr>
          <w:spacing w:val="58"/>
        </w:rPr>
        <w:t> </w:t>
      </w:r>
      <w:r>
        <w:rPr>
          <w:spacing w:val="-2"/>
        </w:rPr>
        <w:t>direct</w:t>
      </w:r>
    </w:p>
    <w:p>
      <w:pPr>
        <w:pStyle w:val="BodyText"/>
        <w:spacing w:before="286"/>
      </w:pPr>
      <w:r>
        <w:rPr/>
        <w:t>investment</w:t>
      </w:r>
      <w:r>
        <w:rPr>
          <w:spacing w:val="30"/>
        </w:rPr>
        <w:t> </w:t>
      </w:r>
      <w:r>
        <w:rPr/>
        <w:t>facilitatehigher</w:t>
      </w:r>
      <w:r>
        <w:rPr>
          <w:spacing w:val="31"/>
        </w:rPr>
        <w:t> </w:t>
      </w:r>
      <w:r>
        <w:rPr/>
        <w:t>output</w:t>
      </w:r>
      <w:r>
        <w:rPr>
          <w:spacing w:val="32"/>
        </w:rPr>
        <w:t> </w:t>
      </w:r>
      <w:r>
        <w:rPr/>
        <w:t>in</w:t>
      </w:r>
      <w:r>
        <w:rPr>
          <w:spacing w:val="30"/>
        </w:rPr>
        <w:t> </w:t>
      </w:r>
      <w:r>
        <w:rPr/>
        <w:t>theeconomy.</w:t>
      </w:r>
      <w:r>
        <w:rPr>
          <w:spacing w:val="33"/>
        </w:rPr>
        <w:t> </w:t>
      </w:r>
      <w:r>
        <w:rPr/>
        <w:t>Duc,</w:t>
      </w:r>
      <w:r>
        <w:rPr>
          <w:spacing w:val="30"/>
        </w:rPr>
        <w:t> </w:t>
      </w:r>
      <w:r>
        <w:rPr/>
        <w:t>Anh</w:t>
      </w:r>
      <w:r>
        <w:rPr>
          <w:spacing w:val="32"/>
        </w:rPr>
        <w:t> </w:t>
      </w:r>
      <w:r>
        <w:rPr/>
        <w:t>and</w:t>
      </w:r>
      <w:r>
        <w:rPr>
          <w:spacing w:val="32"/>
        </w:rPr>
        <w:t> </w:t>
      </w:r>
      <w:r>
        <w:rPr/>
        <w:t>Chi</w:t>
      </w:r>
      <w:r>
        <w:rPr>
          <w:spacing w:val="33"/>
        </w:rPr>
        <w:t> </w:t>
      </w:r>
      <w:r>
        <w:rPr/>
        <w:t>(2020)</w:t>
      </w:r>
      <w:r>
        <w:rPr>
          <w:spacing w:val="34"/>
        </w:rPr>
        <w:t> </w:t>
      </w:r>
      <w:r>
        <w:rPr/>
        <w:t>found</w:t>
      </w:r>
      <w:r>
        <w:rPr>
          <w:spacing w:val="30"/>
        </w:rPr>
        <w:t> </w:t>
      </w:r>
      <w:r>
        <w:rPr>
          <w:spacing w:val="-2"/>
        </w:rPr>
        <w:t>along-</w:t>
      </w:r>
    </w:p>
    <w:p>
      <w:pPr>
        <w:pStyle w:val="BodyText"/>
        <w:spacing w:before="1"/>
        <w:ind w:left="0"/>
      </w:pPr>
    </w:p>
    <w:p>
      <w:pPr>
        <w:pStyle w:val="BodyText"/>
      </w:pPr>
      <w:r>
        <w:rPr/>
        <w:t>term</w:t>
      </w:r>
      <w:r>
        <w:rPr>
          <w:spacing w:val="48"/>
        </w:rPr>
        <w:t> </w:t>
      </w:r>
      <w:r>
        <w:rPr/>
        <w:t>co-integrationbetween</w:t>
      </w:r>
      <w:r>
        <w:rPr>
          <w:spacing w:val="48"/>
        </w:rPr>
        <w:t> </w:t>
      </w:r>
      <w:r>
        <w:rPr/>
        <w:t>financial</w:t>
      </w:r>
      <w:r>
        <w:rPr>
          <w:spacing w:val="49"/>
        </w:rPr>
        <w:t> </w:t>
      </w:r>
      <w:r>
        <w:rPr/>
        <w:t>integrationand</w:t>
      </w:r>
      <w:r>
        <w:rPr>
          <w:spacing w:val="48"/>
        </w:rPr>
        <w:t> </w:t>
      </w:r>
      <w:r>
        <w:rPr/>
        <w:t>economic</w:t>
      </w:r>
      <w:r>
        <w:rPr>
          <w:spacing w:val="50"/>
        </w:rPr>
        <w:t> </w:t>
      </w:r>
      <w:r>
        <w:rPr/>
        <w:t>growth.</w:t>
      </w:r>
      <w:r>
        <w:rPr>
          <w:spacing w:val="50"/>
        </w:rPr>
        <w:t> </w:t>
      </w:r>
      <w:r>
        <w:rPr/>
        <w:t>Derrick,</w:t>
      </w:r>
      <w:r>
        <w:rPr>
          <w:spacing w:val="49"/>
        </w:rPr>
        <w:t> </w:t>
      </w:r>
      <w:r>
        <w:rPr>
          <w:spacing w:val="-2"/>
        </w:rPr>
        <w:t>Caroline,</w:t>
      </w:r>
    </w:p>
    <w:p>
      <w:pPr>
        <w:pStyle w:val="BodyText"/>
        <w:spacing w:before="1"/>
        <w:ind w:left="0"/>
      </w:pPr>
    </w:p>
    <w:p>
      <w:pPr>
        <w:pStyle w:val="BodyText"/>
      </w:pPr>
      <w:r>
        <w:rPr/>
        <w:t>Rosle</w:t>
      </w:r>
      <w:r>
        <w:rPr>
          <w:spacing w:val="41"/>
        </w:rPr>
        <w:t> </w:t>
      </w:r>
      <w:r>
        <w:rPr/>
        <w:t>and</w:t>
      </w:r>
      <w:r>
        <w:rPr>
          <w:spacing w:val="44"/>
        </w:rPr>
        <w:t> </w:t>
      </w:r>
      <w:r>
        <w:rPr/>
        <w:t>Vivin</w:t>
      </w:r>
      <w:r>
        <w:rPr>
          <w:spacing w:val="42"/>
        </w:rPr>
        <w:t> </w:t>
      </w:r>
      <w:r>
        <w:rPr/>
        <w:t>(2011)</w:t>
      </w:r>
      <w:r>
        <w:rPr>
          <w:spacing w:val="42"/>
        </w:rPr>
        <w:t> </w:t>
      </w:r>
      <w:r>
        <w:rPr/>
        <w:t>study</w:t>
      </w:r>
      <w:r>
        <w:rPr>
          <w:spacing w:val="42"/>
        </w:rPr>
        <w:t> </w:t>
      </w:r>
      <w:r>
        <w:rPr/>
        <w:t>also</w:t>
      </w:r>
      <w:r>
        <w:rPr>
          <w:spacing w:val="42"/>
        </w:rPr>
        <w:t> </w:t>
      </w:r>
      <w:r>
        <w:rPr/>
        <w:t>found</w:t>
      </w:r>
      <w:r>
        <w:rPr>
          <w:spacing w:val="42"/>
        </w:rPr>
        <w:t> </w:t>
      </w:r>
      <w:r>
        <w:rPr/>
        <w:t>thatforeign</w:t>
      </w:r>
      <w:r>
        <w:rPr>
          <w:spacing w:val="42"/>
        </w:rPr>
        <w:t> </w:t>
      </w:r>
      <w:r>
        <w:rPr/>
        <w:t>direct</w:t>
      </w:r>
      <w:r>
        <w:rPr>
          <w:spacing w:val="42"/>
        </w:rPr>
        <w:t> </w:t>
      </w:r>
      <w:r>
        <w:rPr/>
        <w:t>investment</w:t>
      </w:r>
      <w:r>
        <w:rPr>
          <w:spacing w:val="42"/>
        </w:rPr>
        <w:t> </w:t>
      </w:r>
      <w:r>
        <w:rPr/>
        <w:t>to</w:t>
      </w:r>
      <w:r>
        <w:rPr>
          <w:spacing w:val="42"/>
        </w:rPr>
        <w:t> </w:t>
      </w:r>
      <w:r>
        <w:rPr/>
        <w:t>have</w:t>
      </w:r>
      <w:r>
        <w:rPr>
          <w:spacing w:val="43"/>
        </w:rPr>
        <w:t> </w:t>
      </w:r>
      <w:r>
        <w:rPr>
          <w:spacing w:val="-2"/>
        </w:rPr>
        <w:t>apositive</w:t>
      </w:r>
    </w:p>
    <w:p>
      <w:pPr>
        <w:pStyle w:val="BodyText"/>
        <w:spacing w:before="286"/>
      </w:pPr>
      <w:r>
        <w:rPr/>
        <w:t>effect</w:t>
      </w:r>
      <w:r>
        <w:rPr>
          <w:spacing w:val="-5"/>
        </w:rPr>
        <w:t> </w:t>
      </w:r>
      <w:r>
        <w:rPr/>
        <w:t>on</w:t>
      </w:r>
      <w:r>
        <w:rPr>
          <w:spacing w:val="-5"/>
        </w:rPr>
        <w:t> </w:t>
      </w:r>
      <w:r>
        <w:rPr/>
        <w:t>economicgrowth.</w:t>
      </w:r>
      <w:r>
        <w:rPr>
          <w:spacing w:val="-4"/>
        </w:rPr>
        <w:t> </w:t>
      </w:r>
      <w:r>
        <w:rPr/>
        <w:t>Kanu</w:t>
      </w:r>
      <w:r>
        <w:rPr>
          <w:spacing w:val="-6"/>
        </w:rPr>
        <w:t> </w:t>
      </w:r>
      <w:r>
        <w:rPr/>
        <w:t>(2015)</w:t>
      </w:r>
      <w:r>
        <w:rPr>
          <w:spacing w:val="-5"/>
        </w:rPr>
        <w:t> </w:t>
      </w:r>
      <w:r>
        <w:rPr/>
        <w:t>also</w:t>
      </w:r>
      <w:r>
        <w:rPr>
          <w:spacing w:val="-7"/>
        </w:rPr>
        <w:t> </w:t>
      </w:r>
      <w:r>
        <w:rPr/>
        <w:t>found</w:t>
      </w:r>
      <w:r>
        <w:rPr>
          <w:spacing w:val="-5"/>
        </w:rPr>
        <w:t> </w:t>
      </w:r>
      <w:r>
        <w:rPr/>
        <w:t>thatforeign</w:t>
      </w:r>
      <w:r>
        <w:rPr>
          <w:spacing w:val="-6"/>
        </w:rPr>
        <w:t> </w:t>
      </w:r>
      <w:r>
        <w:rPr/>
        <w:t>capital</w:t>
      </w:r>
      <w:r>
        <w:rPr>
          <w:spacing w:val="-5"/>
        </w:rPr>
        <w:t> </w:t>
      </w:r>
      <w:r>
        <w:rPr/>
        <w:t>inflows</w:t>
      </w:r>
      <w:r>
        <w:rPr>
          <w:spacing w:val="-2"/>
        </w:rPr>
        <w:t> </w:t>
      </w:r>
      <w:r>
        <w:rPr/>
        <w:t>has</w:t>
      </w:r>
      <w:r>
        <w:rPr>
          <w:spacing w:val="-7"/>
        </w:rPr>
        <w:t> </w:t>
      </w:r>
      <w:r>
        <w:rPr>
          <w:spacing w:val="-2"/>
        </w:rPr>
        <w:t>significant</w:t>
      </w:r>
    </w:p>
    <w:p>
      <w:pPr>
        <w:pStyle w:val="BodyText"/>
        <w:spacing w:before="1"/>
        <w:ind w:left="0"/>
      </w:pPr>
    </w:p>
    <w:p>
      <w:pPr>
        <w:pStyle w:val="BodyText"/>
      </w:pPr>
      <w:r>
        <w:rPr/>
        <w:t>impact</w:t>
      </w:r>
      <w:r>
        <w:rPr>
          <w:spacing w:val="27"/>
        </w:rPr>
        <w:t> </w:t>
      </w:r>
      <w:r>
        <w:rPr/>
        <w:t>economicgrowth.</w:t>
      </w:r>
      <w:r>
        <w:rPr>
          <w:spacing w:val="28"/>
        </w:rPr>
        <w:t> </w:t>
      </w:r>
      <w:r>
        <w:rPr/>
        <w:t>Chigbu,</w:t>
      </w:r>
      <w:r>
        <w:rPr>
          <w:spacing w:val="28"/>
        </w:rPr>
        <w:t> </w:t>
      </w:r>
      <w:r>
        <w:rPr/>
        <w:t>Ubah</w:t>
      </w:r>
      <w:r>
        <w:rPr>
          <w:spacing w:val="27"/>
        </w:rPr>
        <w:t> </w:t>
      </w:r>
      <w:r>
        <w:rPr/>
        <w:t>and</w:t>
      </w:r>
      <w:r>
        <w:rPr>
          <w:spacing w:val="29"/>
        </w:rPr>
        <w:t> </w:t>
      </w:r>
      <w:r>
        <w:rPr/>
        <w:t>Chigbu</w:t>
      </w:r>
      <w:r>
        <w:rPr>
          <w:spacing w:val="28"/>
        </w:rPr>
        <w:t> </w:t>
      </w:r>
      <w:r>
        <w:rPr/>
        <w:t>(2015)</w:t>
      </w:r>
      <w:r>
        <w:rPr>
          <w:spacing w:val="28"/>
        </w:rPr>
        <w:t> </w:t>
      </w:r>
      <w:r>
        <w:rPr/>
        <w:t>found</w:t>
      </w:r>
      <w:r>
        <w:rPr>
          <w:spacing w:val="28"/>
        </w:rPr>
        <w:t> </w:t>
      </w:r>
      <w:r>
        <w:rPr/>
        <w:t>thatcapital</w:t>
      </w:r>
      <w:r>
        <w:rPr>
          <w:spacing w:val="29"/>
        </w:rPr>
        <w:t> </w:t>
      </w:r>
      <w:r>
        <w:rPr/>
        <w:t>inflows</w:t>
      </w:r>
      <w:r>
        <w:rPr>
          <w:spacing w:val="29"/>
        </w:rPr>
        <w:t> </w:t>
      </w:r>
      <w:r>
        <w:rPr>
          <w:spacing w:val="-4"/>
        </w:rPr>
        <w:t>have</w:t>
      </w:r>
    </w:p>
    <w:p>
      <w:pPr>
        <w:pStyle w:val="BodyText"/>
        <w:spacing w:before="287"/>
      </w:pPr>
      <w:r>
        <w:rPr/>
        <w:t>significant</w:t>
      </w:r>
      <w:r>
        <w:rPr>
          <w:spacing w:val="5"/>
        </w:rPr>
        <w:t> </w:t>
      </w:r>
      <w:r>
        <w:rPr/>
        <w:t>impacton</w:t>
      </w:r>
      <w:r>
        <w:rPr>
          <w:spacing w:val="5"/>
        </w:rPr>
        <w:t> </w:t>
      </w:r>
      <w:r>
        <w:rPr/>
        <w:t>the</w:t>
      </w:r>
      <w:r>
        <w:rPr>
          <w:spacing w:val="7"/>
        </w:rPr>
        <w:t> </w:t>
      </w:r>
      <w:r>
        <w:rPr/>
        <w:t>economic</w:t>
      </w:r>
      <w:r>
        <w:rPr>
          <w:spacing w:val="7"/>
        </w:rPr>
        <w:t> </w:t>
      </w:r>
      <w:r>
        <w:rPr/>
        <w:t>growth.</w:t>
      </w:r>
      <w:r>
        <w:rPr>
          <w:spacing w:val="7"/>
        </w:rPr>
        <w:t> </w:t>
      </w:r>
      <w:r>
        <w:rPr/>
        <w:t>Ekwe</w:t>
      </w:r>
      <w:r>
        <w:rPr>
          <w:spacing w:val="6"/>
        </w:rPr>
        <w:t> </w:t>
      </w:r>
      <w:r>
        <w:rPr/>
        <w:t>and</w:t>
      </w:r>
      <w:r>
        <w:rPr>
          <w:spacing w:val="5"/>
        </w:rPr>
        <w:t> </w:t>
      </w:r>
      <w:r>
        <w:rPr/>
        <w:t>Inyiama</w:t>
      </w:r>
      <w:r>
        <w:rPr>
          <w:spacing w:val="5"/>
        </w:rPr>
        <w:t> </w:t>
      </w:r>
      <w:r>
        <w:rPr/>
        <w:t>(2014)</w:t>
      </w:r>
      <w:r>
        <w:rPr>
          <w:spacing w:val="6"/>
        </w:rPr>
        <w:t> </w:t>
      </w:r>
      <w:r>
        <w:rPr/>
        <w:t>also</w:t>
      </w:r>
      <w:r>
        <w:rPr>
          <w:spacing w:val="5"/>
        </w:rPr>
        <w:t> </w:t>
      </w:r>
      <w:r>
        <w:rPr/>
        <w:t>found</w:t>
      </w:r>
      <w:r>
        <w:rPr>
          <w:spacing w:val="5"/>
        </w:rPr>
        <w:t> </w:t>
      </w:r>
      <w:r>
        <w:rPr>
          <w:spacing w:val="-2"/>
        </w:rPr>
        <w:t>thatforeign</w:t>
      </w:r>
    </w:p>
    <w:p>
      <w:pPr>
        <w:pStyle w:val="BodyText"/>
        <w:ind w:left="0"/>
      </w:pPr>
    </w:p>
    <w:p>
      <w:pPr>
        <w:pStyle w:val="BodyText"/>
        <w:spacing w:before="1"/>
      </w:pPr>
      <w:r>
        <w:rPr/>
        <w:t>capital</w:t>
      </w:r>
      <w:r>
        <w:rPr>
          <w:spacing w:val="37"/>
        </w:rPr>
        <w:t> </w:t>
      </w:r>
      <w:r>
        <w:rPr/>
        <w:t>inflow</w:t>
      </w:r>
      <w:r>
        <w:rPr>
          <w:spacing w:val="37"/>
        </w:rPr>
        <w:t> </w:t>
      </w:r>
      <w:r>
        <w:rPr/>
        <w:t>in</w:t>
      </w:r>
      <w:r>
        <w:rPr>
          <w:spacing w:val="39"/>
        </w:rPr>
        <w:t> </w:t>
      </w:r>
      <w:r>
        <w:rPr/>
        <w:t>the</w:t>
      </w:r>
      <w:r>
        <w:rPr>
          <w:spacing w:val="37"/>
        </w:rPr>
        <w:t> </w:t>
      </w:r>
      <w:r>
        <w:rPr/>
        <w:t>samevein</w:t>
      </w:r>
      <w:r>
        <w:rPr>
          <w:spacing w:val="36"/>
        </w:rPr>
        <w:t> </w:t>
      </w:r>
      <w:r>
        <w:rPr/>
        <w:t>had</w:t>
      </w:r>
      <w:r>
        <w:rPr>
          <w:spacing w:val="40"/>
        </w:rPr>
        <w:t> </w:t>
      </w:r>
      <w:r>
        <w:rPr/>
        <w:t>a</w:t>
      </w:r>
      <w:r>
        <w:rPr>
          <w:spacing w:val="36"/>
        </w:rPr>
        <w:t> </w:t>
      </w:r>
      <w:r>
        <w:rPr/>
        <w:t>positiveand</w:t>
      </w:r>
      <w:r>
        <w:rPr>
          <w:spacing w:val="37"/>
        </w:rPr>
        <w:t> </w:t>
      </w:r>
      <w:r>
        <w:rPr/>
        <w:t>significant</w:t>
      </w:r>
      <w:r>
        <w:rPr>
          <w:spacing w:val="36"/>
        </w:rPr>
        <w:t> </w:t>
      </w:r>
      <w:r>
        <w:rPr/>
        <w:t>effecton</w:t>
      </w:r>
      <w:r>
        <w:rPr>
          <w:spacing w:val="39"/>
        </w:rPr>
        <w:t> </w:t>
      </w:r>
      <w:r>
        <w:rPr/>
        <w:t>the</w:t>
      </w:r>
      <w:r>
        <w:rPr>
          <w:spacing w:val="37"/>
        </w:rPr>
        <w:t> </w:t>
      </w:r>
      <w:r>
        <w:rPr/>
        <w:t>GDP.</w:t>
      </w:r>
      <w:r>
        <w:rPr>
          <w:spacing w:val="39"/>
        </w:rPr>
        <w:t> </w:t>
      </w:r>
      <w:r>
        <w:rPr/>
        <w:t>This</w:t>
      </w:r>
      <w:r>
        <w:rPr>
          <w:spacing w:val="38"/>
        </w:rPr>
        <w:t> </w:t>
      </w:r>
      <w:r>
        <w:rPr>
          <w:spacing w:val="-4"/>
        </w:rPr>
        <w:t>also</w:t>
      </w:r>
    </w:p>
    <w:p>
      <w:pPr>
        <w:pStyle w:val="BodyText"/>
        <w:spacing w:before="286"/>
      </w:pPr>
      <w:r>
        <w:rPr/>
        <w:t>agrees</w:t>
      </w:r>
      <w:r>
        <w:rPr>
          <w:spacing w:val="6"/>
        </w:rPr>
        <w:t> </w:t>
      </w:r>
      <w:r>
        <w:rPr/>
        <w:t>with</w:t>
      </w:r>
      <w:r>
        <w:rPr>
          <w:spacing w:val="7"/>
        </w:rPr>
        <w:t> </w:t>
      </w:r>
      <w:r>
        <w:rPr/>
        <w:t>thefindings</w:t>
      </w:r>
      <w:r>
        <w:rPr>
          <w:spacing w:val="10"/>
        </w:rPr>
        <w:t> </w:t>
      </w:r>
      <w:r>
        <w:rPr/>
        <w:t>of</w:t>
      </w:r>
      <w:r>
        <w:rPr>
          <w:spacing w:val="7"/>
        </w:rPr>
        <w:t> </w:t>
      </w:r>
      <w:r>
        <w:rPr/>
        <w:t>Kouki</w:t>
      </w:r>
      <w:r>
        <w:rPr>
          <w:spacing w:val="7"/>
        </w:rPr>
        <w:t> </w:t>
      </w:r>
      <w:r>
        <w:rPr/>
        <w:t>andRezgui</w:t>
      </w:r>
      <w:r>
        <w:rPr>
          <w:spacing w:val="8"/>
        </w:rPr>
        <w:t> </w:t>
      </w:r>
      <w:r>
        <w:rPr/>
        <w:t>(2017)</w:t>
      </w:r>
      <w:r>
        <w:rPr>
          <w:spacing w:val="7"/>
        </w:rPr>
        <w:t> </w:t>
      </w:r>
      <w:r>
        <w:rPr/>
        <w:t>that</w:t>
      </w:r>
      <w:r>
        <w:rPr>
          <w:spacing w:val="7"/>
        </w:rPr>
        <w:t> </w:t>
      </w:r>
      <w:r>
        <w:rPr/>
        <w:t>long-term</w:t>
      </w:r>
      <w:r>
        <w:rPr>
          <w:spacing w:val="6"/>
        </w:rPr>
        <w:t> </w:t>
      </w:r>
      <w:r>
        <w:rPr/>
        <w:t>positiverelationship</w:t>
      </w:r>
      <w:r>
        <w:rPr>
          <w:spacing w:val="7"/>
        </w:rPr>
        <w:t> </w:t>
      </w:r>
      <w:r>
        <w:rPr>
          <w:spacing w:val="-2"/>
        </w:rPr>
        <w:t>exist</w:t>
      </w:r>
    </w:p>
    <w:p>
      <w:pPr>
        <w:pStyle w:val="BodyText"/>
        <w:spacing w:before="1"/>
        <w:ind w:left="0"/>
      </w:pPr>
    </w:p>
    <w:p>
      <w:pPr>
        <w:pStyle w:val="BodyText"/>
        <w:jc w:val="both"/>
      </w:pPr>
      <w:r>
        <w:rPr/>
        <w:t>between</w:t>
      </w:r>
      <w:r>
        <w:rPr>
          <w:spacing w:val="-10"/>
        </w:rPr>
        <w:t> </w:t>
      </w:r>
      <w:r>
        <w:rPr/>
        <w:t>economicgrowth</w:t>
      </w:r>
      <w:r>
        <w:rPr>
          <w:spacing w:val="-10"/>
        </w:rPr>
        <w:t> </w:t>
      </w:r>
      <w:r>
        <w:rPr/>
        <w:t>and</w:t>
      </w:r>
      <w:r>
        <w:rPr>
          <w:spacing w:val="-10"/>
        </w:rPr>
        <w:t> </w:t>
      </w:r>
      <w:r>
        <w:rPr/>
        <w:t>financial</w:t>
      </w:r>
      <w:r>
        <w:rPr>
          <w:spacing w:val="-9"/>
        </w:rPr>
        <w:t> </w:t>
      </w:r>
      <w:r>
        <w:rPr>
          <w:spacing w:val="-2"/>
        </w:rPr>
        <w:t>integration</w:t>
      </w:r>
    </w:p>
    <w:p>
      <w:pPr>
        <w:pStyle w:val="BodyText"/>
        <w:spacing w:before="160"/>
        <w:ind w:left="0"/>
      </w:pPr>
    </w:p>
    <w:p>
      <w:pPr>
        <w:pStyle w:val="BodyText"/>
        <w:spacing w:line="480" w:lineRule="auto"/>
        <w:ind w:right="734"/>
        <w:jc w:val="both"/>
      </w:pPr>
      <w:r>
        <w:rPr/>
        <w:t>This disagrees with the findings of DramaBédi (2016) that foreign direct investment (FDI) is not animportant determinantof economic growth. Also, Maliwa andNyambe (2015) indicate that</w:t>
      </w:r>
      <w:r>
        <w:rPr>
          <w:spacing w:val="28"/>
        </w:rPr>
        <w:t> </w:t>
      </w:r>
      <w:r>
        <w:rPr/>
        <w:t>foreign</w:t>
      </w:r>
      <w:r>
        <w:rPr>
          <w:spacing w:val="27"/>
        </w:rPr>
        <w:t> </w:t>
      </w:r>
      <w:r>
        <w:rPr/>
        <w:t>direct</w:t>
      </w:r>
      <w:r>
        <w:rPr>
          <w:spacing w:val="28"/>
        </w:rPr>
        <w:t> </w:t>
      </w:r>
      <w:r>
        <w:rPr/>
        <w:t>investmentdoes</w:t>
      </w:r>
      <w:r>
        <w:rPr>
          <w:spacing w:val="29"/>
        </w:rPr>
        <w:t> </w:t>
      </w:r>
      <w:r>
        <w:rPr/>
        <w:t>not</w:t>
      </w:r>
      <w:r>
        <w:rPr>
          <w:spacing w:val="28"/>
        </w:rPr>
        <w:t> </w:t>
      </w:r>
      <w:r>
        <w:rPr/>
        <w:t>granger</w:t>
      </w:r>
      <w:r>
        <w:rPr>
          <w:spacing w:val="28"/>
        </w:rPr>
        <w:t> </w:t>
      </w:r>
      <w:r>
        <w:rPr/>
        <w:t>cause</w:t>
      </w:r>
      <w:r>
        <w:rPr>
          <w:spacing w:val="27"/>
        </w:rPr>
        <w:t> </w:t>
      </w:r>
      <w:r>
        <w:rPr/>
        <w:t>economic</w:t>
      </w:r>
      <w:r>
        <w:rPr>
          <w:spacing w:val="29"/>
        </w:rPr>
        <w:t> </w:t>
      </w:r>
      <w:r>
        <w:rPr/>
        <w:t>growth.</w:t>
      </w:r>
      <w:r>
        <w:rPr>
          <w:spacing w:val="28"/>
        </w:rPr>
        <w:t> </w:t>
      </w:r>
      <w:r>
        <w:rPr/>
        <w:t>This</w:t>
      </w:r>
      <w:r>
        <w:rPr>
          <w:spacing w:val="29"/>
        </w:rPr>
        <w:t> </w:t>
      </w:r>
      <w:r>
        <w:rPr>
          <w:spacing w:val="-2"/>
        </w:rPr>
        <w:t>alsodisagrees</w:t>
      </w:r>
    </w:p>
    <w:p>
      <w:pPr>
        <w:spacing w:after="0" w:line="480" w:lineRule="auto"/>
        <w:jc w:val="both"/>
        <w:sectPr>
          <w:pgSz w:w="12240" w:h="15840"/>
          <w:pgMar w:header="0" w:footer="1012" w:top="1380" w:bottom="1200" w:left="1220" w:right="700"/>
        </w:sectPr>
      </w:pPr>
    </w:p>
    <w:p>
      <w:pPr>
        <w:pStyle w:val="BodyText"/>
        <w:spacing w:line="480" w:lineRule="auto" w:before="60"/>
      </w:pPr>
      <w:r>
        <w:rPr/>
        <w:t>with</w:t>
      </w:r>
      <w:r>
        <w:rPr>
          <w:spacing w:val="-1"/>
        </w:rPr>
        <w:t> </w:t>
      </w:r>
      <w:r>
        <w:rPr/>
        <w:t>the</w:t>
      </w:r>
      <w:r>
        <w:rPr>
          <w:spacing w:val="-2"/>
        </w:rPr>
        <w:t> </w:t>
      </w:r>
      <w:r>
        <w:rPr/>
        <w:t>findings of</w:t>
      </w:r>
      <w:r>
        <w:rPr>
          <w:spacing w:val="-1"/>
        </w:rPr>
        <w:t> </w:t>
      </w:r>
      <w:r>
        <w:rPr/>
        <w:t>Egbetunde</w:t>
      </w:r>
      <w:r>
        <w:rPr>
          <w:spacing w:val="-2"/>
        </w:rPr>
        <w:t> </w:t>
      </w:r>
      <w:r>
        <w:rPr/>
        <w:t>andAkinlo</w:t>
      </w:r>
      <w:r>
        <w:rPr>
          <w:spacing w:val="-1"/>
        </w:rPr>
        <w:t> </w:t>
      </w:r>
      <w:r>
        <w:rPr/>
        <w:t>(2014)</w:t>
      </w:r>
      <w:r>
        <w:rPr>
          <w:spacing w:val="-1"/>
        </w:rPr>
        <w:t> </w:t>
      </w:r>
      <w:r>
        <w:rPr/>
        <w:t>that</w:t>
      </w:r>
      <w:r>
        <w:rPr>
          <w:spacing w:val="-2"/>
        </w:rPr>
        <w:t> </w:t>
      </w:r>
      <w:r>
        <w:rPr/>
        <w:t>financial</w:t>
      </w:r>
      <w:r>
        <w:rPr>
          <w:spacing w:val="-1"/>
        </w:rPr>
        <w:t> </w:t>
      </w:r>
      <w:r>
        <w:rPr/>
        <w:t>integration</w:t>
      </w:r>
      <w:r>
        <w:rPr>
          <w:spacing w:val="-1"/>
        </w:rPr>
        <w:t> </w:t>
      </w:r>
      <w:r>
        <w:rPr/>
        <w:t>had</w:t>
      </w:r>
      <w:r>
        <w:rPr>
          <w:spacing w:val="-2"/>
        </w:rPr>
        <w:t> </w:t>
      </w:r>
      <w:r>
        <w:rPr/>
        <w:t>anegative</w:t>
      </w:r>
      <w:r>
        <w:rPr>
          <w:spacing w:val="-2"/>
        </w:rPr>
        <w:t> </w:t>
      </w:r>
      <w:r>
        <w:rPr/>
        <w:t>and significant impact oneconomic growth in SSA.</w:t>
      </w:r>
    </w:p>
    <w:p>
      <w:pPr>
        <w:pStyle w:val="BodyText"/>
        <w:spacing w:before="160"/>
        <w:ind w:left="0"/>
      </w:pPr>
    </w:p>
    <w:p>
      <w:pPr>
        <w:pStyle w:val="Heading2"/>
        <w:numPr>
          <w:ilvl w:val="1"/>
          <w:numId w:val="25"/>
        </w:numPr>
        <w:tabs>
          <w:tab w:pos="593" w:val="left" w:leader="none"/>
        </w:tabs>
        <w:spacing w:line="240" w:lineRule="auto" w:before="1" w:after="0"/>
        <w:ind w:left="593" w:right="0" w:hanging="373"/>
        <w:jc w:val="left"/>
      </w:pPr>
      <w:r>
        <w:rPr/>
        <mc:AlternateContent>
          <mc:Choice Requires="wps">
            <w:drawing>
              <wp:anchor distT="0" distB="0" distL="0" distR="0" allowOverlap="1" layoutInCell="1" locked="0" behindDoc="1" simplePos="0" relativeHeight="478104064">
                <wp:simplePos x="0" y="0"/>
                <wp:positionH relativeFrom="page">
                  <wp:posOffset>896416</wp:posOffset>
                </wp:positionH>
                <wp:positionV relativeFrom="paragraph">
                  <wp:posOffset>-101205</wp:posOffset>
                </wp:positionV>
                <wp:extent cx="5981065" cy="6147435"/>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5981065" cy="6147435"/>
                        </a:xfrm>
                        <a:custGeom>
                          <a:avLst/>
                          <a:gdLst/>
                          <a:ahLst/>
                          <a:cxnLst/>
                          <a:rect l="l" t="t" r="r" b="b"/>
                          <a:pathLst>
                            <a:path w="5981065" h="6147435">
                              <a:moveTo>
                                <a:pt x="5981065" y="5417007"/>
                              </a:moveTo>
                              <a:lnTo>
                                <a:pt x="0" y="5417007"/>
                              </a:lnTo>
                              <a:lnTo>
                                <a:pt x="0" y="5781548"/>
                              </a:lnTo>
                              <a:lnTo>
                                <a:pt x="0" y="6147308"/>
                              </a:lnTo>
                              <a:lnTo>
                                <a:pt x="5981065" y="6147308"/>
                              </a:lnTo>
                              <a:lnTo>
                                <a:pt x="5981065" y="5781548"/>
                              </a:lnTo>
                              <a:lnTo>
                                <a:pt x="5981065" y="5417007"/>
                              </a:lnTo>
                              <a:close/>
                            </a:path>
                            <a:path w="5981065" h="6147435">
                              <a:moveTo>
                                <a:pt x="5981065" y="1298841"/>
                              </a:moveTo>
                              <a:lnTo>
                                <a:pt x="0" y="1298841"/>
                              </a:lnTo>
                              <a:lnTo>
                                <a:pt x="0" y="1663065"/>
                              </a:lnTo>
                              <a:lnTo>
                                <a:pt x="0" y="2028825"/>
                              </a:lnTo>
                              <a:lnTo>
                                <a:pt x="0" y="5416931"/>
                              </a:lnTo>
                              <a:lnTo>
                                <a:pt x="5981065" y="5416931"/>
                              </a:lnTo>
                              <a:lnTo>
                                <a:pt x="5981065" y="1663065"/>
                              </a:lnTo>
                              <a:lnTo>
                                <a:pt x="5981065" y="1298841"/>
                              </a:lnTo>
                              <a:close/>
                            </a:path>
                            <a:path w="5981065" h="6147435">
                              <a:moveTo>
                                <a:pt x="5981065" y="932764"/>
                              </a:moveTo>
                              <a:lnTo>
                                <a:pt x="0" y="932764"/>
                              </a:lnTo>
                              <a:lnTo>
                                <a:pt x="0" y="1298829"/>
                              </a:lnTo>
                              <a:lnTo>
                                <a:pt x="5981065" y="1298829"/>
                              </a:lnTo>
                              <a:lnTo>
                                <a:pt x="5981065" y="932764"/>
                              </a:lnTo>
                              <a:close/>
                            </a:path>
                            <a:path w="5981065" h="6147435">
                              <a:moveTo>
                                <a:pt x="5981065" y="0"/>
                              </a:moveTo>
                              <a:lnTo>
                                <a:pt x="0" y="0"/>
                              </a:lnTo>
                              <a:lnTo>
                                <a:pt x="0" y="466344"/>
                              </a:lnTo>
                              <a:lnTo>
                                <a:pt x="0" y="932688"/>
                              </a:lnTo>
                              <a:lnTo>
                                <a:pt x="5981065" y="932688"/>
                              </a:lnTo>
                              <a:lnTo>
                                <a:pt x="5981065" y="466344"/>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7.968927pt;width:470.95pt;height:484.05pt;mso-position-horizontal-relative:page;mso-position-vertical-relative:paragraph;z-index:-25212416" id="docshape202" coordorigin="1412,-159" coordsize="9419,9681" path="m10831,8371l1412,8371,1412,8945,1412,9521,10831,9521,10831,8945,10831,8371xm10831,1886l1412,1886,1412,2460,1412,3036,1412,3612,1412,4185,1412,4920,1412,4920,1412,5496,1412,6072,1412,6646,1412,7222,1412,7795,1412,8371,10831,8371,10831,7795,10831,7222,10831,6646,10831,6072,10831,5496,10831,4920,10831,4920,10831,4185,10831,3612,10831,3036,10831,2460,10831,1886xm10831,1310l1412,1310,1412,1886,10831,1886,10831,1310xm10831,-159l1412,-159,1412,575,1412,1309,10831,1309,10831,575,10831,-159xe" filled="true" fillcolor="#ffffff" stroked="false">
                <v:path arrowok="t"/>
                <v:fill type="solid"/>
                <w10:wrap type="none"/>
              </v:shape>
            </w:pict>
          </mc:Fallback>
        </mc:AlternateContent>
      </w:r>
      <w:bookmarkStart w:name="_TOC_250007" w:id="68"/>
      <w:r>
        <w:rPr/>
        <w:t>Foreign</w:t>
      </w:r>
      <w:r>
        <w:rPr>
          <w:spacing w:val="-9"/>
        </w:rPr>
        <w:t> </w:t>
      </w:r>
      <w:r>
        <w:rPr/>
        <w:t>Portfolio</w:t>
      </w:r>
      <w:r>
        <w:rPr>
          <w:spacing w:val="-9"/>
        </w:rPr>
        <w:t> </w:t>
      </w:r>
      <w:r>
        <w:rPr/>
        <w:t>Investment</w:t>
      </w:r>
      <w:r>
        <w:rPr>
          <w:spacing w:val="-8"/>
        </w:rPr>
        <w:t> </w:t>
      </w:r>
      <w:r>
        <w:rPr/>
        <w:t>Inflow</w:t>
      </w:r>
      <w:r>
        <w:rPr>
          <w:spacing w:val="-8"/>
        </w:rPr>
        <w:t> </w:t>
      </w:r>
      <w:r>
        <w:rPr/>
        <w:t>and</w:t>
      </w:r>
      <w:r>
        <w:rPr>
          <w:spacing w:val="-8"/>
        </w:rPr>
        <w:t> </w:t>
      </w:r>
      <w:r>
        <w:rPr/>
        <w:t>Economic</w:t>
      </w:r>
      <w:r>
        <w:rPr>
          <w:spacing w:val="-9"/>
        </w:rPr>
        <w:t> </w:t>
      </w:r>
      <w:r>
        <w:rPr/>
        <w:t>Growth</w:t>
      </w:r>
      <w:r>
        <w:rPr>
          <w:spacing w:val="-8"/>
        </w:rPr>
        <w:t> </w:t>
      </w:r>
      <w:r>
        <w:rPr/>
        <w:t>in</w:t>
      </w:r>
      <w:r>
        <w:rPr>
          <w:spacing w:val="-6"/>
        </w:rPr>
        <w:t> </w:t>
      </w:r>
      <w:bookmarkEnd w:id="68"/>
      <w:r>
        <w:rPr>
          <w:spacing w:val="-2"/>
        </w:rPr>
        <w:t>Nigeria</w:t>
      </w:r>
    </w:p>
    <w:p>
      <w:pPr>
        <w:pStyle w:val="BodyText"/>
        <w:spacing w:before="159"/>
        <w:ind w:left="0"/>
        <w:rPr>
          <w:b/>
        </w:rPr>
      </w:pPr>
    </w:p>
    <w:p>
      <w:pPr>
        <w:pStyle w:val="BodyText"/>
      </w:pPr>
      <w:r>
        <w:rPr/>
        <mc:AlternateContent>
          <mc:Choice Requires="wps">
            <w:drawing>
              <wp:anchor distT="0" distB="0" distL="0" distR="0" allowOverlap="1" layoutInCell="1" locked="0" behindDoc="1" simplePos="0" relativeHeight="478103552">
                <wp:simplePos x="0" y="0"/>
                <wp:positionH relativeFrom="page">
                  <wp:posOffset>950112</wp:posOffset>
                </wp:positionH>
                <wp:positionV relativeFrom="paragraph">
                  <wp:posOffset>-198075</wp:posOffset>
                </wp:positionV>
                <wp:extent cx="5505450" cy="5661025"/>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5.596484pt;width:433.5pt;height:445.75pt;mso-position-horizontal-relative:page;mso-position-vertical-relative:paragraph;z-index:-25212928" id="docshape203" coordorigin="1496,-312" coordsize="8670,8915" path="m2562,8408l1691,7537,1496,7732,2367,8603,2562,8408xm3154,7732l3153,7692,3148,7649,3139,7606,3125,7562,3106,7518,3083,7475,3055,7433,3025,7391,2991,7351,2954,7312,2435,6793,2241,6987,2772,7519,2805,7555,2829,7590,2846,7625,2856,7659,2858,7692,2851,7723,2837,7751,2816,7777,2790,7799,2761,7813,2730,7819,2697,7816,2663,7807,2628,7790,2593,7766,2557,7734,2026,7202,1831,7396,2351,7916,2385,7948,2424,7980,2468,8013,2516,8045,2548,8064,2583,8080,2620,8093,2658,8104,2697,8112,2733,8116,2767,8116,2800,8112,2831,8105,2863,8094,2895,8077,2926,8057,2957,8034,2985,8011,3011,7988,3035,7965,3071,7925,3102,7884,3125,7843,3142,7800,3150,7768,3154,7732xm3882,6949l3876,6884,3860,6819,3834,6752,3806,6698,3771,6642,3728,6584,3678,6525,3661,6506,3621,6465,3597,6442,3597,6936,3592,6977,3577,7013,3551,7046,3518,7072,3481,7087,3441,7091,3396,7085,3347,7067,3294,7035,3235,6990,3171,6931,3112,6867,3066,6808,3035,6754,3016,6705,3010,6660,3014,6620,3029,6584,3053,6552,3086,6527,3122,6512,3163,6506,3207,6512,3255,6529,3307,6559,3363,6601,3423,6656,3488,6726,3538,6788,3572,6844,3591,6893,3597,6936,3597,6442,3551,6400,3482,6345,3413,6299,3344,6264,3276,6238,3209,6222,3130,6217,3055,6227,2983,6252,2914,6293,2850,6348,2796,6412,2756,6479,2732,6551,2723,6627,2729,6706,2746,6775,2772,6844,2808,6913,2854,6983,2910,7054,2976,7125,3036,7182,3096,7231,3156,7273,3215,7308,3273,7335,3344,7360,3411,7373,3475,7377,3535,7371,3593,7354,3649,7327,3705,7290,3758,7241,3805,7188,3841,7131,3858,7091,3866,7073,3879,7011,3882,6949xm4153,6369l3966,6182,3712,6436,3899,6623,4153,6369xm4664,6306l3793,5435,3598,5630,4469,6501,4664,6306xm4998,5972l4675,5649,4781,5542,4832,5482,4837,5472,4866,5421,4883,5357,4882,5293,4866,5227,4843,5176,4836,5161,4792,5095,4733,5029,4670,4972,4607,4929,4598,4925,4598,5318,4597,5344,4587,5370,4570,5397,4546,5425,4498,5472,4304,5278,4359,5222,4386,5199,4412,5184,4438,5176,4462,5177,4486,5183,4509,5194,4531,5208,4552,5226,4570,5248,4584,5270,4593,5294,4598,5318,4598,4925,4544,4900,4483,4884,4423,4883,4365,4897,4309,4928,4255,4973,3931,5296,4803,6167,4998,5972xm5788,5182l5132,4526,5330,4328,5115,4113,4524,4704,4739,4919,4937,4721,5593,5377,5788,5182xm6423,4547l5767,3891,5966,3692,5751,3477,5159,4069,5374,4284,5573,4085,6229,4741,6423,4547xm7157,3674l7151,3609,7135,3544,7109,3477,7081,3423,7046,3367,7003,3309,6953,3250,6935,3232,6896,3190,6872,3168,6872,3662,6867,3702,6851,3738,6825,3772,6793,3797,6756,3812,6716,3816,6671,3810,6622,3792,6569,3760,6510,3715,6446,3656,6387,3592,6341,3533,6309,3479,6291,3430,6285,3385,6289,3345,6304,3309,6328,3278,6361,3252,6397,3237,6438,3232,6482,3237,6530,3254,6582,3284,6638,3326,6698,3381,6763,3451,6813,3514,6847,3569,6866,3618,6872,3662,6872,3168,6826,3125,6756,3070,6687,3025,6619,2989,6551,2964,6483,2948,6405,2942,6329,2952,6258,2977,6189,3018,6125,3073,6071,3137,6031,3205,6007,3276,5998,3352,6004,3432,6021,3500,6047,3569,6083,3638,6129,3708,6184,3779,6250,3850,6311,3907,6371,3956,6431,3999,6490,4033,6548,4061,6619,4085,6686,4099,6750,4102,6810,4096,6868,4080,6924,4052,6979,4015,7033,3967,7080,3913,7116,3857,7133,3816,7141,3798,7154,3737,7157,3674xm8170,2678l8165,2629,8153,2579,8134,2526,8109,2472,8079,2416,8041,2359,7980,2383,7799,2458,7831,2504,7855,2547,7873,2588,7884,2625,7887,2660,7881,2693,7866,2724,7843,2753,7812,2777,7778,2791,7740,2795,7700,2789,7653,2770,7600,2736,7538,2687,7469,2622,7417,2566,7375,2514,7344,2467,7324,2424,7311,2372,7312,2326,7325,2285,7352,2249,7367,2236,7384,2225,7402,2217,7422,2213,7442,2211,7464,2211,7486,2214,7509,2220,7524,2226,7542,2234,7563,2246,7586,2260,7705,2035,7622,1989,7543,1957,7469,1938,7400,1931,7333,1939,7269,1962,7206,2000,7146,2052,7092,2115,7054,2181,7030,2252,7021,2325,7027,2403,7044,2470,7070,2538,7106,2607,7153,2677,7209,2747,7276,2819,7341,2880,7404,2932,7467,2975,7529,3011,7590,3038,7662,3062,7730,3075,7791,3078,7847,3071,7900,3054,7952,3027,8004,2990,8056,2944,8094,2901,8125,2858,8147,2815,8161,2770,8169,2725,8170,2678xm8868,1963l8861,1899,8846,1833,8820,1766,8792,1712,8757,1656,8714,1598,8664,1539,8646,1521,8607,1479,8583,1457,8583,1951,8578,1991,8562,2028,8536,2061,8504,2086,8467,2101,8427,2106,8382,2099,8333,2081,8279,2050,8221,2004,8157,1945,8098,1881,8052,1822,8020,1768,8002,1719,7996,1675,8000,1634,8014,1598,8039,1567,8071,1541,8108,1526,8149,1521,8193,1526,8241,1543,8293,1573,8349,1615,8409,1670,8474,1740,8524,1803,8558,1859,8577,1907,8583,1951,8583,1457,8537,1414,8467,1359,8398,1314,8330,1278,8262,1253,8194,1237,8116,1231,8040,1241,7968,1267,7900,1307,7835,1363,7781,1426,7742,1494,7718,1565,7709,1641,7715,1721,7731,1789,7758,1858,7794,1928,7839,1998,7895,2068,7961,2139,8022,2196,8082,2246,8142,2288,8201,2322,8259,2350,8329,2374,8397,2388,8461,2391,8521,2385,8579,2369,8635,2342,8690,2304,8744,2256,8791,2202,8827,2146,8844,2106,8852,2087,8865,2026,8868,1963xm9348,1622l9025,1298,9132,1192,9182,1132,9188,1122,9216,1070,9233,1007,9233,942,9217,877,9194,826,9187,811,9142,745,9084,679,9020,622,8957,579,8948,575,8948,968,8947,993,8938,1020,8921,1047,8896,1074,8849,1122,8654,928,8710,872,8737,849,8763,833,8788,826,8812,826,8836,833,8859,843,8881,858,8902,876,8920,898,8934,920,8943,944,8948,968,8948,575,8895,549,8833,533,8773,533,8715,547,8659,577,8605,622,8282,946,9153,1817,9348,1622xm10166,804l9801,439,9748,289,9593,-162,9540,-312,9325,-97,9353,-27,9436,184,9492,325,9422,297,9211,213,9071,157,8854,373,9005,426,9456,582,9606,634,9971,999,10166,804xe" filled="true" fillcolor="#c0c0c0" stroked="false">
                <v:path arrowok="t"/>
                <v:fill opacity="32896f" type="solid"/>
                <w10:wrap type="none"/>
              </v:shape>
            </w:pict>
          </mc:Fallback>
        </mc:AlternateContent>
      </w:r>
      <w:r>
        <w:rPr/>
        <w:t>The</w:t>
      </w:r>
      <w:r>
        <w:rPr>
          <w:spacing w:val="12"/>
        </w:rPr>
        <w:t> </w:t>
      </w:r>
      <w:r>
        <w:rPr/>
        <w:t>study</w:t>
      </w:r>
      <w:r>
        <w:rPr>
          <w:spacing w:val="14"/>
        </w:rPr>
        <w:t> </w:t>
      </w:r>
      <w:r>
        <w:rPr/>
        <w:t>foreign</w:t>
      </w:r>
      <w:r>
        <w:rPr>
          <w:spacing w:val="14"/>
        </w:rPr>
        <w:t> </w:t>
      </w:r>
      <w:r>
        <w:rPr/>
        <w:t>portfolio</w:t>
      </w:r>
      <w:r>
        <w:rPr>
          <w:spacing w:val="14"/>
        </w:rPr>
        <w:t> </w:t>
      </w:r>
      <w:r>
        <w:rPr/>
        <w:t>investment</w:t>
      </w:r>
      <w:r>
        <w:rPr>
          <w:spacing w:val="14"/>
        </w:rPr>
        <w:t> </w:t>
      </w:r>
      <w:r>
        <w:rPr/>
        <w:t>inflow</w:t>
      </w:r>
      <w:r>
        <w:rPr>
          <w:spacing w:val="11"/>
        </w:rPr>
        <w:t> </w:t>
      </w:r>
      <w:r>
        <w:rPr/>
        <w:t>has</w:t>
      </w:r>
      <w:r>
        <w:rPr>
          <w:spacing w:val="15"/>
        </w:rPr>
        <w:t> </w:t>
      </w:r>
      <w:r>
        <w:rPr/>
        <w:t>significant</w:t>
      </w:r>
      <w:r>
        <w:rPr>
          <w:spacing w:val="13"/>
        </w:rPr>
        <w:t> </w:t>
      </w:r>
      <w:r>
        <w:rPr/>
        <w:t>effect</w:t>
      </w:r>
      <w:r>
        <w:rPr>
          <w:spacing w:val="13"/>
        </w:rPr>
        <w:t> </w:t>
      </w:r>
      <w:r>
        <w:rPr/>
        <w:t>on</w:t>
      </w:r>
      <w:r>
        <w:rPr>
          <w:spacing w:val="14"/>
        </w:rPr>
        <w:t> </w:t>
      </w:r>
      <w:r>
        <w:rPr/>
        <w:t>economic</w:t>
      </w:r>
      <w:r>
        <w:rPr>
          <w:spacing w:val="14"/>
        </w:rPr>
        <w:t> </w:t>
      </w:r>
      <w:r>
        <w:rPr/>
        <w:t>growth</w:t>
      </w:r>
      <w:r>
        <w:rPr>
          <w:spacing w:val="14"/>
        </w:rPr>
        <w:t> </w:t>
      </w:r>
      <w:r>
        <w:rPr>
          <w:spacing w:val="-5"/>
        </w:rPr>
        <w:t>in</w:t>
      </w:r>
    </w:p>
    <w:p>
      <w:pPr>
        <w:pStyle w:val="BodyText"/>
        <w:spacing w:before="286"/>
      </w:pPr>
      <w:r>
        <w:rPr/>
        <w:t>Nigeria.</w:t>
      </w:r>
      <w:r>
        <w:rPr>
          <w:spacing w:val="45"/>
        </w:rPr>
        <w:t> </w:t>
      </w:r>
      <w:r>
        <w:rPr/>
        <w:t>This</w:t>
      </w:r>
      <w:r>
        <w:rPr>
          <w:spacing w:val="44"/>
        </w:rPr>
        <w:t> </w:t>
      </w:r>
      <w:r>
        <w:rPr/>
        <w:t>Implies</w:t>
      </w:r>
      <w:r>
        <w:rPr>
          <w:spacing w:val="47"/>
        </w:rPr>
        <w:t> </w:t>
      </w:r>
      <w:r>
        <w:rPr/>
        <w:t>that</w:t>
      </w:r>
      <w:r>
        <w:rPr>
          <w:spacing w:val="45"/>
        </w:rPr>
        <w:t> </w:t>
      </w:r>
      <w:r>
        <w:rPr/>
        <w:t>foreign</w:t>
      </w:r>
      <w:r>
        <w:rPr>
          <w:spacing w:val="45"/>
        </w:rPr>
        <w:t> </w:t>
      </w:r>
      <w:r>
        <w:rPr/>
        <w:t>portfolio</w:t>
      </w:r>
      <w:r>
        <w:rPr>
          <w:spacing w:val="44"/>
        </w:rPr>
        <w:t> </w:t>
      </w:r>
      <w:r>
        <w:rPr/>
        <w:t>inflows</w:t>
      </w:r>
      <w:r>
        <w:rPr>
          <w:spacing w:val="46"/>
        </w:rPr>
        <w:t> </w:t>
      </w:r>
      <w:r>
        <w:rPr/>
        <w:t>contributessignificantly</w:t>
      </w:r>
      <w:r>
        <w:rPr>
          <w:spacing w:val="46"/>
        </w:rPr>
        <w:t> </w:t>
      </w:r>
      <w:r>
        <w:rPr/>
        <w:t>on</w:t>
      </w:r>
      <w:r>
        <w:rPr>
          <w:spacing w:val="45"/>
        </w:rPr>
        <w:t> </w:t>
      </w:r>
      <w:r>
        <w:rPr>
          <w:spacing w:val="-2"/>
        </w:rPr>
        <w:t>economic</w:t>
      </w:r>
    </w:p>
    <w:p>
      <w:pPr>
        <w:pStyle w:val="BodyText"/>
        <w:spacing w:before="2"/>
        <w:ind w:left="0"/>
      </w:pPr>
    </w:p>
    <w:p>
      <w:pPr>
        <w:pStyle w:val="BodyText"/>
      </w:pPr>
      <w:r>
        <w:rPr/>
        <w:t>growthin</w:t>
      </w:r>
      <w:r>
        <w:rPr>
          <w:spacing w:val="40"/>
        </w:rPr>
        <w:t> </w:t>
      </w:r>
      <w:r>
        <w:rPr/>
        <w:t>Nigeria</w:t>
      </w:r>
      <w:r>
        <w:rPr>
          <w:spacing w:val="41"/>
        </w:rPr>
        <w:t> </w:t>
      </w:r>
      <w:r>
        <w:rPr/>
        <w:t>within</w:t>
      </w:r>
      <w:r>
        <w:rPr>
          <w:spacing w:val="40"/>
        </w:rPr>
        <w:t> </w:t>
      </w:r>
      <w:r>
        <w:rPr/>
        <w:t>the</w:t>
      </w:r>
      <w:r>
        <w:rPr>
          <w:spacing w:val="42"/>
        </w:rPr>
        <w:t> </w:t>
      </w:r>
      <w:r>
        <w:rPr/>
        <w:t>period</w:t>
      </w:r>
      <w:r>
        <w:rPr>
          <w:spacing w:val="41"/>
        </w:rPr>
        <w:t> </w:t>
      </w:r>
      <w:r>
        <w:rPr/>
        <w:t>underreview.</w:t>
      </w:r>
      <w:r>
        <w:rPr>
          <w:spacing w:val="40"/>
        </w:rPr>
        <w:t> </w:t>
      </w:r>
      <w:r>
        <w:rPr/>
        <w:t>The</w:t>
      </w:r>
      <w:r>
        <w:rPr>
          <w:spacing w:val="40"/>
        </w:rPr>
        <w:t> </w:t>
      </w:r>
      <w:r>
        <w:rPr/>
        <w:t>inflowof</w:t>
      </w:r>
      <w:r>
        <w:rPr>
          <w:spacing w:val="40"/>
        </w:rPr>
        <w:t> </w:t>
      </w:r>
      <w:r>
        <w:rPr/>
        <w:t>foreign</w:t>
      </w:r>
      <w:r>
        <w:rPr>
          <w:spacing w:val="41"/>
        </w:rPr>
        <w:t> </w:t>
      </w:r>
      <w:r>
        <w:rPr/>
        <w:t>capital</w:t>
      </w:r>
      <w:r>
        <w:rPr>
          <w:spacing w:val="41"/>
        </w:rPr>
        <w:t> </w:t>
      </w:r>
      <w:r>
        <w:rPr/>
        <w:t>is</w:t>
      </w:r>
      <w:r>
        <w:rPr>
          <w:spacing w:val="41"/>
        </w:rPr>
        <w:t> </w:t>
      </w:r>
      <w:r>
        <w:rPr/>
        <w:t>a</w:t>
      </w:r>
      <w:r>
        <w:rPr>
          <w:spacing w:val="40"/>
        </w:rPr>
        <w:t> </w:t>
      </w:r>
      <w:r>
        <w:rPr>
          <w:spacing w:val="-2"/>
        </w:rPr>
        <w:t>factor</w:t>
      </w:r>
    </w:p>
    <w:p>
      <w:pPr>
        <w:pStyle w:val="BodyText"/>
        <w:spacing w:before="286"/>
      </w:pPr>
      <w:r>
        <w:rPr/>
        <w:t>likely</w:t>
      </w:r>
      <w:r>
        <w:rPr>
          <w:spacing w:val="8"/>
        </w:rPr>
        <w:t> </w:t>
      </w:r>
      <w:r>
        <w:rPr/>
        <w:t>tolead</w:t>
      </w:r>
      <w:r>
        <w:rPr>
          <w:spacing w:val="8"/>
        </w:rPr>
        <w:t> </w:t>
      </w:r>
      <w:r>
        <w:rPr/>
        <w:t>to</w:t>
      </w:r>
      <w:r>
        <w:rPr>
          <w:spacing w:val="9"/>
        </w:rPr>
        <w:t> </w:t>
      </w:r>
      <w:r>
        <w:rPr/>
        <w:t>a</w:t>
      </w:r>
      <w:r>
        <w:rPr>
          <w:spacing w:val="8"/>
        </w:rPr>
        <w:t> </w:t>
      </w:r>
      <w:r>
        <w:rPr/>
        <w:t>transfer</w:t>
      </w:r>
      <w:r>
        <w:rPr>
          <w:spacing w:val="9"/>
        </w:rPr>
        <w:t> </w:t>
      </w:r>
      <w:r>
        <w:rPr/>
        <w:t>oftechnology,</w:t>
      </w:r>
      <w:r>
        <w:rPr>
          <w:spacing w:val="9"/>
        </w:rPr>
        <w:t> </w:t>
      </w:r>
      <w:r>
        <w:rPr/>
        <w:t>specializationin</w:t>
      </w:r>
      <w:r>
        <w:rPr>
          <w:spacing w:val="8"/>
        </w:rPr>
        <w:t> </w:t>
      </w:r>
      <w:r>
        <w:rPr/>
        <w:t>production,</w:t>
      </w:r>
      <w:r>
        <w:rPr>
          <w:spacing w:val="9"/>
        </w:rPr>
        <w:t> </w:t>
      </w:r>
      <w:r>
        <w:rPr/>
        <w:t>allocationof</w:t>
      </w:r>
      <w:r>
        <w:rPr>
          <w:spacing w:val="10"/>
        </w:rPr>
        <w:t> </w:t>
      </w:r>
      <w:r>
        <w:rPr/>
        <w:t>capital</w:t>
      </w:r>
      <w:r>
        <w:rPr>
          <w:spacing w:val="8"/>
        </w:rPr>
        <w:t> </w:t>
      </w:r>
      <w:r>
        <w:rPr>
          <w:spacing w:val="-5"/>
        </w:rPr>
        <w:t>and</w:t>
      </w:r>
    </w:p>
    <w:p>
      <w:pPr>
        <w:pStyle w:val="BodyText"/>
        <w:spacing w:before="1"/>
        <w:ind w:left="0"/>
      </w:pPr>
    </w:p>
    <w:p>
      <w:pPr>
        <w:pStyle w:val="BodyText"/>
      </w:pPr>
      <w:r>
        <w:rPr/>
        <w:t>consequentlystimulates</w:t>
      </w:r>
      <w:r>
        <w:rPr>
          <w:spacing w:val="20"/>
        </w:rPr>
        <w:t> </w:t>
      </w:r>
      <w:r>
        <w:rPr/>
        <w:t>economic</w:t>
      </w:r>
      <w:r>
        <w:rPr>
          <w:spacing w:val="19"/>
        </w:rPr>
        <w:t> </w:t>
      </w:r>
      <w:r>
        <w:rPr/>
        <w:t>growth.</w:t>
      </w:r>
      <w:r>
        <w:rPr>
          <w:spacing w:val="21"/>
        </w:rPr>
        <w:t> </w:t>
      </w:r>
      <w:r>
        <w:rPr/>
        <w:t>This</w:t>
      </w:r>
      <w:r>
        <w:rPr>
          <w:spacing w:val="20"/>
        </w:rPr>
        <w:t> </w:t>
      </w:r>
      <w:r>
        <w:rPr/>
        <w:t>issupported</w:t>
      </w:r>
      <w:r>
        <w:rPr>
          <w:spacing w:val="19"/>
        </w:rPr>
        <w:t> </w:t>
      </w:r>
      <w:r>
        <w:rPr/>
        <w:t>by</w:t>
      </w:r>
      <w:r>
        <w:rPr>
          <w:spacing w:val="19"/>
        </w:rPr>
        <w:t> </w:t>
      </w:r>
      <w:r>
        <w:rPr/>
        <w:t>t-statisticsvalue</w:t>
      </w:r>
      <w:r>
        <w:rPr>
          <w:spacing w:val="19"/>
        </w:rPr>
        <w:t> </w:t>
      </w:r>
      <w:r>
        <w:rPr/>
        <w:t>of</w:t>
      </w:r>
      <w:r>
        <w:rPr>
          <w:spacing w:val="20"/>
        </w:rPr>
        <w:t> </w:t>
      </w:r>
      <w:r>
        <w:rPr>
          <w:spacing w:val="-2"/>
        </w:rPr>
        <w:t>6.571888</w:t>
      </w:r>
    </w:p>
    <w:p>
      <w:pPr>
        <w:pStyle w:val="BodyText"/>
        <w:spacing w:before="1"/>
        <w:ind w:left="0"/>
      </w:pPr>
    </w:p>
    <w:p>
      <w:pPr>
        <w:pStyle w:val="BodyText"/>
      </w:pPr>
      <w:r>
        <w:rPr/>
        <w:t>and</w:t>
      </w:r>
      <w:r>
        <w:rPr>
          <w:spacing w:val="-8"/>
        </w:rPr>
        <w:t> </w:t>
      </w:r>
      <w:r>
        <w:rPr/>
        <w:t>probabilityvalue</w:t>
      </w:r>
      <w:r>
        <w:rPr>
          <w:spacing w:val="-8"/>
        </w:rPr>
        <w:t> </w:t>
      </w:r>
      <w:r>
        <w:rPr/>
        <w:t>of</w:t>
      </w:r>
      <w:r>
        <w:rPr>
          <w:spacing w:val="-3"/>
        </w:rPr>
        <w:t> </w:t>
      </w:r>
      <w:r>
        <w:rPr/>
        <w:t>0.0000</w:t>
      </w:r>
      <w:r>
        <w:rPr>
          <w:spacing w:val="-8"/>
        </w:rPr>
        <w:t> </w:t>
      </w:r>
      <w:r>
        <w:rPr/>
        <w:t>which</w:t>
      </w:r>
      <w:r>
        <w:rPr>
          <w:spacing w:val="-7"/>
        </w:rPr>
        <w:t> </w:t>
      </w:r>
      <w:r>
        <w:rPr/>
        <w:t>is</w:t>
      </w:r>
      <w:r>
        <w:rPr>
          <w:spacing w:val="-7"/>
        </w:rPr>
        <w:t> </w:t>
      </w:r>
      <w:r>
        <w:rPr/>
        <w:t>statistically</w:t>
      </w:r>
      <w:r>
        <w:rPr>
          <w:spacing w:val="-8"/>
        </w:rPr>
        <w:t> </w:t>
      </w:r>
      <w:r>
        <w:rPr>
          <w:spacing w:val="-2"/>
        </w:rPr>
        <w:t>significant.</w:t>
      </w:r>
    </w:p>
    <w:p>
      <w:pPr>
        <w:pStyle w:val="BodyText"/>
        <w:spacing w:before="159"/>
        <w:ind w:left="0"/>
      </w:pPr>
    </w:p>
    <w:p>
      <w:pPr>
        <w:pStyle w:val="BodyText"/>
      </w:pPr>
      <w:r>
        <w:rPr/>
        <w:t>This</w:t>
      </w:r>
      <w:r>
        <w:rPr>
          <w:spacing w:val="16"/>
        </w:rPr>
        <w:t> </w:t>
      </w:r>
      <w:r>
        <w:rPr/>
        <w:t>agrees</w:t>
      </w:r>
      <w:r>
        <w:rPr>
          <w:spacing w:val="15"/>
        </w:rPr>
        <w:t> </w:t>
      </w:r>
      <w:r>
        <w:rPr/>
        <w:t>with</w:t>
      </w:r>
      <w:r>
        <w:rPr>
          <w:spacing w:val="14"/>
        </w:rPr>
        <w:t> </w:t>
      </w:r>
      <w:r>
        <w:rPr/>
        <w:t>the</w:t>
      </w:r>
      <w:r>
        <w:rPr>
          <w:spacing w:val="14"/>
        </w:rPr>
        <w:t> </w:t>
      </w:r>
      <w:r>
        <w:rPr/>
        <w:t>findings</w:t>
      </w:r>
      <w:r>
        <w:rPr>
          <w:spacing w:val="15"/>
        </w:rPr>
        <w:t> </w:t>
      </w:r>
      <w:r>
        <w:rPr/>
        <w:t>ofMahajan</w:t>
      </w:r>
      <w:r>
        <w:rPr>
          <w:spacing w:val="14"/>
        </w:rPr>
        <w:t> </w:t>
      </w:r>
      <w:r>
        <w:rPr/>
        <w:t>and</w:t>
      </w:r>
      <w:r>
        <w:rPr>
          <w:spacing w:val="13"/>
        </w:rPr>
        <w:t> </w:t>
      </w:r>
      <w:r>
        <w:rPr/>
        <w:t>Verma</w:t>
      </w:r>
      <w:r>
        <w:rPr>
          <w:spacing w:val="15"/>
        </w:rPr>
        <w:t> </w:t>
      </w:r>
      <w:r>
        <w:rPr/>
        <w:t>(2015)</w:t>
      </w:r>
      <w:r>
        <w:rPr>
          <w:spacing w:val="15"/>
        </w:rPr>
        <w:t> </w:t>
      </w:r>
      <w:r>
        <w:rPr/>
        <w:t>that</w:t>
      </w:r>
      <w:r>
        <w:rPr>
          <w:spacing w:val="16"/>
        </w:rPr>
        <w:t> </w:t>
      </w:r>
      <w:r>
        <w:rPr/>
        <w:t>financialintegration</w:t>
      </w:r>
      <w:r>
        <w:rPr>
          <w:spacing w:val="14"/>
        </w:rPr>
        <w:t> </w:t>
      </w:r>
      <w:r>
        <w:rPr>
          <w:spacing w:val="-2"/>
        </w:rPr>
        <w:t>affects</w:t>
      </w:r>
    </w:p>
    <w:p>
      <w:pPr>
        <w:pStyle w:val="BodyText"/>
        <w:spacing w:before="287"/>
      </w:pPr>
      <w:r>
        <w:rPr/>
        <w:t>the</w:t>
      </w:r>
      <w:r>
        <w:rPr>
          <w:spacing w:val="5"/>
        </w:rPr>
        <w:t> </w:t>
      </w:r>
      <w:r>
        <w:rPr/>
        <w:t>growth</w:t>
      </w:r>
      <w:r>
        <w:rPr>
          <w:spacing w:val="5"/>
        </w:rPr>
        <w:t> </w:t>
      </w:r>
      <w:r>
        <w:rPr/>
        <w:t>of</w:t>
      </w:r>
      <w:r>
        <w:rPr>
          <w:spacing w:val="7"/>
        </w:rPr>
        <w:t> </w:t>
      </w:r>
      <w:r>
        <w:rPr/>
        <w:t>theeconomy</w:t>
      </w:r>
      <w:r>
        <w:rPr>
          <w:spacing w:val="5"/>
        </w:rPr>
        <w:t> </w:t>
      </w:r>
      <w:r>
        <w:rPr/>
        <w:t>positively.</w:t>
      </w:r>
      <w:r>
        <w:rPr>
          <w:spacing w:val="6"/>
        </w:rPr>
        <w:t> </w:t>
      </w:r>
      <w:r>
        <w:rPr/>
        <w:t>Similarly,</w:t>
      </w:r>
      <w:r>
        <w:rPr>
          <w:spacing w:val="9"/>
        </w:rPr>
        <w:t> </w:t>
      </w:r>
      <w:r>
        <w:rPr/>
        <w:t>Sethi</w:t>
      </w:r>
      <w:r>
        <w:rPr>
          <w:spacing w:val="7"/>
        </w:rPr>
        <w:t> </w:t>
      </w:r>
      <w:r>
        <w:rPr/>
        <w:t>(2013)</w:t>
      </w:r>
      <w:r>
        <w:rPr>
          <w:spacing w:val="6"/>
        </w:rPr>
        <w:t> </w:t>
      </w:r>
      <w:r>
        <w:rPr/>
        <w:t>found</w:t>
      </w:r>
      <w:r>
        <w:rPr>
          <w:spacing w:val="5"/>
        </w:rPr>
        <w:t> </w:t>
      </w:r>
      <w:r>
        <w:rPr/>
        <w:t>that</w:t>
      </w:r>
      <w:r>
        <w:rPr>
          <w:spacing w:val="6"/>
        </w:rPr>
        <w:t> </w:t>
      </w:r>
      <w:r>
        <w:rPr/>
        <w:t>there</w:t>
      </w:r>
      <w:r>
        <w:rPr>
          <w:spacing w:val="5"/>
        </w:rPr>
        <w:t> </w:t>
      </w:r>
      <w:r>
        <w:rPr/>
        <w:t>is</w:t>
      </w:r>
      <w:r>
        <w:rPr>
          <w:spacing w:val="6"/>
        </w:rPr>
        <w:t> </w:t>
      </w:r>
      <w:r>
        <w:rPr/>
        <w:t>thelong-</w:t>
      </w:r>
      <w:r>
        <w:rPr>
          <w:spacing w:val="-5"/>
        </w:rPr>
        <w:t>run</w:t>
      </w:r>
    </w:p>
    <w:p>
      <w:pPr>
        <w:pStyle w:val="BodyText"/>
        <w:spacing w:before="1"/>
        <w:ind w:left="0"/>
      </w:pPr>
    </w:p>
    <w:p>
      <w:pPr>
        <w:pStyle w:val="BodyText"/>
      </w:pPr>
      <w:r>
        <w:rPr/>
        <w:t>equilibrium</w:t>
      </w:r>
      <w:r>
        <w:rPr>
          <w:spacing w:val="29"/>
        </w:rPr>
        <w:t> </w:t>
      </w:r>
      <w:r>
        <w:rPr/>
        <w:t>relationshipForeign</w:t>
      </w:r>
      <w:r>
        <w:rPr>
          <w:spacing w:val="28"/>
        </w:rPr>
        <w:t> </w:t>
      </w:r>
      <w:r>
        <w:rPr/>
        <w:t>Portfolio</w:t>
      </w:r>
      <w:r>
        <w:rPr>
          <w:spacing w:val="29"/>
        </w:rPr>
        <w:t> </w:t>
      </w:r>
      <w:r>
        <w:rPr/>
        <w:t>Investmentand</w:t>
      </w:r>
      <w:r>
        <w:rPr>
          <w:spacing w:val="29"/>
        </w:rPr>
        <w:t> </w:t>
      </w:r>
      <w:r>
        <w:rPr/>
        <w:t>economic</w:t>
      </w:r>
      <w:r>
        <w:rPr>
          <w:spacing w:val="28"/>
        </w:rPr>
        <w:t> </w:t>
      </w:r>
      <w:r>
        <w:rPr/>
        <w:t>growth.</w:t>
      </w:r>
      <w:r>
        <w:rPr>
          <w:spacing w:val="29"/>
        </w:rPr>
        <w:t> </w:t>
      </w:r>
      <w:r>
        <w:rPr/>
        <w:t>That</w:t>
      </w:r>
      <w:r>
        <w:rPr>
          <w:spacing w:val="31"/>
        </w:rPr>
        <w:t> </w:t>
      </w:r>
      <w:r>
        <w:rPr/>
        <w:t>is</w:t>
      </w:r>
      <w:r>
        <w:rPr>
          <w:spacing w:val="29"/>
        </w:rPr>
        <w:t> </w:t>
      </w:r>
      <w:r>
        <w:rPr>
          <w:spacing w:val="-2"/>
        </w:rPr>
        <w:t>private</w:t>
      </w:r>
    </w:p>
    <w:p>
      <w:pPr>
        <w:pStyle w:val="BodyText"/>
        <w:spacing w:before="1"/>
        <w:ind w:left="0"/>
      </w:pPr>
    </w:p>
    <w:p>
      <w:pPr>
        <w:pStyle w:val="BodyText"/>
      </w:pPr>
      <w:r>
        <w:rPr/>
        <w:t>foreign</w:t>
      </w:r>
      <w:r>
        <w:rPr>
          <w:spacing w:val="31"/>
        </w:rPr>
        <w:t> </w:t>
      </w:r>
      <w:r>
        <w:rPr/>
        <w:t>capitalinflows</w:t>
      </w:r>
      <w:r>
        <w:rPr>
          <w:spacing w:val="33"/>
        </w:rPr>
        <w:t> </w:t>
      </w:r>
      <w:r>
        <w:rPr/>
        <w:t>have</w:t>
      </w:r>
      <w:r>
        <w:rPr>
          <w:spacing w:val="32"/>
        </w:rPr>
        <w:t> </w:t>
      </w:r>
      <w:r>
        <w:rPr/>
        <w:t>a</w:t>
      </w:r>
      <w:r>
        <w:rPr>
          <w:spacing w:val="32"/>
        </w:rPr>
        <w:t> </w:t>
      </w:r>
      <w:r>
        <w:rPr/>
        <w:t>positiveand</w:t>
      </w:r>
      <w:r>
        <w:rPr>
          <w:spacing w:val="33"/>
        </w:rPr>
        <w:t> </w:t>
      </w:r>
      <w:r>
        <w:rPr/>
        <w:t>direct</w:t>
      </w:r>
      <w:r>
        <w:rPr>
          <w:spacing w:val="32"/>
        </w:rPr>
        <w:t> </w:t>
      </w:r>
      <w:r>
        <w:rPr/>
        <w:t>impacton</w:t>
      </w:r>
      <w:r>
        <w:rPr>
          <w:spacing w:val="32"/>
        </w:rPr>
        <w:t> </w:t>
      </w:r>
      <w:r>
        <w:rPr/>
        <w:t>economic</w:t>
      </w:r>
      <w:r>
        <w:rPr>
          <w:spacing w:val="34"/>
        </w:rPr>
        <w:t> </w:t>
      </w:r>
      <w:r>
        <w:rPr/>
        <w:t>growth.</w:t>
      </w:r>
      <w:r>
        <w:rPr>
          <w:spacing w:val="31"/>
        </w:rPr>
        <w:t> </w:t>
      </w:r>
      <w:r>
        <w:rPr>
          <w:spacing w:val="-2"/>
        </w:rPr>
        <w:t>Furthermore,</w:t>
      </w:r>
    </w:p>
    <w:p>
      <w:pPr>
        <w:pStyle w:val="BodyText"/>
        <w:spacing w:before="286"/>
      </w:pPr>
      <w:r>
        <w:rPr/>
        <w:t>Wambugu</w:t>
      </w:r>
      <w:r>
        <w:rPr>
          <w:spacing w:val="77"/>
          <w:w w:val="150"/>
        </w:rPr>
        <w:t> </w:t>
      </w:r>
      <w:r>
        <w:rPr/>
        <w:t>(2018)</w:t>
      </w:r>
      <w:r>
        <w:rPr>
          <w:spacing w:val="77"/>
          <w:w w:val="150"/>
        </w:rPr>
        <w:t> </w:t>
      </w:r>
      <w:r>
        <w:rPr/>
        <w:t>found</w:t>
      </w:r>
      <w:r>
        <w:rPr>
          <w:spacing w:val="77"/>
          <w:w w:val="150"/>
        </w:rPr>
        <w:t> </w:t>
      </w:r>
      <w:r>
        <w:rPr/>
        <w:t>thatportfolio</w:t>
      </w:r>
      <w:r>
        <w:rPr>
          <w:spacing w:val="77"/>
          <w:w w:val="150"/>
        </w:rPr>
        <w:t> </w:t>
      </w:r>
      <w:r>
        <w:rPr/>
        <w:t>inflows</w:t>
      </w:r>
      <w:r>
        <w:rPr>
          <w:spacing w:val="78"/>
          <w:w w:val="150"/>
        </w:rPr>
        <w:t> </w:t>
      </w:r>
      <w:r>
        <w:rPr/>
        <w:t>contributepositively</w:t>
      </w:r>
      <w:r>
        <w:rPr>
          <w:spacing w:val="77"/>
          <w:w w:val="150"/>
        </w:rPr>
        <w:t> </w:t>
      </w:r>
      <w:r>
        <w:rPr/>
        <w:t>and</w:t>
      </w:r>
      <w:r>
        <w:rPr>
          <w:spacing w:val="76"/>
          <w:w w:val="150"/>
        </w:rPr>
        <w:t> </w:t>
      </w:r>
      <w:r>
        <w:rPr>
          <w:spacing w:val="-2"/>
        </w:rPr>
        <w:t>significantlyto</w:t>
      </w:r>
    </w:p>
    <w:p>
      <w:pPr>
        <w:pStyle w:val="BodyText"/>
        <w:spacing w:before="1"/>
        <w:ind w:left="0"/>
      </w:pPr>
    </w:p>
    <w:p>
      <w:pPr>
        <w:pStyle w:val="BodyText"/>
      </w:pPr>
      <w:r>
        <w:rPr/>
        <w:t>economic</w:t>
      </w:r>
      <w:r>
        <w:rPr>
          <w:spacing w:val="36"/>
        </w:rPr>
        <w:t> </w:t>
      </w:r>
      <w:r>
        <w:rPr/>
        <w:t>growth.</w:t>
      </w:r>
      <w:r>
        <w:rPr>
          <w:spacing w:val="37"/>
        </w:rPr>
        <w:t> </w:t>
      </w:r>
      <w:r>
        <w:rPr/>
        <w:t>AlsoEzeanyeji</w:t>
      </w:r>
      <w:r>
        <w:rPr>
          <w:spacing w:val="38"/>
        </w:rPr>
        <w:t> </w:t>
      </w:r>
      <w:r>
        <w:rPr/>
        <w:t>and</w:t>
      </w:r>
      <w:r>
        <w:rPr>
          <w:spacing w:val="38"/>
        </w:rPr>
        <w:t> </w:t>
      </w:r>
      <w:r>
        <w:rPr/>
        <w:t>Ifeako</w:t>
      </w:r>
      <w:r>
        <w:rPr>
          <w:spacing w:val="37"/>
        </w:rPr>
        <w:t> </w:t>
      </w:r>
      <w:r>
        <w:rPr/>
        <w:t>(2019)</w:t>
      </w:r>
      <w:r>
        <w:rPr>
          <w:spacing w:val="38"/>
        </w:rPr>
        <w:t> </w:t>
      </w:r>
      <w:r>
        <w:rPr/>
        <w:t>results</w:t>
      </w:r>
      <w:r>
        <w:rPr>
          <w:spacing w:val="38"/>
        </w:rPr>
        <w:t> </w:t>
      </w:r>
      <w:r>
        <w:rPr/>
        <w:t>indicates</w:t>
      </w:r>
      <w:r>
        <w:rPr>
          <w:spacing w:val="40"/>
        </w:rPr>
        <w:t> </w:t>
      </w:r>
      <w:r>
        <w:rPr/>
        <w:t>thatforeign</w:t>
      </w:r>
      <w:r>
        <w:rPr>
          <w:spacing w:val="36"/>
        </w:rPr>
        <w:t> </w:t>
      </w:r>
      <w:r>
        <w:rPr>
          <w:spacing w:val="-2"/>
        </w:rPr>
        <w:t>portfolio</w:t>
      </w:r>
    </w:p>
    <w:p>
      <w:pPr>
        <w:pStyle w:val="BodyText"/>
        <w:spacing w:before="286"/>
      </w:pPr>
      <w:r>
        <w:rPr/>
        <w:t>investments</w:t>
      </w:r>
      <w:r>
        <w:rPr>
          <w:spacing w:val="-4"/>
        </w:rPr>
        <w:t> </w:t>
      </w:r>
      <w:r>
        <w:rPr/>
        <w:t>havepositive</w:t>
      </w:r>
      <w:r>
        <w:rPr>
          <w:spacing w:val="-5"/>
        </w:rPr>
        <w:t> </w:t>
      </w:r>
      <w:r>
        <w:rPr/>
        <w:t>significant</w:t>
      </w:r>
      <w:r>
        <w:rPr>
          <w:spacing w:val="-4"/>
        </w:rPr>
        <w:t> </w:t>
      </w:r>
      <w:r>
        <w:rPr/>
        <w:t>impacton</w:t>
      </w:r>
      <w:r>
        <w:rPr>
          <w:spacing w:val="-4"/>
        </w:rPr>
        <w:t> </w:t>
      </w:r>
      <w:r>
        <w:rPr/>
        <w:t>economic</w:t>
      </w:r>
      <w:r>
        <w:rPr>
          <w:spacing w:val="-5"/>
        </w:rPr>
        <w:t> </w:t>
      </w:r>
      <w:r>
        <w:rPr/>
        <w:t>process</w:t>
      </w:r>
      <w:r>
        <w:rPr>
          <w:spacing w:val="-3"/>
        </w:rPr>
        <w:t> </w:t>
      </w:r>
      <w:r>
        <w:rPr/>
        <w:t>in</w:t>
      </w:r>
      <w:r>
        <w:rPr>
          <w:spacing w:val="-5"/>
        </w:rPr>
        <w:t> </w:t>
      </w:r>
      <w:r>
        <w:rPr/>
        <w:t>Nigeria.</w:t>
      </w:r>
      <w:r>
        <w:rPr>
          <w:spacing w:val="-4"/>
        </w:rPr>
        <w:t> </w:t>
      </w:r>
      <w:r>
        <w:rPr/>
        <w:t>Iriobe,</w:t>
      </w:r>
      <w:r>
        <w:rPr>
          <w:spacing w:val="-5"/>
        </w:rPr>
        <w:t> </w:t>
      </w:r>
      <w:r>
        <w:rPr>
          <w:spacing w:val="-2"/>
        </w:rPr>
        <w:t>Obamuyi</w:t>
      </w:r>
    </w:p>
    <w:p>
      <w:pPr>
        <w:pStyle w:val="BodyText"/>
        <w:spacing w:before="2"/>
        <w:ind w:left="0"/>
      </w:pPr>
    </w:p>
    <w:p>
      <w:pPr>
        <w:pStyle w:val="BodyText"/>
      </w:pPr>
      <w:r>
        <w:rPr/>
        <w:t>and</w:t>
      </w:r>
      <w:r>
        <w:rPr>
          <w:spacing w:val="64"/>
          <w:w w:val="150"/>
        </w:rPr>
        <w:t> </w:t>
      </w:r>
      <w:r>
        <w:rPr/>
        <w:t>Abayomi</w:t>
      </w:r>
      <w:r>
        <w:rPr>
          <w:spacing w:val="65"/>
          <w:w w:val="150"/>
        </w:rPr>
        <w:t> </w:t>
      </w:r>
      <w:r>
        <w:rPr/>
        <w:t>(2018)</w:t>
      </w:r>
      <w:r>
        <w:rPr>
          <w:spacing w:val="68"/>
          <w:w w:val="150"/>
        </w:rPr>
        <w:t> </w:t>
      </w:r>
      <w:r>
        <w:rPr/>
        <w:t>also</w:t>
      </w:r>
      <w:r>
        <w:rPr>
          <w:spacing w:val="66"/>
          <w:w w:val="150"/>
        </w:rPr>
        <w:t> </w:t>
      </w:r>
      <w:r>
        <w:rPr/>
        <w:t>indicates</w:t>
      </w:r>
      <w:r>
        <w:rPr>
          <w:spacing w:val="65"/>
          <w:w w:val="150"/>
        </w:rPr>
        <w:t> </w:t>
      </w:r>
      <w:r>
        <w:rPr/>
        <w:t>thatforeign</w:t>
      </w:r>
      <w:r>
        <w:rPr>
          <w:spacing w:val="66"/>
          <w:w w:val="150"/>
        </w:rPr>
        <w:t> </w:t>
      </w:r>
      <w:r>
        <w:rPr/>
        <w:t>portfolio</w:t>
      </w:r>
      <w:r>
        <w:rPr>
          <w:spacing w:val="66"/>
          <w:w w:val="150"/>
        </w:rPr>
        <w:t> </w:t>
      </w:r>
      <w:r>
        <w:rPr/>
        <w:t>equity</w:t>
      </w:r>
      <w:r>
        <w:rPr>
          <w:spacing w:val="65"/>
          <w:w w:val="150"/>
        </w:rPr>
        <w:t> </w:t>
      </w:r>
      <w:r>
        <w:rPr/>
        <w:t>investmentfeatures</w:t>
      </w:r>
      <w:r>
        <w:rPr>
          <w:spacing w:val="66"/>
          <w:w w:val="150"/>
        </w:rPr>
        <w:t> </w:t>
      </w:r>
      <w:r>
        <w:rPr>
          <w:spacing w:val="-10"/>
        </w:rPr>
        <w:t>a</w:t>
      </w:r>
    </w:p>
    <w:p>
      <w:pPr>
        <w:pStyle w:val="BodyText"/>
        <w:spacing w:line="480" w:lineRule="auto" w:before="286"/>
        <w:ind w:right="734"/>
        <w:jc w:val="both"/>
      </w:pPr>
      <w:r>
        <w:rPr/>
        <w:t>significant positiveinfluence on the Nigerianstock exchange performance. Baghebo and Apere (2014) study indicatesthat foreign portfolioinvestment have positive long-run relationship with real gross domesticproduct in Nigeria within the periodof study. Ibrahim and</w:t>
      </w:r>
      <w:r>
        <w:rPr>
          <w:spacing w:val="-5"/>
        </w:rPr>
        <w:t> </w:t>
      </w:r>
      <w:r>
        <w:rPr/>
        <w:t>Akinbobola</w:t>
      </w:r>
      <w:r>
        <w:rPr>
          <w:spacing w:val="-5"/>
        </w:rPr>
        <w:t> </w:t>
      </w:r>
      <w:r>
        <w:rPr/>
        <w:t>(2017)</w:t>
      </w:r>
      <w:r>
        <w:rPr>
          <w:spacing w:val="-1"/>
        </w:rPr>
        <w:t> </w:t>
      </w:r>
      <w:r>
        <w:rPr/>
        <w:t>studyalso</w:t>
      </w:r>
      <w:r>
        <w:rPr>
          <w:spacing w:val="-3"/>
        </w:rPr>
        <w:t> </w:t>
      </w:r>
      <w:r>
        <w:rPr/>
        <w:t>indicates</w:t>
      </w:r>
      <w:r>
        <w:rPr>
          <w:spacing w:val="-4"/>
        </w:rPr>
        <w:t> </w:t>
      </w:r>
      <w:r>
        <w:rPr/>
        <w:t>that</w:t>
      </w:r>
      <w:r>
        <w:rPr>
          <w:spacing w:val="-2"/>
        </w:rPr>
        <w:t> </w:t>
      </w:r>
      <w:r>
        <w:rPr/>
        <w:t>in</w:t>
      </w:r>
      <w:r>
        <w:rPr>
          <w:spacing w:val="-4"/>
        </w:rPr>
        <w:t> </w:t>
      </w:r>
      <w:r>
        <w:rPr/>
        <w:t>theshort</w:t>
      </w:r>
      <w:r>
        <w:rPr>
          <w:spacing w:val="-3"/>
        </w:rPr>
        <w:t> </w:t>
      </w:r>
      <w:r>
        <w:rPr/>
        <w:t>ruin</w:t>
      </w:r>
      <w:r>
        <w:rPr>
          <w:spacing w:val="-4"/>
        </w:rPr>
        <w:t> </w:t>
      </w:r>
      <w:r>
        <w:rPr/>
        <w:t>and</w:t>
      </w:r>
      <w:r>
        <w:rPr>
          <w:spacing w:val="-5"/>
        </w:rPr>
        <w:t> </w:t>
      </w:r>
      <w:r>
        <w:rPr/>
        <w:t>long-runforeign</w:t>
      </w:r>
      <w:r>
        <w:rPr>
          <w:spacing w:val="-4"/>
        </w:rPr>
        <w:t> </w:t>
      </w:r>
      <w:r>
        <w:rPr>
          <w:spacing w:val="-2"/>
        </w:rPr>
        <w:t>portfolio</w:t>
      </w:r>
    </w:p>
    <w:p>
      <w:pPr>
        <w:spacing w:after="0" w:line="480" w:lineRule="auto"/>
        <w:jc w:val="both"/>
        <w:sectPr>
          <w:pgSz w:w="12240" w:h="15840"/>
          <w:pgMar w:header="0" w:footer="1012" w:top="1380" w:bottom="1200" w:left="1220" w:right="700"/>
        </w:sectPr>
      </w:pPr>
    </w:p>
    <w:p>
      <w:pPr>
        <w:pStyle w:val="BodyText"/>
        <w:spacing w:line="480" w:lineRule="auto" w:before="60"/>
        <w:ind w:right="738"/>
        <w:jc w:val="both"/>
      </w:pPr>
      <w:r>
        <w:rPr/>
        <w:t>investment had positiveand significant effect on theeconomic growth. This also agrees with the findings of Abdulaziz (2020) thatfinancial integration has apositive impact oneconomic growth</w:t>
      </w:r>
      <w:r>
        <w:rPr>
          <w:spacing w:val="57"/>
        </w:rPr>
        <w:t> </w:t>
      </w:r>
      <w:r>
        <w:rPr/>
        <w:t>andstatistically</w:t>
      </w:r>
      <w:r>
        <w:rPr>
          <w:spacing w:val="57"/>
        </w:rPr>
        <w:t> </w:t>
      </w:r>
      <w:r>
        <w:rPr/>
        <w:t>significant.</w:t>
      </w:r>
      <w:r>
        <w:rPr>
          <w:spacing w:val="57"/>
        </w:rPr>
        <w:t> </w:t>
      </w:r>
      <w:r>
        <w:rPr/>
        <w:t>This</w:t>
      </w:r>
      <w:r>
        <w:rPr>
          <w:spacing w:val="58"/>
        </w:rPr>
        <w:t> </w:t>
      </w:r>
      <w:r>
        <w:rPr/>
        <w:t>also</w:t>
      </w:r>
      <w:r>
        <w:rPr>
          <w:spacing w:val="55"/>
        </w:rPr>
        <w:t> </w:t>
      </w:r>
      <w:r>
        <w:rPr/>
        <w:t>tally</w:t>
      </w:r>
      <w:r>
        <w:rPr>
          <w:spacing w:val="57"/>
        </w:rPr>
        <w:t> </w:t>
      </w:r>
      <w:r>
        <w:rPr/>
        <w:t>with</w:t>
      </w:r>
      <w:r>
        <w:rPr>
          <w:spacing w:val="57"/>
        </w:rPr>
        <w:t> </w:t>
      </w:r>
      <w:r>
        <w:rPr/>
        <w:t>thefindings</w:t>
      </w:r>
      <w:r>
        <w:rPr>
          <w:spacing w:val="59"/>
        </w:rPr>
        <w:t> </w:t>
      </w:r>
      <w:r>
        <w:rPr/>
        <w:t>of</w:t>
      </w:r>
      <w:r>
        <w:rPr>
          <w:spacing w:val="57"/>
        </w:rPr>
        <w:t> </w:t>
      </w:r>
      <w:r>
        <w:rPr/>
        <w:t>Koukiand</w:t>
      </w:r>
      <w:r>
        <w:rPr>
          <w:spacing w:val="57"/>
        </w:rPr>
        <w:t> </w:t>
      </w:r>
      <w:r>
        <w:rPr>
          <w:spacing w:val="-2"/>
        </w:rPr>
        <w:t>Rezgui</w:t>
      </w:r>
    </w:p>
    <w:p>
      <w:pPr>
        <w:pStyle w:val="BodyText"/>
      </w:pPr>
      <w:r>
        <w:rPr/>
        <mc:AlternateContent>
          <mc:Choice Requires="wps">
            <w:drawing>
              <wp:anchor distT="0" distB="0" distL="0" distR="0" allowOverlap="1" layoutInCell="1" locked="0" behindDoc="1" simplePos="0" relativeHeight="478105088">
                <wp:simplePos x="0" y="0"/>
                <wp:positionH relativeFrom="page">
                  <wp:posOffset>896416</wp:posOffset>
                </wp:positionH>
                <wp:positionV relativeFrom="paragraph">
                  <wp:posOffset>740</wp:posOffset>
                </wp:positionV>
                <wp:extent cx="5981065" cy="1744345"/>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5981065" cy="1744345"/>
                        </a:xfrm>
                        <a:custGeom>
                          <a:avLst/>
                          <a:gdLst/>
                          <a:ahLst/>
                          <a:cxnLst/>
                          <a:rect l="l" t="t" r="r" b="b"/>
                          <a:pathLst>
                            <a:path w="5981065" h="1744345">
                              <a:moveTo>
                                <a:pt x="5981065" y="1094295"/>
                              </a:moveTo>
                              <a:lnTo>
                                <a:pt x="0" y="1094295"/>
                              </a:lnTo>
                              <a:lnTo>
                                <a:pt x="0" y="1277480"/>
                              </a:lnTo>
                              <a:lnTo>
                                <a:pt x="0" y="1743824"/>
                              </a:lnTo>
                              <a:lnTo>
                                <a:pt x="5981065" y="1743824"/>
                              </a:lnTo>
                              <a:lnTo>
                                <a:pt x="5981065" y="1277480"/>
                              </a:lnTo>
                              <a:lnTo>
                                <a:pt x="5981065" y="1094295"/>
                              </a:lnTo>
                              <a:close/>
                            </a:path>
                            <a:path w="5981065" h="1744345">
                              <a:moveTo>
                                <a:pt x="5981065" y="729996"/>
                              </a:moveTo>
                              <a:lnTo>
                                <a:pt x="0" y="729996"/>
                              </a:lnTo>
                              <a:lnTo>
                                <a:pt x="0" y="1094219"/>
                              </a:lnTo>
                              <a:lnTo>
                                <a:pt x="5981065" y="1094219"/>
                              </a:lnTo>
                              <a:lnTo>
                                <a:pt x="5981065" y="729996"/>
                              </a:lnTo>
                              <a:close/>
                            </a:path>
                            <a:path w="5981065" h="1744345">
                              <a:moveTo>
                                <a:pt x="5981065" y="0"/>
                              </a:moveTo>
                              <a:lnTo>
                                <a:pt x="0" y="0"/>
                              </a:lnTo>
                              <a:lnTo>
                                <a:pt x="0" y="364223"/>
                              </a:lnTo>
                              <a:lnTo>
                                <a:pt x="0" y="729983"/>
                              </a:lnTo>
                              <a:lnTo>
                                <a:pt x="5981065" y="729983"/>
                              </a:lnTo>
                              <a:lnTo>
                                <a:pt x="5981065" y="364223"/>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058294pt;width:470.95pt;height:137.35pt;mso-position-horizontal-relative:page;mso-position-vertical-relative:paragraph;z-index:-25211392" id="docshape204" coordorigin="1412,1" coordsize="9419,2747" path="m10831,1724l1412,1724,1412,2013,1412,2747,10831,2747,10831,2013,10831,1724xm10831,1151l1412,1151,1412,1724,10831,1724,10831,1151xm10831,1l1412,1,1412,575,1412,1151,10831,1151,10831,575,10831,1xe" filled="true" fillcolor="#ffffff" stroked="false">
                <v:path arrowok="t"/>
                <v:fill type="solid"/>
                <w10:wrap type="none"/>
              </v:shape>
            </w:pict>
          </mc:Fallback>
        </mc:AlternateContent>
      </w:r>
      <w:r>
        <w:rPr/>
        <w:t>(2017)</w:t>
      </w:r>
      <w:r>
        <w:rPr>
          <w:spacing w:val="1"/>
        </w:rPr>
        <w:t> </w:t>
      </w:r>
      <w:r>
        <w:rPr/>
        <w:t>that</w:t>
      </w:r>
      <w:r>
        <w:rPr>
          <w:spacing w:val="1"/>
        </w:rPr>
        <w:t> </w:t>
      </w:r>
      <w:r>
        <w:rPr/>
        <w:t>stockof</w:t>
      </w:r>
      <w:r>
        <w:rPr>
          <w:spacing w:val="1"/>
        </w:rPr>
        <w:t> </w:t>
      </w:r>
      <w:r>
        <w:rPr/>
        <w:t>accumulated</w:t>
      </w:r>
      <w:r>
        <w:rPr>
          <w:spacing w:val="1"/>
        </w:rPr>
        <w:t> </w:t>
      </w:r>
      <w:r>
        <w:rPr/>
        <w:t>capitalflows</w:t>
      </w:r>
      <w:r>
        <w:rPr>
          <w:spacing w:val="2"/>
        </w:rPr>
        <w:t> </w:t>
      </w:r>
      <w:r>
        <w:rPr/>
        <w:t>with</w:t>
      </w:r>
      <w:r>
        <w:rPr>
          <w:spacing w:val="1"/>
        </w:rPr>
        <w:t> </w:t>
      </w:r>
      <w:r>
        <w:rPr/>
        <w:t>regard</w:t>
      </w:r>
      <w:r>
        <w:rPr>
          <w:spacing w:val="1"/>
        </w:rPr>
        <w:t> </w:t>
      </w:r>
      <w:r>
        <w:rPr/>
        <w:t>toGDP</w:t>
      </w:r>
      <w:r>
        <w:rPr>
          <w:spacing w:val="2"/>
        </w:rPr>
        <w:t> </w:t>
      </w:r>
      <w:r>
        <w:rPr/>
        <w:t>has</w:t>
      </w:r>
      <w:r>
        <w:rPr>
          <w:spacing w:val="1"/>
        </w:rPr>
        <w:t> </w:t>
      </w:r>
      <w:r>
        <w:rPr/>
        <w:t>positive</w:t>
      </w:r>
      <w:r>
        <w:rPr>
          <w:spacing w:val="2"/>
        </w:rPr>
        <w:t> </w:t>
      </w:r>
      <w:r>
        <w:rPr/>
        <w:t>and</w:t>
      </w:r>
      <w:r>
        <w:rPr>
          <w:spacing w:val="2"/>
        </w:rPr>
        <w:t> </w:t>
      </w:r>
      <w:r>
        <w:rPr>
          <w:spacing w:val="-2"/>
        </w:rPr>
        <w:t>significant</w:t>
      </w:r>
    </w:p>
    <w:p>
      <w:pPr>
        <w:pStyle w:val="BodyText"/>
        <w:spacing w:before="286"/>
      </w:pPr>
      <w:r>
        <w:rPr/>
        <mc:AlternateContent>
          <mc:Choice Requires="wps">
            <w:drawing>
              <wp:anchor distT="0" distB="0" distL="0" distR="0" allowOverlap="1" layoutInCell="1" locked="0" behindDoc="1" simplePos="0" relativeHeight="478104576">
                <wp:simplePos x="0" y="0"/>
                <wp:positionH relativeFrom="page">
                  <wp:posOffset>950112</wp:posOffset>
                </wp:positionH>
                <wp:positionV relativeFrom="paragraph">
                  <wp:posOffset>5124</wp:posOffset>
                </wp:positionV>
                <wp:extent cx="5505450" cy="5661025"/>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03516pt;width:433.5pt;height:445.75pt;mso-position-horizontal-relative:page;mso-position-vertical-relative:paragraph;z-index:-25211904" id="docshape205" coordorigin="1496,8" coordsize="8670,8915" path="m2562,8728l1691,7857,1496,8052,2367,8923,2562,8728xm3154,8052l3153,8012,3148,7969,3139,7926,3125,7882,3106,7838,3083,7795,3055,7753,3025,7711,2991,7671,2954,7632,2435,7113,2241,7307,2772,7839,2805,7875,2829,7910,2846,7945,2856,7979,2858,8012,2851,8043,2837,8071,2816,8097,2790,8119,2761,8133,2730,8139,2697,8136,2663,8127,2628,8110,2593,8086,2557,8054,2026,7522,1831,7716,2351,8236,2385,8268,2424,8300,2468,8333,2516,8365,2548,8384,2583,8400,2620,8413,2658,8424,2697,8432,2733,8436,2767,8436,2800,8432,2831,8425,2863,8414,2895,8397,2926,8377,2957,8354,2985,8331,3011,8308,3035,8285,3071,8245,3102,8204,3125,8163,3142,8120,3150,8088,3154,8052xm3882,7269l3876,7204,3860,7139,3834,7072,3806,7018,3771,6962,3728,6904,3678,6845,3661,6826,3621,6785,3597,6762,3597,7256,3592,7297,3577,7333,3551,7366,3518,7392,3481,7407,3441,7411,3396,7405,3347,7387,3294,7355,3235,7310,3171,7251,3112,7187,3066,7128,3035,7074,3016,7025,3010,6980,3014,6940,3029,6904,3053,6872,3086,6847,3122,6832,3163,6826,3207,6832,3255,6849,3307,6879,3363,6921,3423,6976,3488,7046,3538,7108,3572,7164,3591,7213,3597,7256,3597,6762,3551,6720,3482,6665,3413,6619,3344,6584,3276,6558,3209,6542,3130,6537,3055,6547,2983,6572,2914,6613,2850,6668,2796,6732,2756,6799,2732,6871,2723,6947,2729,7026,2746,7095,2772,7164,2808,7233,2854,7303,2910,7374,2976,7445,3036,7502,3096,7551,3156,7593,3215,7628,3273,7655,3344,7680,3411,7693,3475,7697,3535,7691,3593,7674,3649,7647,3705,7610,3758,7561,3805,7508,3841,7451,3858,7411,3866,7393,3879,7331,3882,7269xm4153,6689l3966,6502,3712,6756,3899,6943,4153,6689xm4664,6626l3793,5755,3598,5950,4469,6821,4664,6626xm4998,6292l4675,5969,4781,5862,4832,5802,4837,5792,4866,5741,4883,5677,4882,5613,4866,5547,4843,5496,4836,5481,4792,5415,4733,5349,4670,5292,4607,5249,4598,5245,4598,5638,4597,5664,4587,5690,4570,5717,4546,5745,4498,5792,4304,5598,4359,5542,4386,5519,4412,5504,4438,5496,4462,5497,4486,5503,4509,5514,4531,5528,4552,5546,4570,5568,4584,5590,4593,5614,4598,5638,4598,5245,4544,5220,4483,5204,4423,5203,4365,5217,4309,5248,4255,5293,3931,5616,4803,6487,4998,6292xm5788,5502l5132,4846,5330,4648,5115,4433,4524,5024,4739,5239,4937,5041,5593,5697,5788,5502xm6423,4867l5767,4211,5966,4012,5751,3797,5159,4389,5374,4604,5573,4405,6229,5061,6423,4867xm7157,3994l7151,3929,7135,3864,7109,3797,7081,3743,7046,3687,7003,3629,6953,3570,6935,3552,6896,3510,6872,3488,6872,3982,6867,4022,6851,4058,6825,4092,6793,4117,6756,4132,6716,4136,6671,4130,6622,4112,6569,4080,6510,4035,6446,3976,6387,3912,6341,3853,6309,3799,6291,3750,6285,3705,6289,3665,6304,3629,6328,3598,6361,3572,6397,3557,6438,3552,6482,3557,6530,3574,6582,3604,6638,3646,6698,3701,6763,3771,6813,3834,6847,3889,6866,3938,6872,3982,6872,3488,6826,3445,6756,3390,6687,3345,6619,3309,6551,3284,6483,3268,6405,3262,6329,3272,6258,3297,6189,3338,6125,3393,6071,3457,6031,3525,6007,3596,5998,3672,6004,3752,6021,3820,6047,3889,6083,3958,6129,4028,6184,4099,6250,4170,6311,4227,6371,4276,6431,4319,6490,4353,6548,4381,6619,4405,6686,4419,6750,4422,6810,4416,6868,4400,6924,4372,6979,4335,7033,4287,7080,4233,7116,4177,7133,4136,7141,4118,7154,4057,7157,3994xm8170,2998l8165,2949,8153,2899,8134,2846,8109,2792,8079,2736,8041,2679,7980,2703,7799,2778,7831,2824,7855,2867,7873,2908,7884,2945,7887,2980,7881,3013,7866,3044,7843,3073,7812,3097,7778,3111,7740,3115,7700,3109,7653,3090,7600,3056,7538,3007,7469,2942,7417,2886,7375,2834,7344,2787,7324,2744,7311,2692,7312,2646,7325,2605,7352,2569,7367,2556,7384,2545,7402,2537,7422,2533,7442,2531,7464,2531,7486,2534,7509,2540,7524,2546,7542,2554,7563,2566,7586,2580,7705,2355,7622,2309,7543,2277,7469,2258,7400,2251,7333,2259,7269,2282,7206,2320,7146,2372,7092,2435,7054,2501,7030,2572,7021,2645,7027,2723,7044,2790,7070,2858,7106,2927,7153,2997,7209,3067,7276,3139,7341,3200,7404,3252,7467,3295,7529,3331,7590,3358,7662,3382,7730,3395,7791,3398,7847,3391,7900,3374,7952,3347,8004,3310,8056,3264,8094,3221,8125,3178,8147,3135,8161,3090,8169,3045,8170,2998xm8868,2283l8861,2219,8846,2153,8820,2086,8792,2032,8757,1976,8714,1918,8664,1859,8646,1841,8607,1799,8583,1777,8583,2271,8578,2311,8562,2348,8536,2381,8504,2406,8467,2421,8427,2426,8382,2419,8333,2401,8279,2370,8221,2324,8157,2265,8098,2201,8052,2142,8020,2088,8002,2039,7996,1995,8000,1954,8014,1918,8039,1887,8071,1861,8108,1846,8149,1841,8193,1846,8241,1863,8293,1893,8349,1935,8409,1990,8474,2060,8524,2123,8558,2179,8577,2227,8583,2271,8583,1777,8537,1734,8467,1679,8398,1634,8330,1598,8262,1573,8194,1557,8116,1551,8040,1561,7968,1587,7900,1627,7835,1683,7781,1746,7742,1814,7718,1885,7709,1961,7715,2041,7731,2109,7758,2178,7794,2248,7839,2318,7895,2388,7961,2459,8022,2516,8082,2566,8142,2608,8201,2642,8259,2670,8329,2694,8397,2708,8461,2711,8521,2705,8579,2689,8635,2662,8690,2624,8744,2576,8791,2522,8827,2466,8844,2426,8852,2407,8865,2346,8868,2283xm9348,1942l9025,1618,9132,1512,9182,1452,9188,1442,9216,1390,9233,1327,9233,1262,9217,1197,9194,1146,9187,1131,9142,1065,9084,999,9020,942,8957,899,8948,895,8948,1288,8947,1313,8938,1340,8921,1367,8896,1394,8849,1442,8654,1248,8710,1192,8737,1169,8763,1153,8788,1146,8812,1146,8836,1153,8859,1163,8881,1178,8902,1196,8920,1218,8934,1240,8943,1264,8948,1288,8948,895,8895,869,8833,853,8773,853,8715,867,8659,897,8605,942,8282,1266,9153,2137,9348,1942xm10166,1124l9801,759,9748,609,9593,158,9540,8,9325,223,9353,293,9436,504,9492,645,9422,617,9211,533,9071,477,8854,693,9005,746,9456,902,9606,954,9971,1319,10166,1124xe" filled="true" fillcolor="#c0c0c0" stroked="false">
                <v:path arrowok="t"/>
                <v:fill opacity="32896f" type="solid"/>
                <w10:wrap type="none"/>
              </v:shape>
            </w:pict>
          </mc:Fallback>
        </mc:AlternateContent>
      </w:r>
      <w:r>
        <w:rPr/>
        <w:t>impact</w:t>
      </w:r>
      <w:r>
        <w:rPr>
          <w:spacing w:val="17"/>
        </w:rPr>
        <w:t> </w:t>
      </w:r>
      <w:r>
        <w:rPr/>
        <w:t>on</w:t>
      </w:r>
      <w:r>
        <w:rPr>
          <w:spacing w:val="19"/>
        </w:rPr>
        <w:t> </w:t>
      </w:r>
      <w:r>
        <w:rPr/>
        <w:t>economicgrowth.</w:t>
      </w:r>
      <w:r>
        <w:rPr>
          <w:spacing w:val="20"/>
        </w:rPr>
        <w:t> </w:t>
      </w:r>
      <w:r>
        <w:rPr/>
        <w:t>This</w:t>
      </w:r>
      <w:r>
        <w:rPr>
          <w:spacing w:val="19"/>
        </w:rPr>
        <w:t> </w:t>
      </w:r>
      <w:r>
        <w:rPr/>
        <w:t>disagreeswith</w:t>
      </w:r>
      <w:r>
        <w:rPr>
          <w:spacing w:val="19"/>
        </w:rPr>
        <w:t> </w:t>
      </w:r>
      <w:r>
        <w:rPr/>
        <w:t>the</w:t>
      </w:r>
      <w:r>
        <w:rPr>
          <w:spacing w:val="18"/>
        </w:rPr>
        <w:t> </w:t>
      </w:r>
      <w:r>
        <w:rPr/>
        <w:t>findingsof</w:t>
      </w:r>
      <w:r>
        <w:rPr>
          <w:spacing w:val="18"/>
        </w:rPr>
        <w:t> </w:t>
      </w:r>
      <w:r>
        <w:rPr/>
        <w:t>Arash</w:t>
      </w:r>
      <w:r>
        <w:rPr>
          <w:spacing w:val="19"/>
        </w:rPr>
        <w:t> </w:t>
      </w:r>
      <w:r>
        <w:rPr/>
        <w:t>and</w:t>
      </w:r>
      <w:r>
        <w:rPr>
          <w:spacing w:val="19"/>
        </w:rPr>
        <w:t> </w:t>
      </w:r>
      <w:r>
        <w:rPr/>
        <w:t>Aidin</w:t>
      </w:r>
      <w:r>
        <w:rPr>
          <w:spacing w:val="19"/>
        </w:rPr>
        <w:t> </w:t>
      </w:r>
      <w:r>
        <w:rPr/>
        <w:t>(2016)</w:t>
      </w:r>
      <w:r>
        <w:rPr>
          <w:spacing w:val="18"/>
        </w:rPr>
        <w:t> </w:t>
      </w:r>
      <w:r>
        <w:rPr>
          <w:spacing w:val="-4"/>
        </w:rPr>
        <w:t>that</w:t>
      </w:r>
    </w:p>
    <w:p>
      <w:pPr>
        <w:pStyle w:val="BodyText"/>
        <w:spacing w:before="1"/>
        <w:ind w:left="0"/>
      </w:pPr>
    </w:p>
    <w:p>
      <w:pPr>
        <w:pStyle w:val="BodyText"/>
      </w:pPr>
      <w:r>
        <w:rPr/>
        <w:t>financial</w:t>
      </w:r>
      <w:r>
        <w:rPr>
          <w:spacing w:val="-7"/>
        </w:rPr>
        <w:t> </w:t>
      </w:r>
      <w:r>
        <w:rPr/>
        <w:t>integration</w:t>
      </w:r>
      <w:r>
        <w:rPr>
          <w:spacing w:val="-7"/>
        </w:rPr>
        <w:t> </w:t>
      </w:r>
      <w:r>
        <w:rPr/>
        <w:t>has</w:t>
      </w:r>
      <w:r>
        <w:rPr>
          <w:spacing w:val="-4"/>
        </w:rPr>
        <w:t> </w:t>
      </w:r>
      <w:r>
        <w:rPr/>
        <w:t>negative</w:t>
      </w:r>
      <w:r>
        <w:rPr>
          <w:spacing w:val="-7"/>
        </w:rPr>
        <w:t> </w:t>
      </w:r>
      <w:r>
        <w:rPr/>
        <w:t>effect</w:t>
      </w:r>
      <w:r>
        <w:rPr>
          <w:spacing w:val="-7"/>
        </w:rPr>
        <w:t> </w:t>
      </w:r>
      <w:r>
        <w:rPr/>
        <w:t>on</w:t>
      </w:r>
      <w:r>
        <w:rPr>
          <w:spacing w:val="-7"/>
        </w:rPr>
        <w:t> </w:t>
      </w:r>
      <w:r>
        <w:rPr/>
        <w:t>growth</w:t>
      </w:r>
      <w:r>
        <w:rPr>
          <w:spacing w:val="-7"/>
        </w:rPr>
        <w:t> </w:t>
      </w:r>
      <w:r>
        <w:rPr/>
        <w:t>in</w:t>
      </w:r>
      <w:r>
        <w:rPr>
          <w:spacing w:val="-7"/>
        </w:rPr>
        <w:t> </w:t>
      </w:r>
      <w:r>
        <w:rPr/>
        <w:t>the</w:t>
      </w:r>
      <w:r>
        <w:rPr>
          <w:spacing w:val="-7"/>
        </w:rPr>
        <w:t> </w:t>
      </w:r>
      <w:r>
        <w:rPr/>
        <w:t>countries</w:t>
      </w:r>
      <w:r>
        <w:rPr>
          <w:spacing w:val="-6"/>
        </w:rPr>
        <w:t> </w:t>
      </w:r>
      <w:r>
        <w:rPr>
          <w:spacing w:val="-2"/>
        </w:rPr>
        <w:t>studied.</w:t>
      </w:r>
    </w:p>
    <w:p>
      <w:pPr>
        <w:pStyle w:val="BodyText"/>
        <w:ind w:left="0"/>
      </w:pPr>
    </w:p>
    <w:p>
      <w:pPr>
        <w:pStyle w:val="BodyText"/>
        <w:spacing w:before="161"/>
        <w:ind w:left="0"/>
      </w:pPr>
    </w:p>
    <w:p>
      <w:pPr>
        <w:pStyle w:val="Heading2"/>
        <w:numPr>
          <w:ilvl w:val="1"/>
          <w:numId w:val="25"/>
        </w:numPr>
        <w:tabs>
          <w:tab w:pos="593" w:val="left" w:leader="none"/>
        </w:tabs>
        <w:spacing w:line="240" w:lineRule="auto" w:before="0" w:after="0"/>
        <w:ind w:left="593" w:right="0" w:hanging="373"/>
        <w:jc w:val="left"/>
      </w:pPr>
      <w:bookmarkStart w:name="_TOC_250006" w:id="69"/>
      <w:r>
        <w:rPr/>
        <w:t>Trade</w:t>
      </w:r>
      <w:r>
        <w:rPr>
          <w:spacing w:val="-8"/>
        </w:rPr>
        <w:t> </w:t>
      </w:r>
      <w:r>
        <w:rPr/>
        <w:t>Openness</w:t>
      </w:r>
      <w:r>
        <w:rPr>
          <w:spacing w:val="-6"/>
        </w:rPr>
        <w:t> </w:t>
      </w:r>
      <w:r>
        <w:rPr/>
        <w:t>and</w:t>
      </w:r>
      <w:r>
        <w:rPr>
          <w:spacing w:val="-7"/>
        </w:rPr>
        <w:t> </w:t>
      </w:r>
      <w:r>
        <w:rPr/>
        <w:t>Economic</w:t>
      </w:r>
      <w:r>
        <w:rPr>
          <w:spacing w:val="-8"/>
        </w:rPr>
        <w:t> </w:t>
      </w:r>
      <w:r>
        <w:rPr/>
        <w:t>Growth</w:t>
      </w:r>
      <w:r>
        <w:rPr>
          <w:spacing w:val="-8"/>
        </w:rPr>
        <w:t> </w:t>
      </w:r>
      <w:r>
        <w:rPr/>
        <w:t>in</w:t>
      </w:r>
      <w:r>
        <w:rPr>
          <w:spacing w:val="-5"/>
        </w:rPr>
        <w:t> </w:t>
      </w:r>
      <w:bookmarkEnd w:id="69"/>
      <w:r>
        <w:rPr>
          <w:spacing w:val="-2"/>
        </w:rPr>
        <w:t>Nigeria</w:t>
      </w:r>
    </w:p>
    <w:p>
      <w:pPr>
        <w:pStyle w:val="BodyText"/>
        <w:spacing w:before="159"/>
        <w:ind w:left="0"/>
        <w:rPr>
          <w:b/>
        </w:rPr>
      </w:pPr>
    </w:p>
    <w:p>
      <w:pPr>
        <w:pStyle w:val="BodyText"/>
        <w:spacing w:line="480" w:lineRule="auto"/>
        <w:ind w:right="732"/>
        <w:jc w:val="both"/>
      </w:pPr>
      <w:r>
        <w:rPr/>
        <w:t>Trade openness was foundto have significant effect oneconomic growth in Nigeria.</w:t>
      </w:r>
      <w:r>
        <w:rPr>
          <w:spacing w:val="40"/>
        </w:rPr>
        <w:t> </w:t>
      </w:r>
      <w:r>
        <w:rPr/>
        <w:t>This implies that opening up theeconomic to encouragefinancial integration enhancedeconomic growth in Nigeria within theperiod under review. The opening ofemerging markets attracted foreign investors andincreased the flowsof capital towards them. That is theliberalization of the emerging marketsincreasedthe numberof foreign investors, which lead to th increase of the financial markets’liquidity, the reduction of the costof debt, the improvementof profitability of certainprojects and the increaseof economic activity. This issupportedby t- statistics value of 2.777748 and probability value of 0.0100 which is statistically significant.</w:t>
      </w:r>
    </w:p>
    <w:p>
      <w:pPr>
        <w:pStyle w:val="BodyText"/>
        <w:spacing w:line="480" w:lineRule="auto" w:before="163"/>
        <w:ind w:right="735"/>
        <w:jc w:val="both"/>
      </w:pPr>
      <w:r>
        <w:rPr/>
        <w:t>This agrees with the findings of Biplab and Inder (2021) that financialopenness significantly boostsproductivity. Similarly, Wafa and Saoussen (2015) found that tradeopenness explain the degree of financialintegration and has significant effect oneconomic growth. Abdulaziz (2020) study also indicates that tradeopenness is statistically significant inexplaining economic growth. Ahmed (2011) study indicates thatfinancial openness had enhanced economic</w:t>
      </w:r>
      <w:r>
        <w:rPr>
          <w:spacing w:val="64"/>
        </w:rPr>
        <w:t> </w:t>
      </w:r>
      <w:r>
        <w:rPr/>
        <w:t>growth</w:t>
      </w:r>
      <w:r>
        <w:rPr>
          <w:spacing w:val="62"/>
        </w:rPr>
        <w:t> </w:t>
      </w:r>
      <w:r>
        <w:rPr/>
        <w:t>throughindirect</w:t>
      </w:r>
      <w:r>
        <w:rPr>
          <w:spacing w:val="63"/>
        </w:rPr>
        <w:t> </w:t>
      </w:r>
      <w:r>
        <w:rPr/>
        <w:t>channels</w:t>
      </w:r>
      <w:r>
        <w:rPr>
          <w:spacing w:val="62"/>
        </w:rPr>
        <w:t> </w:t>
      </w:r>
      <w:r>
        <w:rPr/>
        <w:t>such</w:t>
      </w:r>
      <w:r>
        <w:rPr>
          <w:spacing w:val="61"/>
        </w:rPr>
        <w:t> </w:t>
      </w:r>
      <w:r>
        <w:rPr/>
        <w:t>aspromoting</w:t>
      </w:r>
      <w:r>
        <w:rPr>
          <w:spacing w:val="63"/>
        </w:rPr>
        <w:t> </w:t>
      </w:r>
      <w:r>
        <w:rPr/>
        <w:t>domestic</w:t>
      </w:r>
      <w:r>
        <w:rPr>
          <w:spacing w:val="62"/>
        </w:rPr>
        <w:t> </w:t>
      </w:r>
      <w:r>
        <w:rPr/>
        <w:t>financial</w:t>
      </w:r>
      <w:r>
        <w:rPr>
          <w:spacing w:val="63"/>
        </w:rPr>
        <w:t> </w:t>
      </w:r>
      <w:r>
        <w:rPr>
          <w:spacing w:val="-2"/>
        </w:rPr>
        <w:t>market</w:t>
      </w:r>
    </w:p>
    <w:p>
      <w:pPr>
        <w:spacing w:after="0" w:line="480" w:lineRule="auto"/>
        <w:jc w:val="both"/>
        <w:sectPr>
          <w:pgSz w:w="12240" w:h="15840"/>
          <w:pgMar w:header="0" w:footer="1012" w:top="1380" w:bottom="1200" w:left="1220" w:right="700"/>
        </w:sectPr>
      </w:pPr>
    </w:p>
    <w:p>
      <w:pPr>
        <w:pStyle w:val="BodyText"/>
        <w:spacing w:line="480" w:lineRule="auto" w:before="60"/>
        <w:ind w:right="736"/>
        <w:jc w:val="both"/>
      </w:pPr>
      <w:r>
        <w:rPr/>
        <w:t>development andproducts. Furthermore, Keho andGrace Wang (2017) result indicates that trade openness promoteseconomic growth in theeconomy. Ekwe and Inyiama (2014) also found that theopenness of the economyhad a positive and significanteffect on the GDP.</w:t>
      </w:r>
    </w:p>
    <w:p>
      <w:pPr>
        <w:pStyle w:val="BodyText"/>
        <w:spacing w:line="480" w:lineRule="auto" w:before="161"/>
        <w:ind w:right="736"/>
        <w:jc w:val="both"/>
      </w:pPr>
      <w:r>
        <w:rPr/>
        <mc:AlternateContent>
          <mc:Choice Requires="wps">
            <w:drawing>
              <wp:anchor distT="0" distB="0" distL="0" distR="0" allowOverlap="1" layoutInCell="1" locked="0" behindDoc="1" simplePos="0" relativeHeight="478105600">
                <wp:simplePos x="0" y="0"/>
                <wp:positionH relativeFrom="page">
                  <wp:posOffset>950112</wp:posOffset>
                </wp:positionH>
                <wp:positionV relativeFrom="paragraph">
                  <wp:posOffset>187671</wp:posOffset>
                </wp:positionV>
                <wp:extent cx="5505450" cy="5661025"/>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4.777295pt;width:433.5pt;height:445.75pt;mso-position-horizontal-relative:page;mso-position-vertical-relative:paragraph;z-index:-25210880" id="docshape206" coordorigin="1496,296" coordsize="8670,8915" path="m2562,9015l1691,8144,1496,8339,2367,9210,2562,9015xm3154,8339l3153,8300,3148,8257,3139,8213,3125,8169,3106,8126,3083,8082,3055,8040,3025,7999,2991,7959,2954,7920,2435,7400,2241,7595,2772,8126,2805,8162,2829,8198,2846,8232,2856,8267,2858,8299,2851,8330,2837,8358,2816,8385,2790,8406,2761,8420,2730,8426,2697,8424,2663,8414,2628,8398,2593,8373,2557,8342,2026,7810,1831,8004,2351,8523,2385,8556,2424,8588,2468,8620,2516,8653,2548,8672,2583,8687,2620,8701,2658,8711,2697,8719,2733,8723,2767,8723,2800,8720,2831,8713,2863,8701,2895,8685,2926,8664,2957,8641,2985,8618,3011,8595,3035,8573,3071,8532,3102,8492,3125,8450,3142,8408,3150,8375,3154,8339xm3882,7556l3876,7492,3860,7426,3834,7360,3806,7305,3771,7249,3728,7192,3678,7133,3661,7114,3621,7072,3597,7050,3597,7544,3592,7584,3577,7621,3551,7654,3518,7679,3481,7694,3441,7699,3396,7693,3347,7674,3294,7643,3235,7598,3171,7539,3112,7475,3066,7416,3035,7361,3016,7312,3010,7268,3014,7228,3029,7192,3053,7160,3086,7134,3122,7119,3163,7114,3207,7119,3255,7136,3307,7166,3363,7208,3423,7263,3488,7333,3538,7396,3572,7452,3591,7500,3597,7544,3597,7050,3551,7007,3482,6952,3413,6907,3344,6872,3276,6846,3209,6830,3130,6824,3055,6834,2983,6860,2914,6900,2850,6956,2796,7019,2756,7087,2732,7159,2723,7234,2729,7314,2746,7382,2772,7451,2808,7521,2854,7591,2910,7661,2976,7732,3036,7789,3096,7839,3156,7881,3215,7916,3273,7943,3344,7967,3411,7981,3475,7984,3535,7978,3593,7962,3649,7935,3705,7897,3758,7849,3805,7795,3841,7739,3858,7699,3866,7680,3879,7619,3882,7556xm4153,6976l3966,6789,3712,7044,3899,7231,4153,6976xm4664,6914l3793,6043,3598,6238,4469,7109,4664,6914xm4998,6580l4675,6256,4781,6150,4832,6090,4837,6080,4866,6028,4883,5965,4882,5900,4866,5835,4843,5784,4836,5769,4792,5703,4733,5637,4670,5580,4607,5537,4598,5532,4598,5926,4597,5951,4587,5977,4570,6004,4546,6032,4498,6080,4304,5885,4359,5830,4386,5807,4412,5791,4438,5784,4462,5784,4486,5791,4509,5801,4531,5815,4552,5834,4570,5855,4584,5878,4593,5901,4598,5926,4598,5532,4544,5507,4483,5491,4423,5490,4365,5505,4309,5535,4255,5580,3931,5904,4803,6775,4998,6580xm5788,5790l5132,5134,5330,4935,5115,4720,4524,5312,4739,5527,4937,5328,5593,5984,5788,5790xm6423,5154l5767,4498,5966,4300,5751,4085,5159,4676,5374,4891,5573,4693,6229,5349,6423,5154xm7157,4281l7151,4217,7135,4151,7109,4085,7081,4030,7046,3974,7003,3917,6953,3858,6935,3839,6896,3798,6872,3775,6872,4269,6867,4309,6851,4346,6825,4379,6793,4405,6756,4420,6716,4424,6671,4418,6622,4399,6569,4368,6510,4323,6446,4264,6387,4200,6341,4141,6309,4086,6291,4037,6285,3993,6289,3953,6304,3917,6328,3885,6361,3860,6397,3844,6438,3839,6482,3844,6530,3862,6582,3891,6638,3934,6698,3989,6763,4058,6813,4121,6847,4177,6866,4226,6872,4269,6872,3775,6826,3732,6756,3677,6687,3632,6619,3597,6551,3571,6483,3555,6405,3550,6329,3560,6258,3585,6189,3625,6125,3681,6071,3744,6031,3812,6007,3884,5998,3959,6004,4039,6021,4107,6047,4176,6083,4246,6129,4316,6184,4386,6250,4457,6311,4514,6371,4564,6431,4606,6490,4641,6548,4668,6619,4692,6686,4706,6750,4710,6810,4703,6868,4687,6924,4660,6979,4622,7033,4574,7080,4520,7116,4464,7133,4424,7141,4405,7154,4344,7157,4281xm8170,3286l8165,3237,8153,3186,8134,3134,8109,3079,8079,3023,8041,2966,7980,2991,7799,3065,7831,3112,7855,3155,7873,3195,7884,3233,7887,3268,7881,3301,7866,3332,7843,3361,7812,3385,7778,3399,7740,3403,7700,3397,7653,3378,7600,3344,7538,3295,7469,3230,7417,3174,7375,3122,7344,3074,7324,3031,7311,2980,7312,2933,7325,2892,7352,2856,7367,2843,7384,2833,7402,2825,7422,2820,7442,2818,7464,2819,7486,2822,7509,2828,7524,2834,7542,2842,7563,2853,7586,2867,7705,2642,7622,2596,7543,2564,7469,2545,7400,2539,7333,2547,7269,2569,7206,2607,7146,2660,7092,2722,7054,2789,7030,2859,7021,2933,7027,3011,7044,3078,7070,3145,7106,3214,7153,3284,7209,3355,7276,3427,7341,3487,7404,3539,7467,3583,7529,3618,7590,3646,7662,3669,7730,3682,7791,3685,7847,3678,7900,3661,7952,3635,8004,3598,8056,3552,8094,3509,8125,3466,8147,3422,8161,3378,8169,3333,8170,3286xm8868,2570l8861,2506,8846,2441,8820,2374,8792,2319,8757,2263,8714,2206,8664,2147,8646,2128,8607,2087,8583,2064,8583,2558,8578,2598,8562,2635,8536,2668,8504,2694,8467,2709,8427,2713,8382,2707,8333,2689,8279,2657,8221,2612,8157,2553,8098,2489,8052,2430,8020,2376,8002,2327,7996,2282,8000,2242,8014,2206,8039,2174,8071,2149,8108,2133,8149,2128,8193,2133,8241,2151,8293,2180,8349,2223,8409,2278,8474,2347,8524,2410,8558,2466,8577,2515,8583,2558,8583,2064,8537,2021,8467,1966,8398,1921,8330,1886,8262,1860,8194,1844,8116,1839,8040,1849,7968,1874,7900,1915,7835,1970,7781,2034,7742,2101,7718,2173,7709,2249,7715,2328,7731,2397,7758,2466,7794,2535,7839,2605,7895,2676,7961,2746,8022,2804,8082,2853,8142,2895,8201,2930,8259,2957,8329,2982,8397,2995,8461,2999,8521,2992,8579,2976,8635,2949,8690,2911,8744,2863,8791,2809,8827,2753,8844,2713,8852,2694,8865,2633,8868,2570xm9348,2229l9025,1906,9132,1799,9182,1739,9188,1730,9216,1678,9233,1615,9233,1550,9217,1484,9194,1433,9187,1418,9142,1353,9084,1287,9020,1229,8957,1186,8948,1182,8948,1575,8947,1601,8938,1627,8921,1654,8896,1682,8849,1730,8654,1535,8710,1480,8737,1456,8763,1441,8788,1433,8812,1434,8836,1440,8859,1451,8881,1465,8902,1484,8920,1505,8934,1528,8943,1551,8948,1575,8948,1182,8895,1157,8833,1141,8773,1140,8715,1155,8659,1185,8605,1230,8282,1554,9153,2425,9348,2229xm10166,1412l9801,1047,9748,897,9593,446,9540,296,9325,511,9353,581,9436,792,9492,932,9422,904,9211,821,9071,765,8854,981,9005,1034,9456,1189,9606,1242,9971,1607,10166,1412xe" filled="true" fillcolor="#c0c0c0" stroked="false">
                <v:path arrowok="t"/>
                <v:fill opacity="32896f" type="solid"/>
                <w10:wrap type="none"/>
              </v:shape>
            </w:pict>
          </mc:Fallback>
        </mc:AlternateContent>
      </w:r>
      <w:r>
        <w:rPr/>
        <w:t>On the contrary, the findings of Kouki and Rezgui (2017) indicates that therelationship between themacroeconomic policy of tradeopenness and economicgrowth is positive but not significant. SimilarlyAdu (2013) results indicates that tradeopenness has significant negative relationship</w:t>
      </w:r>
      <w:r>
        <w:rPr>
          <w:spacing w:val="-2"/>
        </w:rPr>
        <w:t> </w:t>
      </w:r>
      <w:r>
        <w:rPr/>
        <w:t>with</w:t>
      </w:r>
      <w:r>
        <w:rPr>
          <w:spacing w:val="-2"/>
        </w:rPr>
        <w:t> </w:t>
      </w:r>
      <w:r>
        <w:rPr/>
        <w:t>economicgrowth.</w:t>
      </w:r>
      <w:r>
        <w:rPr>
          <w:spacing w:val="-2"/>
        </w:rPr>
        <w:t> </w:t>
      </w:r>
      <w:r>
        <w:rPr/>
        <w:t>Also,</w:t>
      </w:r>
      <w:r>
        <w:rPr>
          <w:spacing w:val="-2"/>
        </w:rPr>
        <w:t> </w:t>
      </w:r>
      <w:r>
        <w:rPr/>
        <w:t>Ezeaku,</w:t>
      </w:r>
      <w:r>
        <w:rPr>
          <w:spacing w:val="-2"/>
        </w:rPr>
        <w:t> </w:t>
      </w:r>
      <w:r>
        <w:rPr/>
        <w:t>Anyalechi, Onwumere</w:t>
      </w:r>
      <w:r>
        <w:rPr>
          <w:spacing w:val="-3"/>
        </w:rPr>
        <w:t> </w:t>
      </w:r>
      <w:r>
        <w:rPr/>
        <w:t>and</w:t>
      </w:r>
      <w:r>
        <w:rPr>
          <w:spacing w:val="-3"/>
        </w:rPr>
        <w:t> </w:t>
      </w:r>
      <w:r>
        <w:rPr/>
        <w:t>Okereke (2018) study indicates trade openness hasnegative and insignificantinfluence on economic growth.</w:t>
      </w:r>
    </w:p>
    <w:p>
      <w:pPr>
        <w:pStyle w:val="BodyText"/>
        <w:spacing w:before="160"/>
        <w:ind w:left="0"/>
      </w:pPr>
    </w:p>
    <w:p>
      <w:pPr>
        <w:pStyle w:val="Heading2"/>
        <w:numPr>
          <w:ilvl w:val="1"/>
          <w:numId w:val="26"/>
        </w:numPr>
        <w:tabs>
          <w:tab w:pos="593" w:val="left" w:leader="none"/>
        </w:tabs>
        <w:spacing w:line="240" w:lineRule="auto" w:before="0" w:after="0"/>
        <w:ind w:left="593" w:right="0" w:hanging="373"/>
        <w:jc w:val="left"/>
      </w:pPr>
      <w:r>
        <w:rPr/>
        <mc:AlternateContent>
          <mc:Choice Requires="wps">
            <w:drawing>
              <wp:anchor distT="0" distB="0" distL="0" distR="0" allowOverlap="1" layoutInCell="1" locked="0" behindDoc="1" simplePos="0" relativeHeight="478106112">
                <wp:simplePos x="0" y="0"/>
                <wp:positionH relativeFrom="page">
                  <wp:posOffset>896416</wp:posOffset>
                </wp:positionH>
                <wp:positionV relativeFrom="paragraph">
                  <wp:posOffset>-284394</wp:posOffset>
                </wp:positionV>
                <wp:extent cx="5981065" cy="424053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5981065" cy="4240530"/>
                        </a:xfrm>
                        <a:custGeom>
                          <a:avLst/>
                          <a:gdLst/>
                          <a:ahLst/>
                          <a:cxnLst/>
                          <a:rect l="l" t="t" r="r" b="b"/>
                          <a:pathLst>
                            <a:path w="5981065" h="4240530">
                              <a:moveTo>
                                <a:pt x="5981065" y="3407981"/>
                              </a:moveTo>
                              <a:lnTo>
                                <a:pt x="0" y="3407981"/>
                              </a:lnTo>
                              <a:lnTo>
                                <a:pt x="0" y="3774046"/>
                              </a:lnTo>
                              <a:lnTo>
                                <a:pt x="0" y="4240390"/>
                              </a:lnTo>
                              <a:lnTo>
                                <a:pt x="5981065" y="4240390"/>
                              </a:lnTo>
                              <a:lnTo>
                                <a:pt x="5981065" y="3774046"/>
                              </a:lnTo>
                              <a:lnTo>
                                <a:pt x="5981065" y="3407981"/>
                              </a:lnTo>
                              <a:close/>
                            </a:path>
                            <a:path w="5981065" h="4240530">
                              <a:moveTo>
                                <a:pt x="5981065" y="0"/>
                              </a:moveTo>
                              <a:lnTo>
                                <a:pt x="0" y="0"/>
                              </a:lnTo>
                              <a:lnTo>
                                <a:pt x="0" y="182867"/>
                              </a:lnTo>
                              <a:lnTo>
                                <a:pt x="0" y="649211"/>
                              </a:lnTo>
                              <a:lnTo>
                                <a:pt x="0" y="3407905"/>
                              </a:lnTo>
                              <a:lnTo>
                                <a:pt x="5981065" y="3407905"/>
                              </a:lnTo>
                              <a:lnTo>
                                <a:pt x="5981065" y="182867"/>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22.39327pt;width:470.95pt;height:333.9pt;mso-position-horizontal-relative:page;mso-position-vertical-relative:paragraph;z-index:-25210368" id="docshape207" coordorigin="1412,-448" coordsize="9419,6678" path="m10831,4919l1412,4919,1412,5496,1412,6230,10831,6230,10831,5496,10831,4919xm10831,-448l1412,-448,1412,-160,1412,575,1412,1309,1412,1309,1412,1885,1412,2461,1412,3035,1412,3611,1412,4345,1412,4919,10831,4919,10831,4345,10831,3611,10831,3035,10831,2461,10831,1885,10831,1309,10831,1309,10831,575,10831,-160,10831,-448xe" filled="true" fillcolor="#ffffff" stroked="false">
                <v:path arrowok="t"/>
                <v:fill type="solid"/>
                <w10:wrap type="none"/>
              </v:shape>
            </w:pict>
          </mc:Fallback>
        </mc:AlternateContent>
      </w:r>
      <w:r>
        <w:rPr/>
        <w:t>Foreign</w:t>
      </w:r>
      <w:r>
        <w:rPr>
          <w:spacing w:val="-8"/>
        </w:rPr>
        <w:t> </w:t>
      </w:r>
      <w:r>
        <w:rPr/>
        <w:t>Remittances</w:t>
      </w:r>
      <w:r>
        <w:rPr>
          <w:spacing w:val="-8"/>
        </w:rPr>
        <w:t> </w:t>
      </w:r>
      <w:r>
        <w:rPr/>
        <w:t>and</w:t>
      </w:r>
      <w:r>
        <w:rPr>
          <w:spacing w:val="-8"/>
        </w:rPr>
        <w:t> </w:t>
      </w:r>
      <w:r>
        <w:rPr/>
        <w:t>Economic</w:t>
      </w:r>
      <w:r>
        <w:rPr>
          <w:spacing w:val="-9"/>
        </w:rPr>
        <w:t> </w:t>
      </w:r>
      <w:r>
        <w:rPr/>
        <w:t>Growth</w:t>
      </w:r>
      <w:r>
        <w:rPr>
          <w:spacing w:val="-7"/>
        </w:rPr>
        <w:t> </w:t>
      </w:r>
      <w:r>
        <w:rPr/>
        <w:t>in</w:t>
      </w:r>
      <w:r>
        <w:rPr>
          <w:spacing w:val="-9"/>
        </w:rPr>
        <w:t> </w:t>
      </w:r>
      <w:r>
        <w:rPr>
          <w:spacing w:val="-2"/>
        </w:rPr>
        <w:t>Nigeria</w:t>
      </w:r>
    </w:p>
    <w:p>
      <w:pPr>
        <w:pStyle w:val="BodyText"/>
        <w:spacing w:before="159"/>
        <w:ind w:left="0"/>
        <w:rPr>
          <w:b/>
        </w:rPr>
      </w:pPr>
    </w:p>
    <w:p>
      <w:pPr>
        <w:pStyle w:val="BodyText"/>
      </w:pPr>
      <w:r>
        <w:rPr/>
        <w:t>The</w:t>
      </w:r>
      <w:r>
        <w:rPr>
          <w:spacing w:val="-3"/>
        </w:rPr>
        <w:t> </w:t>
      </w:r>
      <w:r>
        <w:rPr/>
        <w:t>study</w:t>
      </w:r>
      <w:r>
        <w:rPr>
          <w:spacing w:val="-2"/>
        </w:rPr>
        <w:t> </w:t>
      </w:r>
      <w:r>
        <w:rPr/>
        <w:t>further</w:t>
      </w:r>
      <w:r>
        <w:rPr>
          <w:spacing w:val="-2"/>
        </w:rPr>
        <w:t> </w:t>
      </w:r>
      <w:r>
        <w:rPr/>
        <w:t>found foreign remittances</w:t>
      </w:r>
      <w:r>
        <w:rPr>
          <w:spacing w:val="1"/>
        </w:rPr>
        <w:t> </w:t>
      </w:r>
      <w:r>
        <w:rPr/>
        <w:t>have</w:t>
      </w:r>
      <w:r>
        <w:rPr>
          <w:spacing w:val="-3"/>
        </w:rPr>
        <w:t> </w:t>
      </w:r>
      <w:r>
        <w:rPr/>
        <w:t>no</w:t>
      </w:r>
      <w:r>
        <w:rPr>
          <w:spacing w:val="-2"/>
        </w:rPr>
        <w:t> </w:t>
      </w:r>
      <w:r>
        <w:rPr/>
        <w:t>significant effecton</w:t>
      </w:r>
      <w:r>
        <w:rPr>
          <w:spacing w:val="-1"/>
        </w:rPr>
        <w:t> </w:t>
      </w:r>
      <w:r>
        <w:rPr/>
        <w:t>economic growth</w:t>
      </w:r>
      <w:r>
        <w:rPr>
          <w:spacing w:val="-1"/>
        </w:rPr>
        <w:t> </w:t>
      </w:r>
      <w:r>
        <w:rPr>
          <w:spacing w:val="-5"/>
        </w:rPr>
        <w:t>in</w:t>
      </w:r>
    </w:p>
    <w:p>
      <w:pPr>
        <w:pStyle w:val="BodyText"/>
        <w:spacing w:before="287"/>
      </w:pPr>
      <w:r>
        <w:rPr/>
        <w:t>Nigeria.</w:t>
      </w:r>
      <w:r>
        <w:rPr>
          <w:spacing w:val="56"/>
        </w:rPr>
        <w:t> </w:t>
      </w:r>
      <w:r>
        <w:rPr/>
        <w:t>This</w:t>
      </w:r>
      <w:r>
        <w:rPr>
          <w:spacing w:val="58"/>
        </w:rPr>
        <w:t> </w:t>
      </w:r>
      <w:r>
        <w:rPr/>
        <w:t>implies</w:t>
      </w:r>
      <w:r>
        <w:rPr>
          <w:spacing w:val="56"/>
        </w:rPr>
        <w:t> </w:t>
      </w:r>
      <w:r>
        <w:rPr/>
        <w:t>thatremittances</w:t>
      </w:r>
      <w:r>
        <w:rPr>
          <w:spacing w:val="57"/>
        </w:rPr>
        <w:t> </w:t>
      </w:r>
      <w:r>
        <w:rPr/>
        <w:t>from</w:t>
      </w:r>
      <w:r>
        <w:rPr>
          <w:spacing w:val="57"/>
        </w:rPr>
        <w:t> </w:t>
      </w:r>
      <w:r>
        <w:rPr/>
        <w:t>the</w:t>
      </w:r>
      <w:r>
        <w:rPr>
          <w:spacing w:val="57"/>
        </w:rPr>
        <w:t> </w:t>
      </w:r>
      <w:r>
        <w:rPr/>
        <w:t>Nigerians</w:t>
      </w:r>
      <w:r>
        <w:rPr>
          <w:spacing w:val="58"/>
        </w:rPr>
        <w:t> </w:t>
      </w:r>
      <w:r>
        <w:rPr/>
        <w:t>livingabroad</w:t>
      </w:r>
      <w:r>
        <w:rPr>
          <w:spacing w:val="56"/>
        </w:rPr>
        <w:t> </w:t>
      </w:r>
      <w:r>
        <w:rPr/>
        <w:t>had</w:t>
      </w:r>
      <w:r>
        <w:rPr>
          <w:spacing w:val="55"/>
        </w:rPr>
        <w:t> </w:t>
      </w:r>
      <w:r>
        <w:rPr>
          <w:spacing w:val="-2"/>
        </w:rPr>
        <w:t>nosignificant</w:t>
      </w:r>
    </w:p>
    <w:p>
      <w:pPr>
        <w:pStyle w:val="BodyText"/>
        <w:spacing w:before="1"/>
        <w:ind w:left="0"/>
      </w:pPr>
    </w:p>
    <w:p>
      <w:pPr>
        <w:pStyle w:val="BodyText"/>
      </w:pPr>
      <w:r>
        <w:rPr/>
        <w:t>effect</w:t>
      </w:r>
      <w:r>
        <w:rPr>
          <w:spacing w:val="15"/>
        </w:rPr>
        <w:t> </w:t>
      </w:r>
      <w:r>
        <w:rPr/>
        <w:t>on</w:t>
      </w:r>
      <w:r>
        <w:rPr>
          <w:spacing w:val="15"/>
        </w:rPr>
        <w:t> </w:t>
      </w:r>
      <w:r>
        <w:rPr/>
        <w:t>economic</w:t>
      </w:r>
      <w:r>
        <w:rPr>
          <w:spacing w:val="17"/>
        </w:rPr>
        <w:t> </w:t>
      </w:r>
      <w:r>
        <w:rPr/>
        <w:t>growth</w:t>
      </w:r>
      <w:r>
        <w:rPr>
          <w:spacing w:val="15"/>
        </w:rPr>
        <w:t> </w:t>
      </w:r>
      <w:r>
        <w:rPr/>
        <w:t>inNigeria</w:t>
      </w:r>
      <w:r>
        <w:rPr>
          <w:spacing w:val="17"/>
        </w:rPr>
        <w:t> </w:t>
      </w:r>
      <w:r>
        <w:rPr/>
        <w:t>within</w:t>
      </w:r>
      <w:r>
        <w:rPr>
          <w:spacing w:val="16"/>
        </w:rPr>
        <w:t> </w:t>
      </w:r>
      <w:r>
        <w:rPr/>
        <w:t>the</w:t>
      </w:r>
      <w:r>
        <w:rPr>
          <w:spacing w:val="14"/>
        </w:rPr>
        <w:t> </w:t>
      </w:r>
      <w:r>
        <w:rPr/>
        <w:t>periodunder</w:t>
      </w:r>
      <w:r>
        <w:rPr>
          <w:spacing w:val="18"/>
        </w:rPr>
        <w:t> </w:t>
      </w:r>
      <w:r>
        <w:rPr/>
        <w:t>review.</w:t>
      </w:r>
      <w:r>
        <w:rPr>
          <w:spacing w:val="19"/>
        </w:rPr>
        <w:t> </w:t>
      </w:r>
      <w:r>
        <w:rPr/>
        <w:t>This</w:t>
      </w:r>
      <w:r>
        <w:rPr>
          <w:spacing w:val="16"/>
        </w:rPr>
        <w:t> </w:t>
      </w:r>
      <w:r>
        <w:rPr/>
        <w:t>is</w:t>
      </w:r>
      <w:r>
        <w:rPr>
          <w:spacing w:val="16"/>
        </w:rPr>
        <w:t> </w:t>
      </w:r>
      <w:r>
        <w:rPr/>
        <w:t>supportedby</w:t>
      </w:r>
      <w:r>
        <w:rPr>
          <w:spacing w:val="16"/>
        </w:rPr>
        <w:t> </w:t>
      </w:r>
      <w:r>
        <w:rPr>
          <w:spacing w:val="-5"/>
        </w:rPr>
        <w:t>t-</w:t>
      </w:r>
    </w:p>
    <w:p>
      <w:pPr>
        <w:pStyle w:val="BodyText"/>
        <w:spacing w:before="1"/>
        <w:ind w:left="0"/>
      </w:pPr>
    </w:p>
    <w:p>
      <w:pPr>
        <w:pStyle w:val="BodyText"/>
        <w:tabs>
          <w:tab w:pos="1296" w:val="left" w:leader="none"/>
          <w:tab w:pos="2049" w:val="left" w:leader="none"/>
          <w:tab w:pos="2471" w:val="left" w:leader="none"/>
          <w:tab w:pos="4063" w:val="left" w:leader="none"/>
          <w:tab w:pos="5374" w:val="left" w:leader="none"/>
          <w:tab w:pos="6128" w:val="left" w:leader="none"/>
          <w:tab w:pos="6552" w:val="left" w:leader="none"/>
          <w:tab w:pos="7452" w:val="left" w:leader="none"/>
          <w:tab w:pos="8275" w:val="left" w:leader="none"/>
        </w:tabs>
      </w:pPr>
      <w:r>
        <w:rPr>
          <w:spacing w:val="-2"/>
        </w:rPr>
        <w:t>statistics</w:t>
      </w:r>
      <w:r>
        <w:rPr/>
        <w:tab/>
      </w:r>
      <w:r>
        <w:rPr>
          <w:spacing w:val="-2"/>
        </w:rPr>
        <w:t>value</w:t>
      </w:r>
      <w:r>
        <w:rPr/>
        <w:tab/>
      </w:r>
      <w:r>
        <w:rPr>
          <w:spacing w:val="-5"/>
        </w:rPr>
        <w:t>of</w:t>
      </w:r>
      <w:r>
        <w:rPr/>
        <w:tab/>
      </w:r>
      <w:r>
        <w:rPr>
          <w:spacing w:val="-4"/>
        </w:rPr>
        <w:t>-</w:t>
      </w:r>
      <w:r>
        <w:rPr>
          <w:spacing w:val="-2"/>
        </w:rPr>
        <w:t>1.348524and</w:t>
      </w:r>
      <w:r>
        <w:rPr/>
        <w:tab/>
      </w:r>
      <w:r>
        <w:rPr>
          <w:spacing w:val="-2"/>
        </w:rPr>
        <w:t>probability</w:t>
      </w:r>
      <w:r>
        <w:rPr/>
        <w:tab/>
      </w:r>
      <w:r>
        <w:rPr>
          <w:spacing w:val="-4"/>
        </w:rPr>
        <w:t>value</w:t>
      </w:r>
      <w:r>
        <w:rPr/>
        <w:tab/>
      </w:r>
      <w:r>
        <w:rPr>
          <w:spacing w:val="-5"/>
        </w:rPr>
        <w:t>of</w:t>
      </w:r>
      <w:r>
        <w:rPr/>
        <w:tab/>
      </w:r>
      <w:r>
        <w:rPr>
          <w:spacing w:val="-2"/>
        </w:rPr>
        <w:t>0.1891</w:t>
      </w:r>
      <w:r>
        <w:rPr/>
        <w:tab/>
      </w:r>
      <w:r>
        <w:rPr>
          <w:spacing w:val="-2"/>
        </w:rPr>
        <w:t>which</w:t>
      </w:r>
      <w:r>
        <w:rPr/>
        <w:tab/>
      </w:r>
      <w:r>
        <w:rPr>
          <w:spacing w:val="-2"/>
        </w:rPr>
        <w:t>isstatistically</w:t>
      </w:r>
    </w:p>
    <w:p>
      <w:pPr>
        <w:pStyle w:val="BodyText"/>
        <w:spacing w:before="286"/>
      </w:pPr>
      <w:r>
        <w:rPr>
          <w:spacing w:val="-2"/>
        </w:rPr>
        <w:t>insignificant.</w:t>
      </w:r>
    </w:p>
    <w:p>
      <w:pPr>
        <w:pStyle w:val="BodyText"/>
        <w:spacing w:before="162"/>
        <w:ind w:left="0"/>
      </w:pPr>
    </w:p>
    <w:p>
      <w:pPr>
        <w:pStyle w:val="BodyText"/>
      </w:pPr>
      <w:r>
        <w:rPr/>
        <w:t>This</w:t>
      </w:r>
      <w:r>
        <w:rPr>
          <w:spacing w:val="51"/>
          <w:w w:val="150"/>
        </w:rPr>
        <w:t> </w:t>
      </w:r>
      <w:r>
        <w:rPr/>
        <w:t>agrees</w:t>
      </w:r>
      <w:r>
        <w:rPr>
          <w:spacing w:val="54"/>
          <w:w w:val="150"/>
        </w:rPr>
        <w:t> </w:t>
      </w:r>
      <w:r>
        <w:rPr/>
        <w:t>with</w:t>
      </w:r>
      <w:r>
        <w:rPr>
          <w:spacing w:val="53"/>
          <w:w w:val="150"/>
        </w:rPr>
        <w:t> </w:t>
      </w:r>
      <w:r>
        <w:rPr/>
        <w:t>the</w:t>
      </w:r>
      <w:r>
        <w:rPr>
          <w:spacing w:val="55"/>
          <w:w w:val="150"/>
        </w:rPr>
        <w:t> </w:t>
      </w:r>
      <w:r>
        <w:rPr/>
        <w:t>findings</w:t>
      </w:r>
      <w:r>
        <w:rPr>
          <w:spacing w:val="54"/>
          <w:w w:val="150"/>
        </w:rPr>
        <w:t> </w:t>
      </w:r>
      <w:r>
        <w:rPr/>
        <w:t>ofNkoro</w:t>
      </w:r>
      <w:r>
        <w:rPr>
          <w:spacing w:val="54"/>
          <w:w w:val="150"/>
        </w:rPr>
        <w:t> </w:t>
      </w:r>
      <w:r>
        <w:rPr/>
        <w:t>and</w:t>
      </w:r>
      <w:r>
        <w:rPr>
          <w:spacing w:val="53"/>
          <w:w w:val="150"/>
        </w:rPr>
        <w:t> </w:t>
      </w:r>
      <w:r>
        <w:rPr/>
        <w:t>Uko</w:t>
      </w:r>
      <w:r>
        <w:rPr>
          <w:spacing w:val="53"/>
          <w:w w:val="150"/>
        </w:rPr>
        <w:t> </w:t>
      </w:r>
      <w:r>
        <w:rPr/>
        <w:t>(2013)</w:t>
      </w:r>
      <w:r>
        <w:rPr>
          <w:spacing w:val="54"/>
          <w:w w:val="150"/>
        </w:rPr>
        <w:t> </w:t>
      </w:r>
      <w:r>
        <w:rPr/>
        <w:t>found</w:t>
      </w:r>
      <w:r>
        <w:rPr>
          <w:spacing w:val="53"/>
          <w:w w:val="150"/>
        </w:rPr>
        <w:t> </w:t>
      </w:r>
      <w:r>
        <w:rPr/>
        <w:t>thatremittances</w:t>
      </w:r>
      <w:r>
        <w:rPr>
          <w:spacing w:val="54"/>
          <w:w w:val="150"/>
        </w:rPr>
        <w:t> </w:t>
      </w:r>
      <w:r>
        <w:rPr/>
        <w:t>has</w:t>
      </w:r>
      <w:r>
        <w:rPr>
          <w:spacing w:val="54"/>
          <w:w w:val="150"/>
        </w:rPr>
        <w:t> </w:t>
      </w:r>
      <w:r>
        <w:rPr>
          <w:spacing w:val="-10"/>
        </w:rPr>
        <w:t>a</w:t>
      </w:r>
    </w:p>
    <w:p>
      <w:pPr>
        <w:pStyle w:val="BodyText"/>
        <w:spacing w:before="286"/>
      </w:pPr>
      <w:r>
        <w:rPr/>
        <w:t>significant</w:t>
      </w:r>
      <w:r>
        <w:rPr>
          <w:spacing w:val="16"/>
        </w:rPr>
        <w:t> </w:t>
      </w:r>
      <w:r>
        <w:rPr/>
        <w:t>negative</w:t>
      </w:r>
      <w:r>
        <w:rPr>
          <w:spacing w:val="16"/>
        </w:rPr>
        <w:t> </w:t>
      </w:r>
      <w:r>
        <w:rPr/>
        <w:t>on</w:t>
      </w:r>
      <w:r>
        <w:rPr>
          <w:spacing w:val="22"/>
        </w:rPr>
        <w:t> </w:t>
      </w:r>
      <w:r>
        <w:rPr/>
        <w:t>real</w:t>
      </w:r>
      <w:r>
        <w:rPr>
          <w:spacing w:val="16"/>
        </w:rPr>
        <w:t> </w:t>
      </w:r>
      <w:r>
        <w:rPr/>
        <w:t>grossdomestic</w:t>
      </w:r>
      <w:r>
        <w:rPr>
          <w:spacing w:val="17"/>
        </w:rPr>
        <w:t> </w:t>
      </w:r>
      <w:r>
        <w:rPr/>
        <w:t>product.</w:t>
      </w:r>
      <w:r>
        <w:rPr>
          <w:spacing w:val="16"/>
        </w:rPr>
        <w:t> </w:t>
      </w:r>
      <w:r>
        <w:rPr/>
        <w:t>This</w:t>
      </w:r>
      <w:r>
        <w:rPr>
          <w:spacing w:val="17"/>
        </w:rPr>
        <w:t> </w:t>
      </w:r>
      <w:r>
        <w:rPr/>
        <w:t>disagrees</w:t>
      </w:r>
      <w:r>
        <w:rPr>
          <w:spacing w:val="18"/>
        </w:rPr>
        <w:t> </w:t>
      </w:r>
      <w:r>
        <w:rPr/>
        <w:t>with</w:t>
      </w:r>
      <w:r>
        <w:rPr>
          <w:spacing w:val="16"/>
        </w:rPr>
        <w:t> </w:t>
      </w:r>
      <w:r>
        <w:rPr/>
        <w:t>thefindings</w:t>
      </w:r>
      <w:r>
        <w:rPr>
          <w:spacing w:val="19"/>
        </w:rPr>
        <w:t> </w:t>
      </w:r>
      <w:r>
        <w:rPr/>
        <w:t>of</w:t>
      </w:r>
      <w:r>
        <w:rPr>
          <w:spacing w:val="17"/>
        </w:rPr>
        <w:t> </w:t>
      </w:r>
      <w:r>
        <w:rPr>
          <w:spacing w:val="-2"/>
        </w:rPr>
        <w:t>Orji,</w:t>
      </w:r>
    </w:p>
    <w:p>
      <w:pPr>
        <w:pStyle w:val="BodyText"/>
        <w:spacing w:before="287"/>
      </w:pPr>
      <w:r>
        <w:rPr>
          <w:color w:val="111111"/>
        </w:rPr>
        <w:t>Uche</w:t>
      </w:r>
      <w:r>
        <w:rPr>
          <w:color w:val="111111"/>
          <w:spacing w:val="-10"/>
        </w:rPr>
        <w:t> </w:t>
      </w:r>
      <w:r>
        <w:rPr>
          <w:color w:val="111111"/>
        </w:rPr>
        <w:t>and</w:t>
      </w:r>
      <w:r>
        <w:rPr>
          <w:color w:val="111111"/>
          <w:spacing w:val="-8"/>
        </w:rPr>
        <w:t> </w:t>
      </w:r>
      <w:r>
        <w:rPr>
          <w:color w:val="111111"/>
        </w:rPr>
        <w:t>Ilori</w:t>
      </w:r>
      <w:r>
        <w:rPr>
          <w:color w:val="111111"/>
          <w:spacing w:val="-8"/>
        </w:rPr>
        <w:t> </w:t>
      </w:r>
      <w:r>
        <w:rPr>
          <w:color w:val="111111"/>
        </w:rPr>
        <w:t>(2014)</w:t>
      </w:r>
      <w:r>
        <w:rPr>
          <w:color w:val="111111"/>
          <w:spacing w:val="-7"/>
        </w:rPr>
        <w:t> </w:t>
      </w:r>
      <w:r>
        <w:rPr>
          <w:color w:val="111111"/>
        </w:rPr>
        <w:t>that</w:t>
      </w:r>
      <w:r>
        <w:rPr>
          <w:color w:val="111111"/>
          <w:spacing w:val="-8"/>
        </w:rPr>
        <w:t> </w:t>
      </w:r>
      <w:r>
        <w:rPr>
          <w:color w:val="111111"/>
        </w:rPr>
        <w:t>remittances</w:t>
      </w:r>
      <w:r>
        <w:rPr>
          <w:color w:val="111111"/>
          <w:spacing w:val="-7"/>
        </w:rPr>
        <w:t> </w:t>
      </w:r>
      <w:r>
        <w:rPr>
          <w:color w:val="111111"/>
        </w:rPr>
        <w:t>significantlycontributes</w:t>
      </w:r>
      <w:r>
        <w:rPr>
          <w:color w:val="111111"/>
          <w:spacing w:val="-7"/>
        </w:rPr>
        <w:t> </w:t>
      </w:r>
      <w:r>
        <w:rPr>
          <w:color w:val="111111"/>
        </w:rPr>
        <w:t>to</w:t>
      </w:r>
      <w:r>
        <w:rPr>
          <w:color w:val="111111"/>
          <w:spacing w:val="-9"/>
        </w:rPr>
        <w:t> </w:t>
      </w:r>
      <w:r>
        <w:rPr>
          <w:color w:val="111111"/>
        </w:rPr>
        <w:t>economic</w:t>
      </w:r>
      <w:r>
        <w:rPr>
          <w:color w:val="111111"/>
          <w:spacing w:val="-8"/>
        </w:rPr>
        <w:t> </w:t>
      </w:r>
      <w:r>
        <w:rPr>
          <w:color w:val="111111"/>
          <w:spacing w:val="-2"/>
        </w:rPr>
        <w:t>growth</w:t>
      </w:r>
    </w:p>
    <w:p>
      <w:pPr>
        <w:pStyle w:val="BodyText"/>
        <w:spacing w:before="162"/>
        <w:ind w:left="0"/>
      </w:pPr>
    </w:p>
    <w:p>
      <w:pPr>
        <w:pStyle w:val="Heading2"/>
        <w:numPr>
          <w:ilvl w:val="1"/>
          <w:numId w:val="26"/>
        </w:numPr>
        <w:tabs>
          <w:tab w:pos="593" w:val="left" w:leader="none"/>
        </w:tabs>
        <w:spacing w:line="240" w:lineRule="auto" w:before="0" w:after="0"/>
        <w:ind w:left="593" w:right="0" w:hanging="373"/>
        <w:jc w:val="left"/>
      </w:pPr>
      <w:r>
        <w:rPr/>
        <w:t>Official</w:t>
      </w:r>
      <w:r>
        <w:rPr>
          <w:spacing w:val="-9"/>
        </w:rPr>
        <w:t> </w:t>
      </w:r>
      <w:r>
        <w:rPr/>
        <w:t>Development</w:t>
      </w:r>
      <w:r>
        <w:rPr>
          <w:spacing w:val="-9"/>
        </w:rPr>
        <w:t> </w:t>
      </w:r>
      <w:r>
        <w:rPr/>
        <w:t>Assistance</w:t>
      </w:r>
      <w:r>
        <w:rPr>
          <w:spacing w:val="-9"/>
        </w:rPr>
        <w:t> </w:t>
      </w:r>
      <w:r>
        <w:rPr/>
        <w:t>and</w:t>
      </w:r>
      <w:r>
        <w:rPr>
          <w:spacing w:val="-9"/>
        </w:rPr>
        <w:t> </w:t>
      </w:r>
      <w:r>
        <w:rPr/>
        <w:t>Economic</w:t>
      </w:r>
      <w:r>
        <w:rPr>
          <w:spacing w:val="-9"/>
        </w:rPr>
        <w:t> </w:t>
      </w:r>
      <w:r>
        <w:rPr/>
        <w:t>Growth</w:t>
      </w:r>
      <w:r>
        <w:rPr>
          <w:spacing w:val="-9"/>
        </w:rPr>
        <w:t> </w:t>
      </w:r>
      <w:r>
        <w:rPr/>
        <w:t>in</w:t>
      </w:r>
      <w:r>
        <w:rPr>
          <w:spacing w:val="-9"/>
        </w:rPr>
        <w:t> </w:t>
      </w:r>
      <w:r>
        <w:rPr>
          <w:spacing w:val="-2"/>
        </w:rPr>
        <w:t>Nigeria</w:t>
      </w:r>
    </w:p>
    <w:p>
      <w:pPr>
        <w:pStyle w:val="BodyText"/>
        <w:spacing w:before="159"/>
        <w:ind w:left="0"/>
        <w:rPr>
          <w:b/>
        </w:rPr>
      </w:pPr>
    </w:p>
    <w:p>
      <w:pPr>
        <w:pStyle w:val="BodyText"/>
        <w:spacing w:line="480" w:lineRule="auto"/>
        <w:ind w:right="505"/>
      </w:pPr>
      <w:r>
        <w:rPr/>
        <w:t>The</w:t>
      </w:r>
      <w:r>
        <w:rPr>
          <w:spacing w:val="39"/>
        </w:rPr>
        <w:t> </w:t>
      </w:r>
      <w:r>
        <w:rPr/>
        <w:t>result</w:t>
      </w:r>
      <w:r>
        <w:rPr>
          <w:spacing w:val="40"/>
        </w:rPr>
        <w:t> </w:t>
      </w:r>
      <w:r>
        <w:rPr/>
        <w:t>indicates</w:t>
      </w:r>
      <w:r>
        <w:rPr>
          <w:spacing w:val="40"/>
        </w:rPr>
        <w:t> </w:t>
      </w:r>
      <w:r>
        <w:rPr/>
        <w:t>that</w:t>
      </w:r>
      <w:r>
        <w:rPr>
          <w:spacing w:val="40"/>
        </w:rPr>
        <w:t> </w:t>
      </w:r>
      <w:r>
        <w:rPr/>
        <w:t>official</w:t>
      </w:r>
      <w:r>
        <w:rPr>
          <w:spacing w:val="40"/>
        </w:rPr>
        <w:t> </w:t>
      </w:r>
      <w:r>
        <w:rPr/>
        <w:t>developmentassistance</w:t>
      </w:r>
      <w:r>
        <w:rPr>
          <w:spacing w:val="39"/>
        </w:rPr>
        <w:t> </w:t>
      </w:r>
      <w:r>
        <w:rPr/>
        <w:t>has</w:t>
      </w:r>
      <w:r>
        <w:rPr>
          <w:spacing w:val="40"/>
        </w:rPr>
        <w:t> </w:t>
      </w:r>
      <w:r>
        <w:rPr/>
        <w:t>significant</w:t>
      </w:r>
      <w:r>
        <w:rPr>
          <w:spacing w:val="39"/>
        </w:rPr>
        <w:t> </w:t>
      </w:r>
      <w:r>
        <w:rPr/>
        <w:t>effect</w:t>
      </w:r>
      <w:r>
        <w:rPr>
          <w:spacing w:val="40"/>
        </w:rPr>
        <w:t> </w:t>
      </w:r>
      <w:r>
        <w:rPr/>
        <w:t>oneconomic growth</w:t>
      </w:r>
      <w:r>
        <w:rPr>
          <w:spacing w:val="7"/>
        </w:rPr>
        <w:t> </w:t>
      </w:r>
      <w:r>
        <w:rPr/>
        <w:t>in</w:t>
      </w:r>
      <w:r>
        <w:rPr>
          <w:spacing w:val="7"/>
        </w:rPr>
        <w:t> </w:t>
      </w:r>
      <w:r>
        <w:rPr/>
        <w:t>Nigeria.</w:t>
      </w:r>
      <w:r>
        <w:rPr>
          <w:spacing w:val="8"/>
        </w:rPr>
        <w:t> </w:t>
      </w:r>
      <w:r>
        <w:rPr/>
        <w:t>This</w:t>
      </w:r>
      <w:r>
        <w:rPr>
          <w:spacing w:val="6"/>
        </w:rPr>
        <w:t> </w:t>
      </w:r>
      <w:r>
        <w:rPr/>
        <w:t>implies</w:t>
      </w:r>
      <w:r>
        <w:rPr>
          <w:spacing w:val="7"/>
        </w:rPr>
        <w:t> </w:t>
      </w:r>
      <w:r>
        <w:rPr/>
        <w:t>that</w:t>
      </w:r>
      <w:r>
        <w:rPr>
          <w:spacing w:val="8"/>
        </w:rPr>
        <w:t> </w:t>
      </w:r>
      <w:r>
        <w:rPr/>
        <w:t>official</w:t>
      </w:r>
      <w:r>
        <w:rPr>
          <w:spacing w:val="6"/>
        </w:rPr>
        <w:t> </w:t>
      </w:r>
      <w:r>
        <w:rPr/>
        <w:t>development</w:t>
      </w:r>
      <w:r>
        <w:rPr>
          <w:spacing w:val="8"/>
        </w:rPr>
        <w:t> </w:t>
      </w:r>
      <w:r>
        <w:rPr/>
        <w:t>assistance</w:t>
      </w:r>
      <w:r>
        <w:rPr>
          <w:spacing w:val="6"/>
        </w:rPr>
        <w:t> </w:t>
      </w:r>
      <w:r>
        <w:rPr/>
        <w:t>has</w:t>
      </w:r>
      <w:r>
        <w:rPr>
          <w:spacing w:val="7"/>
        </w:rPr>
        <w:t> </w:t>
      </w:r>
      <w:r>
        <w:rPr>
          <w:spacing w:val="-2"/>
        </w:rPr>
        <w:t>significantinfluence</w:t>
      </w:r>
    </w:p>
    <w:p>
      <w:pPr>
        <w:spacing w:after="0" w:line="480" w:lineRule="auto"/>
        <w:sectPr>
          <w:pgSz w:w="12240" w:h="15840"/>
          <w:pgMar w:header="0" w:footer="1012" w:top="1380" w:bottom="1200" w:left="1220" w:right="700"/>
        </w:sectPr>
      </w:pPr>
    </w:p>
    <w:p>
      <w:pPr>
        <w:pStyle w:val="BodyText"/>
        <w:spacing w:line="480" w:lineRule="auto" w:before="60"/>
        <w:ind w:right="804"/>
      </w:pPr>
      <w:r>
        <w:rPr/>
        <w:t>on</w:t>
      </w:r>
      <w:r>
        <w:rPr>
          <w:spacing w:val="40"/>
        </w:rPr>
        <w:t> </w:t>
      </w:r>
      <w:r>
        <w:rPr/>
        <w:t>economic</w:t>
      </w:r>
      <w:r>
        <w:rPr>
          <w:spacing w:val="40"/>
        </w:rPr>
        <w:t> </w:t>
      </w:r>
      <w:r>
        <w:rPr/>
        <w:t>growth</w:t>
      </w:r>
      <w:r>
        <w:rPr>
          <w:spacing w:val="40"/>
        </w:rPr>
        <w:t> </w:t>
      </w:r>
      <w:r>
        <w:rPr/>
        <w:t>in</w:t>
      </w:r>
      <w:r>
        <w:rPr>
          <w:spacing w:val="40"/>
        </w:rPr>
        <w:t> </w:t>
      </w:r>
      <w:r>
        <w:rPr/>
        <w:t>Nigeria</w:t>
      </w:r>
      <w:r>
        <w:rPr>
          <w:spacing w:val="40"/>
        </w:rPr>
        <w:t> </w:t>
      </w:r>
      <w:r>
        <w:rPr/>
        <w:t>within</w:t>
      </w:r>
      <w:r>
        <w:rPr>
          <w:spacing w:val="40"/>
        </w:rPr>
        <w:t> </w:t>
      </w:r>
      <w:r>
        <w:rPr/>
        <w:t>theperiod</w:t>
      </w:r>
      <w:r>
        <w:rPr>
          <w:spacing w:val="40"/>
        </w:rPr>
        <w:t> </w:t>
      </w:r>
      <w:r>
        <w:rPr/>
        <w:t>under</w:t>
      </w:r>
      <w:r>
        <w:rPr>
          <w:spacing w:val="40"/>
        </w:rPr>
        <w:t> </w:t>
      </w:r>
      <w:r>
        <w:rPr/>
        <w:t>review.</w:t>
      </w:r>
      <w:r>
        <w:rPr>
          <w:spacing w:val="40"/>
        </w:rPr>
        <w:t> </w:t>
      </w:r>
      <w:r>
        <w:rPr/>
        <w:t>This</w:t>
      </w:r>
      <w:r>
        <w:rPr>
          <w:spacing w:val="40"/>
        </w:rPr>
        <w:t> </w:t>
      </w:r>
      <w:r>
        <w:rPr/>
        <w:t>is</w:t>
      </w:r>
      <w:r>
        <w:rPr>
          <w:spacing w:val="40"/>
        </w:rPr>
        <w:t> </w:t>
      </w:r>
      <w:r>
        <w:rPr/>
        <w:t>supported</w:t>
      </w:r>
      <w:r>
        <w:rPr>
          <w:spacing w:val="40"/>
        </w:rPr>
        <w:t> </w:t>
      </w:r>
      <w:r>
        <w:rPr/>
        <w:t>by</w:t>
      </w:r>
      <w:r>
        <w:rPr>
          <w:spacing w:val="40"/>
        </w:rPr>
        <w:t> </w:t>
      </w:r>
      <w:r>
        <w:rPr/>
        <w:t>t-</w:t>
      </w:r>
      <w:r>
        <w:rPr>
          <w:spacing w:val="40"/>
        </w:rPr>
        <w:t> </w:t>
      </w:r>
      <w:r>
        <w:rPr/>
        <w:t>statistics value of 5.087938 and probabilityvalue of 0.0000 which is statisticallysignificant.</w:t>
      </w:r>
    </w:p>
    <w:p>
      <w:pPr>
        <w:pStyle w:val="BodyText"/>
        <w:spacing w:before="160"/>
      </w:pPr>
      <w:r>
        <w:rPr/>
        <w:t>This</w:t>
      </w:r>
      <w:r>
        <w:rPr>
          <w:spacing w:val="-3"/>
        </w:rPr>
        <w:t> </w:t>
      </w:r>
      <w:r>
        <w:rPr/>
        <w:t>agrees</w:t>
      </w:r>
      <w:r>
        <w:rPr>
          <w:spacing w:val="-3"/>
        </w:rPr>
        <w:t> </w:t>
      </w:r>
      <w:r>
        <w:rPr/>
        <w:t>with</w:t>
      </w:r>
      <w:r>
        <w:rPr>
          <w:spacing w:val="-4"/>
        </w:rPr>
        <w:t> </w:t>
      </w:r>
      <w:r>
        <w:rPr/>
        <w:t>the</w:t>
      </w:r>
      <w:r>
        <w:rPr>
          <w:spacing w:val="-4"/>
        </w:rPr>
        <w:t> </w:t>
      </w:r>
      <w:r>
        <w:rPr/>
        <w:t>findings</w:t>
      </w:r>
      <w:r>
        <w:rPr>
          <w:spacing w:val="-3"/>
        </w:rPr>
        <w:t> </w:t>
      </w:r>
      <w:r>
        <w:rPr/>
        <w:t>of Arash</w:t>
      </w:r>
      <w:r>
        <w:rPr>
          <w:spacing w:val="-3"/>
        </w:rPr>
        <w:t> </w:t>
      </w:r>
      <w:r>
        <w:rPr/>
        <w:t>and</w:t>
      </w:r>
      <w:r>
        <w:rPr>
          <w:spacing w:val="-4"/>
        </w:rPr>
        <w:t> </w:t>
      </w:r>
      <w:r>
        <w:rPr/>
        <w:t>Aidin</w:t>
      </w:r>
      <w:r>
        <w:rPr>
          <w:spacing w:val="-4"/>
        </w:rPr>
        <w:t> </w:t>
      </w:r>
      <w:r>
        <w:rPr/>
        <w:t>(2016)</w:t>
      </w:r>
      <w:r>
        <w:rPr>
          <w:spacing w:val="-3"/>
        </w:rPr>
        <w:t> </w:t>
      </w:r>
      <w:r>
        <w:rPr/>
        <w:t>that</w:t>
      </w:r>
      <w:r>
        <w:rPr>
          <w:spacing w:val="-4"/>
        </w:rPr>
        <w:t> </w:t>
      </w:r>
      <w:r>
        <w:rPr/>
        <w:t>financialintegration</w:t>
      </w:r>
      <w:r>
        <w:rPr>
          <w:spacing w:val="-3"/>
        </w:rPr>
        <w:t> </w:t>
      </w:r>
      <w:r>
        <w:rPr/>
        <w:t>has</w:t>
      </w:r>
      <w:r>
        <w:rPr>
          <w:spacing w:val="-4"/>
        </w:rPr>
        <w:t> </w:t>
      </w:r>
      <w:r>
        <w:rPr>
          <w:spacing w:val="-2"/>
        </w:rPr>
        <w:t>positive</w:t>
      </w:r>
    </w:p>
    <w:p>
      <w:pPr>
        <w:pStyle w:val="BodyText"/>
        <w:spacing w:before="286"/>
      </w:pPr>
      <w:r>
        <w:rPr/>
        <mc:AlternateContent>
          <mc:Choice Requires="wps">
            <w:drawing>
              <wp:anchor distT="0" distB="0" distL="0" distR="0" allowOverlap="1" layoutInCell="1" locked="0" behindDoc="1" simplePos="0" relativeHeight="478106624">
                <wp:simplePos x="0" y="0"/>
                <wp:positionH relativeFrom="page">
                  <wp:posOffset>950112</wp:posOffset>
                </wp:positionH>
                <wp:positionV relativeFrom="paragraph">
                  <wp:posOffset>268618</wp:posOffset>
                </wp:positionV>
                <wp:extent cx="5505450" cy="5661025"/>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21.151073pt;width:433.5pt;height:445.75pt;mso-position-horizontal-relative:page;mso-position-vertical-relative:paragraph;z-index:-25209856" id="docshape208" coordorigin="1496,423" coordsize="8670,8915" path="m2562,9143l1691,8272,1496,8467,2367,9338,2562,9143xm3154,8467l3153,8427,3148,8384,3139,8341,3125,8297,3106,8253,3083,8210,3055,8168,3025,8126,2991,8086,2954,8047,2435,7528,2241,7722,2772,8254,2805,8290,2829,8325,2846,8360,2856,8394,2858,8427,2851,8457,2837,8486,2816,8512,2790,8534,2761,8548,2730,8554,2697,8551,2663,8542,2628,8525,2593,8501,2557,8469,2026,7937,1831,8131,2351,8651,2385,8683,2424,8715,2468,8748,2516,8780,2548,8799,2583,8815,2620,8828,2658,8839,2697,8847,2733,8850,2767,8851,2800,8847,2831,8840,2863,8829,2895,8812,2926,8792,2957,8769,2985,8746,3011,8723,3035,8700,3071,8660,3102,8619,3125,8577,3142,8535,3150,8503,3154,8467xm3882,7683l3876,7619,3860,7554,3834,7487,3806,7433,3771,7377,3728,7319,3678,7260,3661,7241,3621,7200,3597,7177,3597,7671,3592,7712,3577,7748,3551,7781,3518,7807,3481,7822,3441,7826,3396,7820,3347,7802,3294,7770,3235,7725,3171,7666,3112,7602,3066,7543,3035,7489,3016,7440,3010,7395,3014,7355,3029,7319,3053,7287,3086,7262,3122,7246,3163,7241,3207,7246,3255,7264,3307,7294,3363,7336,3423,7391,3488,7461,3538,7523,3572,7579,3591,7628,3597,7671,3597,7177,3551,7135,3482,7080,3413,7034,3344,6999,3276,6973,3209,6957,3130,6952,3055,6962,2983,6987,2914,7028,2850,7083,2796,7147,2756,7214,2732,7286,2723,7362,2729,7441,2746,7510,2772,7579,2808,7648,2854,7718,2910,7789,2976,7860,3036,7917,3096,7966,3156,8008,3215,8043,3273,8070,3344,8095,3411,8108,3475,8112,3535,8106,3593,8089,3649,8062,3705,8024,3758,7976,3805,7923,3841,7866,3858,7826,3866,7808,3879,7746,3882,7683xm4153,7104l3966,6917,3712,7171,3899,7358,4153,7104xm4664,7041l3793,6170,3598,6365,4469,7236,4664,7041xm4998,6707l4675,6384,4781,6277,4832,6217,4837,6207,4866,6156,4883,6092,4882,6028,4866,5962,4843,5911,4836,5896,4792,5830,4733,5764,4670,5707,4607,5664,4598,5660,4598,6053,4597,6079,4587,6105,4570,6132,4546,6160,4498,6207,4304,6013,4359,5957,4386,5934,4412,5919,4438,5911,4462,5912,4486,5918,4509,5929,4531,5943,4552,5961,4570,5983,4584,6005,4593,6029,4598,6053,4598,5660,4544,5635,4483,5619,4423,5618,4365,5632,4309,5663,4255,5708,3931,6031,4803,6902,4998,6707xm5788,5917l5132,5261,5330,5063,5115,4848,4524,5439,4739,5654,4937,5456,5593,6112,5788,5917xm6423,5282l5767,4626,5966,4427,5751,4212,5159,4804,5374,5019,5573,4820,6229,5476,6423,5282xm7157,4409l7151,4344,7135,4279,7109,4212,7081,4158,7046,4102,7003,4044,6953,3985,6935,3966,6896,3925,6872,3903,6872,4396,6867,4437,6851,4473,6825,4507,6793,4532,6756,4547,6716,4551,6671,4545,6622,4527,6569,4495,6510,4450,6446,4391,6387,4327,6341,4268,6309,4214,6291,4165,6285,4120,6289,4080,6304,4044,6328,4013,6361,3987,6397,3972,6438,3966,6482,3972,6530,3989,6582,4019,6638,4061,6698,4116,6763,4186,6813,4248,6847,4304,6866,4353,6872,4396,6872,3903,6826,3860,6756,3805,6687,3760,6619,3724,6551,3699,6483,3683,6405,3677,6329,3687,6258,3712,6189,3753,6125,3808,6071,3872,6031,3940,6007,4011,5998,4087,6004,4167,6021,4235,6047,4304,6083,4373,6129,4443,6184,4514,6250,4585,6311,4642,6371,4691,6431,4734,6490,4768,6548,4796,6619,4820,6686,4834,6750,4837,6810,4831,6868,4815,6924,4787,6979,4750,7033,4702,7080,4648,7116,4592,7133,4551,7141,4533,7154,4472,7157,4409xm8170,3413l8165,3364,8153,3314,8134,3261,8109,3207,8079,3151,8041,3094,7980,3118,7799,3193,7831,3239,7855,3282,7873,3323,7884,3360,7887,3395,7881,3428,7866,3459,7843,3488,7812,3512,7778,3526,7740,3530,7700,3524,7653,3505,7600,3471,7538,3422,7469,3357,7417,3301,7375,3249,7344,3202,7324,3159,7311,3107,7312,3061,7325,3020,7352,2984,7367,2971,7384,2960,7402,2952,7422,2948,7442,2946,7464,2946,7486,2949,7509,2955,7524,2961,7542,2969,7563,2980,7586,2995,7705,2770,7622,2724,7543,2692,7469,2673,7400,2666,7333,2674,7269,2697,7206,2735,7146,2787,7092,2850,7054,2916,7030,2986,7021,3060,7027,3138,7044,3205,7070,3273,7106,3342,7153,3412,7209,3482,7276,3554,7341,3615,7404,3667,7467,3710,7529,3746,7590,3773,7662,3797,7730,3810,7791,3813,7847,3806,7900,3789,7952,3762,8004,3725,8056,3679,8094,3636,8125,3593,8147,3550,8161,3505,8169,3460,8170,3413xm8868,2698l8861,2634,8846,2568,8820,2501,8792,2447,8757,2391,8714,2333,8664,2274,8646,2256,8607,2214,8583,2192,8583,2686,8578,2726,8562,2763,8536,2796,8504,2821,8467,2836,8427,2841,8382,2834,8333,2816,8279,2785,8221,2739,8157,2680,8098,2616,8052,2557,8020,2503,8002,2454,7996,2410,8000,2369,8014,2333,8039,2302,8071,2276,8108,2261,8149,2256,8193,2261,8241,2278,8293,2308,8349,2350,8409,2405,8474,2475,8524,2538,8558,2593,8577,2642,8583,2686,8583,2192,8537,2149,8467,2094,8398,2049,8330,2013,8262,1988,8194,1972,8116,1966,8040,1976,7968,2002,7900,2042,7835,2098,7781,2161,7742,2229,7718,2300,7709,2376,7715,2456,7731,2524,7758,2593,7794,2663,7839,2733,7895,2803,7961,2874,8022,2931,8082,2981,8142,3023,8201,3057,8259,3085,8329,3109,8397,3123,8461,3126,8521,3120,8579,3104,8635,3077,8690,3039,8744,2991,8791,2937,8827,2881,8844,2841,8852,2822,8865,2761,8868,2698xm9348,2357l9025,2033,9132,1927,9182,1867,9188,1857,9216,1805,9233,1742,9233,1677,9217,1612,9194,1561,9187,1546,9142,1480,9084,1414,9020,1357,8957,1314,8948,1310,8948,1703,8947,1728,8938,1755,8921,1782,8896,1809,8849,1857,8654,1663,8710,1607,8737,1584,8763,1568,8788,1561,8812,1561,8836,1568,8859,1578,8881,1593,8902,1611,8920,1633,8934,1655,8943,1679,8948,1703,8948,1310,8895,1284,8833,1268,8773,1267,8715,1282,8659,1312,8605,1357,8282,1681,9153,2552,9348,2357xm10166,1539l9801,1174,9748,1024,9593,573,9540,423,9325,638,9353,708,9436,919,9492,1060,9422,1031,9211,948,9071,892,8854,1108,9005,1161,9456,1317,9606,1369,9971,1734,10166,1539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07136">
                <wp:simplePos x="0" y="0"/>
                <wp:positionH relativeFrom="page">
                  <wp:posOffset>896416</wp:posOffset>
                </wp:positionH>
                <wp:positionV relativeFrom="paragraph">
                  <wp:posOffset>182258</wp:posOffset>
                </wp:positionV>
                <wp:extent cx="5981065" cy="1826260"/>
                <wp:effectExtent l="0" t="0" r="0" b="0"/>
                <wp:wrapNone/>
                <wp:docPr id="209" name="Graphic 209"/>
                <wp:cNvGraphicFramePr>
                  <a:graphicFrameLocks/>
                </wp:cNvGraphicFramePr>
                <a:graphic>
                  <a:graphicData uri="http://schemas.microsoft.com/office/word/2010/wordprocessingShape">
                    <wps:wsp>
                      <wps:cNvPr id="209" name="Graphic 209"/>
                      <wps:cNvSpPr/>
                      <wps:spPr>
                        <a:xfrm>
                          <a:off x="0" y="0"/>
                          <a:ext cx="5981065" cy="1826260"/>
                        </a:xfrm>
                        <a:custGeom>
                          <a:avLst/>
                          <a:gdLst/>
                          <a:ahLst/>
                          <a:cxnLst/>
                          <a:rect l="l" t="t" r="r" b="b"/>
                          <a:pathLst>
                            <a:path w="5981065" h="1826260">
                              <a:moveTo>
                                <a:pt x="5981065" y="730072"/>
                              </a:moveTo>
                              <a:lnTo>
                                <a:pt x="0" y="730072"/>
                              </a:lnTo>
                              <a:lnTo>
                                <a:pt x="0" y="1096137"/>
                              </a:lnTo>
                              <a:lnTo>
                                <a:pt x="0" y="1461897"/>
                              </a:lnTo>
                              <a:lnTo>
                                <a:pt x="0" y="1826133"/>
                              </a:lnTo>
                              <a:lnTo>
                                <a:pt x="5981065" y="1826133"/>
                              </a:lnTo>
                              <a:lnTo>
                                <a:pt x="5981065" y="1461897"/>
                              </a:lnTo>
                              <a:lnTo>
                                <a:pt x="5981065" y="1096137"/>
                              </a:lnTo>
                              <a:lnTo>
                                <a:pt x="5981065" y="730072"/>
                              </a:lnTo>
                              <a:close/>
                            </a:path>
                            <a:path w="5981065" h="1826260">
                              <a:moveTo>
                                <a:pt x="5981065" y="365772"/>
                              </a:moveTo>
                              <a:lnTo>
                                <a:pt x="0" y="365772"/>
                              </a:lnTo>
                              <a:lnTo>
                                <a:pt x="0" y="729996"/>
                              </a:lnTo>
                              <a:lnTo>
                                <a:pt x="5981065" y="729996"/>
                              </a:lnTo>
                              <a:lnTo>
                                <a:pt x="5981065" y="365772"/>
                              </a:lnTo>
                              <a:close/>
                            </a:path>
                            <a:path w="5981065" h="1826260">
                              <a:moveTo>
                                <a:pt x="5981065" y="0"/>
                              </a:moveTo>
                              <a:lnTo>
                                <a:pt x="0" y="0"/>
                              </a:lnTo>
                              <a:lnTo>
                                <a:pt x="0" y="365760"/>
                              </a:lnTo>
                              <a:lnTo>
                                <a:pt x="5981065" y="365760"/>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4.351074pt;width:470.95pt;height:143.8pt;mso-position-horizontal-relative:page;mso-position-vertical-relative:paragraph;z-index:-25209344" id="docshape209" coordorigin="1412,287" coordsize="9419,2876" path="m10831,1437l1412,1437,1412,2013,1412,2589,1412,3163,10831,3163,10831,2589,10831,2013,10831,1437xm10831,863l1412,863,1412,1437,10831,1437,10831,863xm10831,287l1412,287,1412,863,10831,863,10831,287xe" filled="true" fillcolor="#ffffff" stroked="false">
                <v:path arrowok="t"/>
                <v:fill type="solid"/>
                <w10:wrap type="none"/>
              </v:shape>
            </w:pict>
          </mc:Fallback>
        </mc:AlternateContent>
      </w:r>
      <w:r>
        <w:rPr/>
        <w:t>effect</w:t>
      </w:r>
      <w:r>
        <w:rPr>
          <w:spacing w:val="53"/>
        </w:rPr>
        <w:t> </w:t>
      </w:r>
      <w:r>
        <w:rPr/>
        <w:t>oneconomic</w:t>
      </w:r>
      <w:r>
        <w:rPr>
          <w:spacing w:val="54"/>
        </w:rPr>
        <w:t> </w:t>
      </w:r>
      <w:r>
        <w:rPr/>
        <w:t>growth.</w:t>
      </w:r>
      <w:r>
        <w:rPr>
          <w:spacing w:val="54"/>
        </w:rPr>
        <w:t> </w:t>
      </w:r>
      <w:r>
        <w:rPr/>
        <w:t>Similarly,</w:t>
      </w:r>
      <w:r>
        <w:rPr>
          <w:spacing w:val="57"/>
        </w:rPr>
        <w:t> </w:t>
      </w:r>
      <w:r>
        <w:rPr/>
        <w:t>Nkoro</w:t>
      </w:r>
      <w:r>
        <w:rPr>
          <w:spacing w:val="52"/>
        </w:rPr>
        <w:t> </w:t>
      </w:r>
      <w:r>
        <w:rPr/>
        <w:t>and</w:t>
      </w:r>
      <w:r>
        <w:rPr>
          <w:spacing w:val="56"/>
        </w:rPr>
        <w:t> </w:t>
      </w:r>
      <w:r>
        <w:rPr/>
        <w:t>Uko</w:t>
      </w:r>
      <w:r>
        <w:rPr>
          <w:spacing w:val="54"/>
        </w:rPr>
        <w:t> </w:t>
      </w:r>
      <w:r>
        <w:rPr/>
        <w:t>(2013)</w:t>
      </w:r>
      <w:r>
        <w:rPr>
          <w:spacing w:val="55"/>
        </w:rPr>
        <w:t> </w:t>
      </w:r>
      <w:r>
        <w:rPr/>
        <w:t>found</w:t>
      </w:r>
      <w:r>
        <w:rPr>
          <w:spacing w:val="52"/>
        </w:rPr>
        <w:t> </w:t>
      </w:r>
      <w:r>
        <w:rPr/>
        <w:t>that</w:t>
      </w:r>
      <w:r>
        <w:rPr>
          <w:spacing w:val="56"/>
        </w:rPr>
        <w:t> </w:t>
      </w:r>
      <w:r>
        <w:rPr/>
        <w:t>foreignaid</w:t>
      </w:r>
      <w:r>
        <w:rPr>
          <w:spacing w:val="54"/>
        </w:rPr>
        <w:t> </w:t>
      </w:r>
      <w:r>
        <w:rPr>
          <w:spacing w:val="-5"/>
        </w:rPr>
        <w:t>had</w:t>
      </w:r>
    </w:p>
    <w:p>
      <w:pPr>
        <w:pStyle w:val="BodyText"/>
        <w:spacing w:before="1"/>
        <w:ind w:left="0"/>
      </w:pPr>
    </w:p>
    <w:p>
      <w:pPr>
        <w:pStyle w:val="BodyText"/>
      </w:pPr>
      <w:r>
        <w:rPr/>
        <w:t>significan</w:t>
      </w:r>
      <w:r>
        <w:rPr>
          <w:spacing w:val="-1"/>
        </w:rPr>
        <w:t> </w:t>
      </w:r>
      <w:r>
        <w:rPr/>
        <w:t>positive</w:t>
      </w:r>
      <w:r>
        <w:rPr>
          <w:spacing w:val="1"/>
        </w:rPr>
        <w:t> </w:t>
      </w:r>
      <w:r>
        <w:rPr/>
        <w:t>impact on</w:t>
      </w:r>
      <w:r>
        <w:rPr>
          <w:spacing w:val="3"/>
        </w:rPr>
        <w:t> </w:t>
      </w:r>
      <w:r>
        <w:rPr/>
        <w:t>economicgrowth.</w:t>
      </w:r>
      <w:r>
        <w:rPr>
          <w:spacing w:val="3"/>
        </w:rPr>
        <w:t> </w:t>
      </w:r>
      <w:r>
        <w:rPr/>
        <w:t>Orji,</w:t>
      </w:r>
      <w:r>
        <w:rPr>
          <w:spacing w:val="1"/>
        </w:rPr>
        <w:t> </w:t>
      </w:r>
      <w:r>
        <w:rPr>
          <w:color w:val="111111"/>
        </w:rPr>
        <w:t>Uche and</w:t>
      </w:r>
      <w:r>
        <w:rPr>
          <w:color w:val="111111"/>
          <w:spacing w:val="2"/>
        </w:rPr>
        <w:t> </w:t>
      </w:r>
      <w:r>
        <w:rPr>
          <w:color w:val="111111"/>
        </w:rPr>
        <w:t>Ilori</w:t>
      </w:r>
      <w:r>
        <w:rPr>
          <w:color w:val="111111"/>
          <w:spacing w:val="1"/>
        </w:rPr>
        <w:t> </w:t>
      </w:r>
      <w:r>
        <w:rPr>
          <w:color w:val="111111"/>
        </w:rPr>
        <w:t>(2014)</w:t>
      </w:r>
      <w:r>
        <w:rPr>
          <w:color w:val="111111"/>
          <w:spacing w:val="1"/>
        </w:rPr>
        <w:t> </w:t>
      </w:r>
      <w:r>
        <w:rPr>
          <w:color w:val="111111"/>
        </w:rPr>
        <w:t>foundthat </w:t>
      </w:r>
      <w:r>
        <w:rPr>
          <w:color w:val="111111"/>
          <w:spacing w:val="-2"/>
        </w:rPr>
        <w:t>official</w:t>
      </w:r>
    </w:p>
    <w:p>
      <w:pPr>
        <w:pStyle w:val="BodyText"/>
        <w:spacing w:before="286"/>
      </w:pPr>
      <w:r>
        <w:rPr>
          <w:color w:val="111111"/>
        </w:rPr>
        <w:t>development</w:t>
      </w:r>
      <w:r>
        <w:rPr>
          <w:color w:val="111111"/>
          <w:spacing w:val="67"/>
          <w:w w:val="150"/>
        </w:rPr>
        <w:t> </w:t>
      </w:r>
      <w:r>
        <w:rPr>
          <w:color w:val="111111"/>
        </w:rPr>
        <w:t>assistance</w:t>
      </w:r>
      <w:r>
        <w:rPr>
          <w:color w:val="111111"/>
          <w:spacing w:val="65"/>
          <w:w w:val="150"/>
        </w:rPr>
        <w:t> </w:t>
      </w:r>
      <w:r>
        <w:rPr>
          <w:color w:val="111111"/>
        </w:rPr>
        <w:t>(</w:t>
      </w:r>
      <w:r>
        <w:rPr/>
        <w:t>ODA)</w:t>
      </w:r>
      <w:r>
        <w:rPr>
          <w:spacing w:val="66"/>
          <w:w w:val="150"/>
        </w:rPr>
        <w:t> </w:t>
      </w:r>
      <w:r>
        <w:rPr/>
        <w:t>positivelycontributed</w:t>
      </w:r>
      <w:r>
        <w:rPr>
          <w:spacing w:val="66"/>
          <w:w w:val="150"/>
        </w:rPr>
        <w:t> </w:t>
      </w:r>
      <w:r>
        <w:rPr/>
        <w:t>more</w:t>
      </w:r>
      <w:r>
        <w:rPr>
          <w:spacing w:val="65"/>
          <w:w w:val="150"/>
        </w:rPr>
        <w:t> </w:t>
      </w:r>
      <w:r>
        <w:rPr/>
        <w:t>to</w:t>
      </w:r>
      <w:r>
        <w:rPr>
          <w:spacing w:val="66"/>
          <w:w w:val="150"/>
        </w:rPr>
        <w:t> </w:t>
      </w:r>
      <w:r>
        <w:rPr/>
        <w:t>output</w:t>
      </w:r>
      <w:r>
        <w:rPr>
          <w:spacing w:val="66"/>
          <w:w w:val="150"/>
        </w:rPr>
        <w:t> </w:t>
      </w:r>
      <w:r>
        <w:rPr/>
        <w:t>growth.</w:t>
      </w:r>
      <w:r>
        <w:rPr>
          <w:spacing w:val="68"/>
          <w:w w:val="150"/>
        </w:rPr>
        <w:t> </w:t>
      </w:r>
      <w:r>
        <w:rPr>
          <w:spacing w:val="-2"/>
        </w:rPr>
        <w:t>Okafor,</w:t>
      </w:r>
    </w:p>
    <w:p>
      <w:pPr>
        <w:pStyle w:val="BodyText"/>
        <w:spacing w:before="2"/>
        <w:ind w:left="0"/>
      </w:pPr>
    </w:p>
    <w:p>
      <w:pPr>
        <w:pStyle w:val="BodyText"/>
      </w:pPr>
      <w:r>
        <w:rPr/>
        <w:t>Ugwuegbe</w:t>
      </w:r>
      <w:r>
        <w:rPr>
          <w:spacing w:val="-1"/>
        </w:rPr>
        <w:t> </w:t>
      </w:r>
      <w:r>
        <w:rPr/>
        <w:t>and</w:t>
      </w:r>
      <w:r>
        <w:rPr>
          <w:spacing w:val="-2"/>
        </w:rPr>
        <w:t> </w:t>
      </w:r>
      <w:r>
        <w:rPr/>
        <w:t>Ezeaku (2016)</w:t>
      </w:r>
      <w:r>
        <w:rPr>
          <w:spacing w:val="-1"/>
        </w:rPr>
        <w:t> </w:t>
      </w:r>
      <w:r>
        <w:rPr/>
        <w:t>study</w:t>
      </w:r>
      <w:r>
        <w:rPr>
          <w:spacing w:val="-3"/>
        </w:rPr>
        <w:t> </w:t>
      </w:r>
      <w:r>
        <w:rPr/>
        <w:t>found</w:t>
      </w:r>
      <w:r>
        <w:rPr>
          <w:spacing w:val="-2"/>
        </w:rPr>
        <w:t> </w:t>
      </w:r>
      <w:r>
        <w:rPr/>
        <w:t>thatforeign</w:t>
      </w:r>
      <w:r>
        <w:rPr>
          <w:spacing w:val="-2"/>
        </w:rPr>
        <w:t> </w:t>
      </w:r>
      <w:r>
        <w:rPr/>
        <w:t>capital</w:t>
      </w:r>
      <w:r>
        <w:rPr>
          <w:spacing w:val="-3"/>
        </w:rPr>
        <w:t> </w:t>
      </w:r>
      <w:r>
        <w:rPr/>
        <w:t>inflow</w:t>
      </w:r>
      <w:r>
        <w:rPr>
          <w:spacing w:val="-2"/>
        </w:rPr>
        <w:t> </w:t>
      </w:r>
      <w:r>
        <w:rPr/>
        <w:t>causes</w:t>
      </w:r>
      <w:r>
        <w:rPr>
          <w:spacing w:val="-1"/>
        </w:rPr>
        <w:t> </w:t>
      </w:r>
      <w:r>
        <w:rPr/>
        <w:t>GDP</w:t>
      </w:r>
      <w:r>
        <w:rPr>
          <w:spacing w:val="-3"/>
        </w:rPr>
        <w:t> </w:t>
      </w:r>
      <w:r>
        <w:rPr/>
        <w:t>to</w:t>
      </w:r>
      <w:r>
        <w:rPr>
          <w:spacing w:val="-2"/>
        </w:rPr>
        <w:t> increase</w:t>
      </w:r>
    </w:p>
    <w:p>
      <w:pPr>
        <w:pStyle w:val="BodyText"/>
        <w:spacing w:before="1"/>
        <w:ind w:left="0"/>
      </w:pPr>
    </w:p>
    <w:p>
      <w:pPr>
        <w:pStyle w:val="BodyText"/>
      </w:pPr>
      <w:r>
        <w:rPr>
          <w:spacing w:val="-2"/>
        </w:rPr>
        <w:t>positively.</w:t>
      </w:r>
    </w:p>
    <w:p>
      <w:pPr>
        <w:spacing w:after="0"/>
        <w:sectPr>
          <w:pgSz w:w="12240" w:h="15840"/>
          <w:pgMar w:header="0" w:footer="1012" w:top="1380" w:bottom="1200" w:left="1220" w:right="700"/>
        </w:sectPr>
      </w:pPr>
    </w:p>
    <w:p>
      <w:pPr>
        <w:pStyle w:val="Heading1"/>
        <w:ind w:right="691"/>
      </w:pPr>
      <w:r>
        <w:rPr/>
        <w:t>CHAPTER</w:t>
      </w:r>
      <w:r>
        <w:rPr>
          <w:spacing w:val="-16"/>
        </w:rPr>
        <w:t> </w:t>
      </w:r>
      <w:r>
        <w:rPr>
          <w:spacing w:val="-5"/>
        </w:rPr>
        <w:t>SIX</w:t>
      </w:r>
    </w:p>
    <w:p>
      <w:pPr>
        <w:pStyle w:val="BodyText"/>
        <w:spacing w:before="161"/>
        <w:ind w:left="0"/>
        <w:rPr>
          <w:b/>
        </w:rPr>
      </w:pPr>
    </w:p>
    <w:p>
      <w:pPr>
        <w:spacing w:before="0"/>
        <w:ind w:left="170" w:right="689" w:firstLine="0"/>
        <w:jc w:val="center"/>
        <w:rPr>
          <w:b/>
          <w:sz w:val="25"/>
        </w:rPr>
      </w:pPr>
      <w:r>
        <w:rPr>
          <w:b/>
          <w:sz w:val="25"/>
        </w:rPr>
        <w:t>SUMMARY</w:t>
      </w:r>
      <w:r>
        <w:rPr>
          <w:b/>
          <w:spacing w:val="-11"/>
          <w:sz w:val="25"/>
        </w:rPr>
        <w:t> </w:t>
      </w:r>
      <w:r>
        <w:rPr>
          <w:b/>
          <w:sz w:val="25"/>
        </w:rPr>
        <w:t>OF</w:t>
      </w:r>
      <w:r>
        <w:rPr>
          <w:b/>
          <w:spacing w:val="-10"/>
          <w:sz w:val="25"/>
        </w:rPr>
        <w:t> </w:t>
      </w:r>
      <w:r>
        <w:rPr>
          <w:b/>
          <w:sz w:val="25"/>
        </w:rPr>
        <w:t>FINDINGS,</w:t>
      </w:r>
      <w:r>
        <w:rPr>
          <w:b/>
          <w:spacing w:val="-11"/>
          <w:sz w:val="25"/>
        </w:rPr>
        <w:t> </w:t>
      </w:r>
      <w:r>
        <w:rPr>
          <w:b/>
          <w:sz w:val="25"/>
        </w:rPr>
        <w:t>CONCLUSION</w:t>
      </w:r>
      <w:r>
        <w:rPr>
          <w:b/>
          <w:spacing w:val="-9"/>
          <w:sz w:val="25"/>
        </w:rPr>
        <w:t> </w:t>
      </w:r>
      <w:r>
        <w:rPr>
          <w:b/>
          <w:sz w:val="25"/>
        </w:rPr>
        <w:t>AND</w:t>
      </w:r>
      <w:r>
        <w:rPr>
          <w:b/>
          <w:spacing w:val="-11"/>
          <w:sz w:val="25"/>
        </w:rPr>
        <w:t> </w:t>
      </w:r>
      <w:r>
        <w:rPr>
          <w:b/>
          <w:spacing w:val="-2"/>
          <w:sz w:val="25"/>
        </w:rPr>
        <w:t>RECOMMENDATIONS</w:t>
      </w:r>
    </w:p>
    <w:p>
      <w:pPr>
        <w:pStyle w:val="BodyText"/>
        <w:spacing w:before="160"/>
        <w:ind w:left="0"/>
        <w:rPr>
          <w:b/>
        </w:rPr>
      </w:pPr>
    </w:p>
    <w:p>
      <w:pPr>
        <w:pStyle w:val="Heading2"/>
        <w:numPr>
          <w:ilvl w:val="1"/>
          <w:numId w:val="27"/>
        </w:numPr>
        <w:tabs>
          <w:tab w:pos="593" w:val="left" w:leader="none"/>
        </w:tabs>
        <w:spacing w:line="240" w:lineRule="auto" w:before="0" w:after="0"/>
        <w:ind w:left="593" w:right="0" w:hanging="373"/>
        <w:jc w:val="left"/>
      </w:pPr>
      <w:r>
        <w:rPr/>
        <mc:AlternateContent>
          <mc:Choice Requires="wps">
            <w:drawing>
              <wp:anchor distT="0" distB="0" distL="0" distR="0" allowOverlap="1" layoutInCell="1" locked="0" behindDoc="1" simplePos="0" relativeHeight="478108160">
                <wp:simplePos x="0" y="0"/>
                <wp:positionH relativeFrom="page">
                  <wp:posOffset>896416</wp:posOffset>
                </wp:positionH>
                <wp:positionV relativeFrom="paragraph">
                  <wp:posOffset>442</wp:posOffset>
                </wp:positionV>
                <wp:extent cx="5981065" cy="6045200"/>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5981065" cy="6045200"/>
                        </a:xfrm>
                        <a:custGeom>
                          <a:avLst/>
                          <a:gdLst/>
                          <a:ahLst/>
                          <a:cxnLst/>
                          <a:rect l="l" t="t" r="r" b="b"/>
                          <a:pathLst>
                            <a:path w="5981065" h="6045200">
                              <a:moveTo>
                                <a:pt x="5981065" y="5314899"/>
                              </a:moveTo>
                              <a:lnTo>
                                <a:pt x="0" y="5314899"/>
                              </a:lnTo>
                              <a:lnTo>
                                <a:pt x="0" y="5679440"/>
                              </a:lnTo>
                              <a:lnTo>
                                <a:pt x="0" y="6045200"/>
                              </a:lnTo>
                              <a:lnTo>
                                <a:pt x="5981065" y="6045200"/>
                              </a:lnTo>
                              <a:lnTo>
                                <a:pt x="5981065" y="5679440"/>
                              </a:lnTo>
                              <a:lnTo>
                                <a:pt x="5981065" y="5314899"/>
                              </a:lnTo>
                              <a:close/>
                            </a:path>
                            <a:path w="5981065" h="6045200">
                              <a:moveTo>
                                <a:pt x="5981065" y="1196416"/>
                              </a:moveTo>
                              <a:lnTo>
                                <a:pt x="0" y="1196416"/>
                              </a:lnTo>
                              <a:lnTo>
                                <a:pt x="0" y="1560957"/>
                              </a:lnTo>
                              <a:lnTo>
                                <a:pt x="0" y="1926717"/>
                              </a:lnTo>
                              <a:lnTo>
                                <a:pt x="0" y="5314823"/>
                              </a:lnTo>
                              <a:lnTo>
                                <a:pt x="5981065" y="5314823"/>
                              </a:lnTo>
                              <a:lnTo>
                                <a:pt x="5981065" y="1560957"/>
                              </a:lnTo>
                              <a:lnTo>
                                <a:pt x="5981065" y="1196416"/>
                              </a:lnTo>
                              <a:close/>
                            </a:path>
                            <a:path w="5981065" h="6045200">
                              <a:moveTo>
                                <a:pt x="5981065" y="0"/>
                              </a:moveTo>
                              <a:lnTo>
                                <a:pt x="0" y="0"/>
                              </a:lnTo>
                              <a:lnTo>
                                <a:pt x="0" y="364236"/>
                              </a:lnTo>
                              <a:lnTo>
                                <a:pt x="0" y="830580"/>
                              </a:lnTo>
                              <a:lnTo>
                                <a:pt x="0" y="1196340"/>
                              </a:lnTo>
                              <a:lnTo>
                                <a:pt x="5981065" y="1196340"/>
                              </a:lnTo>
                              <a:lnTo>
                                <a:pt x="5981065" y="830580"/>
                              </a:lnTo>
                              <a:lnTo>
                                <a:pt x="5981065" y="364236"/>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034852pt;width:470.95pt;height:476pt;mso-position-horizontal-relative:page;mso-position-vertical-relative:paragraph;z-index:-25208320" id="docshape210" coordorigin="1412,1" coordsize="9419,9520" path="m10831,8371l1412,8371,1412,8945,1412,9521,10831,9521,10831,8945,10831,8371xm10831,1885l1412,1885,1412,2459,1412,3035,1412,3611,1412,4184,1412,4760,1412,5334,1412,5334,1412,5910,1412,6484,1412,7060,1412,7634,1412,8370,10831,8370,10831,7634,10831,7060,10831,6484,10831,5910,10831,5334,10831,5334,10831,4760,10831,4184,10831,3611,10831,3035,10831,2459,10831,1885xm10831,1l1412,1,1412,574,1412,1309,1412,1885,10831,1885,10831,1309,10831,574,10831,1xe" filled="true" fillcolor="#ffffff" stroked="false">
                <v:path arrowok="t"/>
                <v:fill type="solid"/>
                <w10:wrap type="none"/>
              </v:shape>
            </w:pict>
          </mc:Fallback>
        </mc:AlternateContent>
      </w:r>
      <w:bookmarkStart w:name="_TOC_250005" w:id="70"/>
      <w:r>
        <w:rPr/>
        <w:t>Summary</w:t>
      </w:r>
      <w:r>
        <w:rPr>
          <w:spacing w:val="-8"/>
        </w:rPr>
        <w:t> </w:t>
      </w:r>
      <w:r>
        <w:rPr/>
        <w:t>of</w:t>
      </w:r>
      <w:r>
        <w:rPr>
          <w:spacing w:val="-7"/>
        </w:rPr>
        <w:t> </w:t>
      </w:r>
      <w:bookmarkEnd w:id="70"/>
      <w:r>
        <w:rPr>
          <w:spacing w:val="-2"/>
        </w:rPr>
        <w:t>Findings</w:t>
      </w:r>
    </w:p>
    <w:p>
      <w:pPr>
        <w:pStyle w:val="BodyText"/>
        <w:spacing w:before="159"/>
        <w:ind w:left="0"/>
        <w:rPr>
          <w:b/>
        </w:rPr>
      </w:pPr>
    </w:p>
    <w:p>
      <w:pPr>
        <w:pStyle w:val="BodyText"/>
      </w:pPr>
      <w:r>
        <w:rPr/>
        <mc:AlternateContent>
          <mc:Choice Requires="wps">
            <w:drawing>
              <wp:anchor distT="0" distB="0" distL="0" distR="0" allowOverlap="1" layoutInCell="1" locked="0" behindDoc="1" simplePos="0" relativeHeight="478107648">
                <wp:simplePos x="0" y="0"/>
                <wp:positionH relativeFrom="page">
                  <wp:posOffset>950112</wp:posOffset>
                </wp:positionH>
                <wp:positionV relativeFrom="paragraph">
                  <wp:posOffset>-117128</wp:posOffset>
                </wp:positionV>
                <wp:extent cx="5505450" cy="5661025"/>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9.222705pt;width:433.5pt;height:445.75pt;mso-position-horizontal-relative:page;mso-position-vertical-relative:paragraph;z-index:-25208832" id="docshape211" coordorigin="1496,-184" coordsize="8670,8915" path="m2562,8535l1691,7664,1496,7859,2367,8730,2562,8535xm3154,7859l3153,7820,3148,7777,3139,7733,3125,7689,3106,7646,3083,7602,3055,7560,3025,7519,2991,7479,2954,7440,2435,6920,2241,7115,2772,7646,2805,7682,2829,7718,2846,7752,2856,7787,2858,7819,2851,7850,2837,7878,2816,7905,2790,7926,2761,7940,2730,7946,2697,7944,2663,7934,2628,7918,2593,7893,2557,7862,2026,7330,1831,7524,2351,8043,2385,8076,2424,8108,2468,8140,2516,8173,2548,8192,2583,8207,2620,8221,2658,8231,2697,8239,2733,8243,2767,8243,2800,8240,2831,8233,2863,8221,2895,8205,2926,8184,2957,8161,2985,8138,3011,8115,3035,8093,3071,8052,3102,8012,3125,7970,3142,7928,3150,7895,3154,7859xm3882,7076l3876,7012,3860,6946,3834,6880,3806,6825,3771,6769,3728,6712,3678,6653,3661,6634,3621,6592,3597,6570,3597,7064,3592,7104,3577,7141,3551,7174,3518,7199,3481,7214,3441,7219,3396,7213,3347,7194,3294,7163,3235,7118,3171,7059,3112,6995,3066,6936,3035,6881,3016,6832,3010,6788,3014,6748,3029,6712,3053,6680,3086,6654,3122,6639,3163,6634,3207,6639,3255,6656,3307,6686,3363,6728,3423,6783,3488,6853,3538,6916,3572,6972,3591,7020,3597,7064,3597,6570,3551,6527,3482,6472,3413,6427,3344,6392,3276,6366,3209,6350,3130,6344,3055,6354,2983,6380,2914,6420,2850,6476,2796,6539,2756,6607,2732,6679,2723,6754,2729,6834,2746,6902,2772,6971,2808,7041,2854,7111,2910,7181,2976,7252,3036,7309,3096,7359,3156,7401,3215,7436,3273,7463,3344,7487,3411,7501,3475,7504,3535,7498,3593,7482,3649,7455,3705,7417,3758,7369,3805,7315,3841,7259,3858,7219,3866,7200,3879,7139,3882,7076xm4153,6496l3966,6309,3712,6564,3899,6751,4153,6496xm4664,6434l3793,5563,3598,5758,4469,6629,4664,6434xm4998,6100l4675,5776,4781,5670,4832,5610,4837,5600,4866,5548,4883,5485,4882,5420,4866,5355,4843,5304,4836,5289,4792,5223,4733,5157,4670,5100,4607,5057,4598,5052,4598,5446,4597,5471,4587,5497,4570,5524,4546,5552,4498,5600,4304,5405,4359,5350,4386,5327,4412,5311,4438,5304,4462,5304,4486,5311,4509,5321,4531,5335,4552,5354,4570,5375,4584,5398,4593,5421,4598,5446,4598,5052,4544,5027,4483,5011,4423,5010,4365,5025,4309,5055,4255,5100,3931,5424,4803,6295,4998,6100xm5788,5310l5132,4654,5330,4455,5115,4240,4524,4832,4739,5047,4937,4848,5593,5504,5788,5310xm6423,4674l5767,4018,5966,3820,5751,3605,5159,4196,5374,4411,5573,4213,6229,4869,6423,4674xm7157,3801l7151,3737,7135,3671,7109,3605,7081,3550,7046,3494,7003,3437,6953,3378,6935,3359,6896,3318,6872,3295,6872,3789,6867,3829,6851,3866,6825,3899,6793,3925,6756,3940,6716,3944,6671,3938,6622,3919,6569,3888,6510,3843,6446,3784,6387,3720,6341,3661,6309,3606,6291,3557,6285,3513,6289,3473,6304,3437,6328,3405,6361,3380,6397,3364,6438,3359,6482,3364,6530,3382,6582,3411,6638,3454,6698,3509,6763,3578,6813,3641,6847,3697,6866,3746,6872,3789,6872,3295,6826,3252,6756,3197,6687,3152,6619,3117,6551,3091,6483,3075,6405,3070,6329,3080,6258,3105,6189,3145,6125,3201,6071,3264,6031,3332,6007,3404,5998,3479,6004,3559,6021,3627,6047,3696,6083,3766,6129,3836,6184,3906,6250,3977,6311,4034,6371,4084,6431,4126,6490,4161,6548,4188,6619,4212,6686,4226,6750,4230,6810,4223,6868,4207,6924,4180,6979,4142,7033,4094,7080,4040,7116,3984,7133,3944,7141,3925,7154,3864,7157,3801xm8170,2806l8165,2757,8153,2706,8134,2654,8109,2599,8079,2543,8041,2486,7980,2511,7799,2585,7831,2632,7855,2675,7873,2715,7884,2753,7887,2788,7881,2821,7866,2852,7843,2881,7812,2905,7778,2919,7740,2923,7700,2917,7653,2898,7600,2864,7538,2815,7469,2750,7417,2694,7375,2642,7344,2594,7324,2551,7311,2500,7312,2453,7325,2412,7352,2376,7367,2363,7384,2353,7402,2345,7422,2340,7442,2338,7464,2339,7486,2342,7509,2348,7524,2354,7542,2362,7563,2373,7586,2387,7705,2162,7622,2116,7543,2084,7469,2065,7400,2059,7333,2067,7269,2089,7206,2127,7146,2180,7092,2242,7054,2309,7030,2379,7021,2453,7027,2531,7044,2598,7070,2665,7106,2734,7153,2804,7209,2875,7276,2947,7341,3007,7404,3059,7467,3103,7529,3138,7590,3166,7662,3189,7730,3202,7791,3205,7847,3198,7900,3181,7952,3155,8004,3118,8056,3072,8094,3029,8125,2986,8147,2942,8161,2898,8169,2853,8170,2806xm8868,2090l8861,2026,8846,1961,8820,1894,8792,1839,8757,1783,8714,1726,8664,1667,8646,1648,8607,1607,8583,1584,8583,2078,8578,2118,8562,2155,8536,2188,8504,2214,8467,2229,8427,2233,8382,2227,8333,2209,8279,2177,8221,2132,8157,2073,8098,2009,8052,1950,8020,1896,8002,1847,7996,1802,8000,1762,8014,1726,8039,1694,8071,1669,8108,1653,8149,1648,8193,1653,8241,1671,8293,1700,8349,1743,8409,1798,8474,1867,8524,1930,8558,1986,8577,2035,8583,2078,8583,1584,8537,1541,8467,1486,8398,1441,8330,1406,8262,1380,8194,1364,8116,1359,8040,1369,7968,1394,7900,1435,7835,1490,7781,1554,7742,1621,7718,1693,7709,1769,7715,1848,7731,1917,7758,1986,7794,2055,7839,2125,7895,2196,7961,2266,8022,2324,8082,2373,8142,2415,8201,2450,8259,2477,8329,2502,8397,2515,8461,2519,8521,2512,8579,2496,8635,2469,8690,2431,8744,2383,8791,2329,8827,2273,8844,2233,8852,2214,8865,2153,8868,2090xm9348,1749l9025,1426,9132,1319,9182,1259,9188,1250,9216,1198,9233,1135,9233,1070,9217,1004,9194,953,9187,938,9142,873,9084,807,9020,749,8957,706,8948,702,8948,1095,8947,1121,8938,1147,8921,1174,8896,1202,8849,1250,8654,1055,8710,1000,8737,976,8763,961,8788,953,8812,954,8836,960,8859,971,8881,985,8902,1004,8920,1025,8934,1048,8943,1071,8948,1095,8948,702,8895,677,8833,661,8773,660,8715,675,8659,705,8605,750,8282,1074,9153,1945,9348,1749xm10166,932l9801,567,9748,417,9593,-34,9540,-184,9325,31,9353,101,9436,312,9492,452,9422,424,9211,341,9071,285,8854,501,9005,554,9456,709,9606,762,9971,1127,10166,932xe" filled="true" fillcolor="#c0c0c0" stroked="false">
                <v:path arrowok="t"/>
                <v:fill opacity="32896f" type="solid"/>
                <w10:wrap type="none"/>
              </v:shape>
            </w:pict>
          </mc:Fallback>
        </mc:AlternateContent>
      </w:r>
      <w:r>
        <w:rPr/>
        <w:t>The</w:t>
      </w:r>
      <w:r>
        <w:rPr>
          <w:spacing w:val="7"/>
        </w:rPr>
        <w:t> </w:t>
      </w:r>
      <w:r>
        <w:rPr/>
        <w:t>study</w:t>
      </w:r>
      <w:r>
        <w:rPr>
          <w:spacing w:val="8"/>
        </w:rPr>
        <w:t> </w:t>
      </w:r>
      <w:r>
        <w:rPr/>
        <w:t>examined</w:t>
      </w:r>
      <w:r>
        <w:rPr>
          <w:spacing w:val="8"/>
        </w:rPr>
        <w:t> </w:t>
      </w:r>
      <w:r>
        <w:rPr/>
        <w:t>the</w:t>
      </w:r>
      <w:r>
        <w:rPr>
          <w:spacing w:val="9"/>
        </w:rPr>
        <w:t> </w:t>
      </w:r>
      <w:r>
        <w:rPr/>
        <w:t>effect</w:t>
      </w:r>
      <w:r>
        <w:rPr>
          <w:spacing w:val="8"/>
        </w:rPr>
        <w:t> </w:t>
      </w:r>
      <w:r>
        <w:rPr/>
        <w:t>of</w:t>
      </w:r>
      <w:r>
        <w:rPr>
          <w:spacing w:val="8"/>
        </w:rPr>
        <w:t> </w:t>
      </w:r>
      <w:r>
        <w:rPr/>
        <w:t>financial</w:t>
      </w:r>
      <w:r>
        <w:rPr>
          <w:spacing w:val="8"/>
        </w:rPr>
        <w:t> </w:t>
      </w:r>
      <w:r>
        <w:rPr/>
        <w:t>integration</w:t>
      </w:r>
      <w:r>
        <w:rPr>
          <w:spacing w:val="8"/>
        </w:rPr>
        <w:t> </w:t>
      </w:r>
      <w:r>
        <w:rPr/>
        <w:t>on</w:t>
      </w:r>
      <w:r>
        <w:rPr>
          <w:spacing w:val="8"/>
        </w:rPr>
        <w:t> </w:t>
      </w:r>
      <w:r>
        <w:rPr/>
        <w:t>economic</w:t>
      </w:r>
      <w:r>
        <w:rPr>
          <w:spacing w:val="10"/>
        </w:rPr>
        <w:t> </w:t>
      </w:r>
      <w:r>
        <w:rPr/>
        <w:t>growth</w:t>
      </w:r>
      <w:r>
        <w:rPr>
          <w:spacing w:val="8"/>
        </w:rPr>
        <w:t> </w:t>
      </w:r>
      <w:r>
        <w:rPr/>
        <w:t>in</w:t>
      </w:r>
      <w:r>
        <w:rPr>
          <w:spacing w:val="8"/>
        </w:rPr>
        <w:t> </w:t>
      </w:r>
      <w:r>
        <w:rPr/>
        <w:t>Nigeria</w:t>
      </w:r>
      <w:r>
        <w:rPr>
          <w:spacing w:val="8"/>
        </w:rPr>
        <w:t> </w:t>
      </w:r>
      <w:r>
        <w:rPr>
          <w:spacing w:val="-2"/>
        </w:rPr>
        <w:t>using</w:t>
      </w:r>
    </w:p>
    <w:p>
      <w:pPr>
        <w:pStyle w:val="BodyText"/>
        <w:spacing w:before="286"/>
      </w:pPr>
      <w:r>
        <w:rPr/>
        <w:t>time</w:t>
      </w:r>
      <w:r>
        <w:rPr>
          <w:spacing w:val="5"/>
        </w:rPr>
        <w:t> </w:t>
      </w:r>
      <w:r>
        <w:rPr/>
        <w:t>series</w:t>
      </w:r>
      <w:r>
        <w:rPr>
          <w:spacing w:val="7"/>
        </w:rPr>
        <w:t> </w:t>
      </w:r>
      <w:r>
        <w:rPr/>
        <w:t>data</w:t>
      </w:r>
      <w:r>
        <w:rPr>
          <w:spacing w:val="5"/>
        </w:rPr>
        <w:t> </w:t>
      </w:r>
      <w:r>
        <w:rPr/>
        <w:t>from</w:t>
      </w:r>
      <w:r>
        <w:rPr>
          <w:spacing w:val="6"/>
        </w:rPr>
        <w:t> </w:t>
      </w:r>
      <w:r>
        <w:rPr/>
        <w:t>1986</w:t>
      </w:r>
      <w:r>
        <w:rPr>
          <w:spacing w:val="5"/>
        </w:rPr>
        <w:t> </w:t>
      </w:r>
      <w:r>
        <w:rPr/>
        <w:t>to</w:t>
      </w:r>
      <w:r>
        <w:rPr>
          <w:spacing w:val="6"/>
        </w:rPr>
        <w:t> </w:t>
      </w:r>
      <w:r>
        <w:rPr/>
        <w:t>2020.</w:t>
      </w:r>
      <w:r>
        <w:rPr>
          <w:spacing w:val="5"/>
        </w:rPr>
        <w:t> </w:t>
      </w:r>
      <w:r>
        <w:rPr/>
        <w:t>The</w:t>
      </w:r>
      <w:r>
        <w:rPr>
          <w:spacing w:val="6"/>
        </w:rPr>
        <w:t> </w:t>
      </w:r>
      <w:r>
        <w:rPr/>
        <w:t>data</w:t>
      </w:r>
      <w:r>
        <w:rPr>
          <w:spacing w:val="6"/>
        </w:rPr>
        <w:t> </w:t>
      </w:r>
      <w:r>
        <w:rPr/>
        <w:t>generated</w:t>
      </w:r>
      <w:r>
        <w:rPr>
          <w:spacing w:val="5"/>
        </w:rPr>
        <w:t> </w:t>
      </w:r>
      <w:r>
        <w:rPr/>
        <w:t>were</w:t>
      </w:r>
      <w:r>
        <w:rPr>
          <w:spacing w:val="6"/>
        </w:rPr>
        <w:t> </w:t>
      </w:r>
      <w:r>
        <w:rPr/>
        <w:t>subjected</w:t>
      </w:r>
      <w:r>
        <w:rPr>
          <w:spacing w:val="7"/>
        </w:rPr>
        <w:t> </w:t>
      </w:r>
      <w:r>
        <w:rPr/>
        <w:t>to</w:t>
      </w:r>
      <w:r>
        <w:rPr>
          <w:spacing w:val="6"/>
        </w:rPr>
        <w:t> </w:t>
      </w:r>
      <w:r>
        <w:rPr/>
        <w:t>empirical</w:t>
      </w:r>
      <w:r>
        <w:rPr>
          <w:spacing w:val="5"/>
        </w:rPr>
        <w:t> </w:t>
      </w:r>
      <w:r>
        <w:rPr>
          <w:spacing w:val="-2"/>
        </w:rPr>
        <w:t>analysis</w:t>
      </w:r>
    </w:p>
    <w:p>
      <w:pPr>
        <w:pStyle w:val="BodyText"/>
        <w:spacing w:before="2"/>
        <w:ind w:left="0"/>
      </w:pPr>
    </w:p>
    <w:p>
      <w:pPr>
        <w:pStyle w:val="BodyText"/>
      </w:pPr>
      <w:r>
        <w:rPr/>
        <w:t>and</w:t>
      </w:r>
      <w:r>
        <w:rPr>
          <w:spacing w:val="-2"/>
        </w:rPr>
        <w:t> </w:t>
      </w:r>
      <w:r>
        <w:rPr/>
        <w:t>the</w:t>
      </w:r>
      <w:r>
        <w:rPr>
          <w:spacing w:val="-2"/>
        </w:rPr>
        <w:t> </w:t>
      </w:r>
      <w:r>
        <w:rPr/>
        <w:t>following</w:t>
      </w:r>
      <w:r>
        <w:rPr>
          <w:spacing w:val="-2"/>
        </w:rPr>
        <w:t> </w:t>
      </w:r>
      <w:r>
        <w:rPr/>
        <w:t>became</w:t>
      </w:r>
      <w:r>
        <w:rPr>
          <w:spacing w:val="-3"/>
        </w:rPr>
        <w:t> </w:t>
      </w:r>
      <w:r>
        <w:rPr/>
        <w:t>evident.</w:t>
      </w:r>
      <w:r>
        <w:rPr>
          <w:spacing w:val="-1"/>
        </w:rPr>
        <w:t> </w:t>
      </w:r>
      <w:r>
        <w:rPr/>
        <w:t>The</w:t>
      </w:r>
      <w:r>
        <w:rPr>
          <w:spacing w:val="-2"/>
        </w:rPr>
        <w:t> </w:t>
      </w:r>
      <w:r>
        <w:rPr/>
        <w:t>result</w:t>
      </w:r>
      <w:r>
        <w:rPr>
          <w:spacing w:val="-2"/>
        </w:rPr>
        <w:t> </w:t>
      </w:r>
      <w:r>
        <w:rPr/>
        <w:t>of</w:t>
      </w:r>
      <w:r>
        <w:rPr>
          <w:spacing w:val="-1"/>
        </w:rPr>
        <w:t> </w:t>
      </w:r>
      <w:r>
        <w:rPr/>
        <w:t>the</w:t>
      </w:r>
      <w:r>
        <w:rPr>
          <w:spacing w:val="-2"/>
        </w:rPr>
        <w:t> </w:t>
      </w:r>
      <w:r>
        <w:rPr/>
        <w:t>descriptive</w:t>
      </w:r>
      <w:r>
        <w:rPr>
          <w:spacing w:val="-4"/>
        </w:rPr>
        <w:t> </w:t>
      </w:r>
      <w:r>
        <w:rPr/>
        <w:t>statistics</w:t>
      </w:r>
      <w:r>
        <w:rPr>
          <w:spacing w:val="-3"/>
        </w:rPr>
        <w:t> </w:t>
      </w:r>
      <w:r>
        <w:rPr/>
        <w:t>indicates</w:t>
      </w:r>
      <w:r>
        <w:rPr>
          <w:spacing w:val="-3"/>
        </w:rPr>
        <w:t> </w:t>
      </w:r>
      <w:r>
        <w:rPr/>
        <w:t>that</w:t>
      </w:r>
      <w:r>
        <w:rPr>
          <w:spacing w:val="-2"/>
        </w:rPr>
        <w:t> </w:t>
      </w:r>
      <w:r>
        <w:rPr/>
        <w:t>all</w:t>
      </w:r>
      <w:r>
        <w:rPr>
          <w:spacing w:val="-4"/>
        </w:rPr>
        <w:t> </w:t>
      </w:r>
      <w:r>
        <w:rPr>
          <w:spacing w:val="-5"/>
        </w:rPr>
        <w:t>the</w:t>
      </w:r>
    </w:p>
    <w:p>
      <w:pPr>
        <w:pStyle w:val="BodyText"/>
        <w:spacing w:before="286"/>
      </w:pPr>
      <w:r>
        <w:rPr/>
        <w:t>variables</w:t>
      </w:r>
      <w:r>
        <w:rPr>
          <w:spacing w:val="27"/>
        </w:rPr>
        <w:t>  </w:t>
      </w:r>
      <w:r>
        <w:rPr/>
        <w:t>(real</w:t>
      </w:r>
      <w:r>
        <w:rPr>
          <w:spacing w:val="27"/>
        </w:rPr>
        <w:t>  </w:t>
      </w:r>
      <w:r>
        <w:rPr/>
        <w:t>gross</w:t>
      </w:r>
      <w:r>
        <w:rPr>
          <w:spacing w:val="28"/>
        </w:rPr>
        <w:t>  </w:t>
      </w:r>
      <w:r>
        <w:rPr/>
        <w:t>domestic</w:t>
      </w:r>
      <w:r>
        <w:rPr>
          <w:spacing w:val="27"/>
        </w:rPr>
        <w:t>  </w:t>
      </w:r>
      <w:r>
        <w:rPr/>
        <w:t>product,</w:t>
      </w:r>
      <w:r>
        <w:rPr>
          <w:spacing w:val="29"/>
        </w:rPr>
        <w:t>  </w:t>
      </w:r>
      <w:r>
        <w:rPr/>
        <w:t>foreign</w:t>
      </w:r>
      <w:r>
        <w:rPr>
          <w:spacing w:val="28"/>
        </w:rPr>
        <w:t>  </w:t>
      </w:r>
      <w:r>
        <w:rPr/>
        <w:t>direct</w:t>
      </w:r>
      <w:r>
        <w:rPr>
          <w:spacing w:val="28"/>
        </w:rPr>
        <w:t>  </w:t>
      </w:r>
      <w:r>
        <w:rPr/>
        <w:t>investment,</w:t>
      </w:r>
      <w:r>
        <w:rPr>
          <w:spacing w:val="27"/>
        </w:rPr>
        <w:t>  </w:t>
      </w:r>
      <w:r>
        <w:rPr/>
        <w:t>foreign</w:t>
      </w:r>
      <w:r>
        <w:rPr>
          <w:spacing w:val="27"/>
        </w:rPr>
        <w:t>  </w:t>
      </w:r>
      <w:r>
        <w:rPr>
          <w:spacing w:val="-2"/>
        </w:rPr>
        <w:t>portfolio</w:t>
      </w:r>
    </w:p>
    <w:p>
      <w:pPr>
        <w:pStyle w:val="BodyText"/>
        <w:spacing w:before="1"/>
        <w:ind w:left="0"/>
      </w:pPr>
    </w:p>
    <w:p>
      <w:pPr>
        <w:pStyle w:val="BodyText"/>
      </w:pPr>
      <w:r>
        <w:rPr/>
        <w:t>investment,</w:t>
      </w:r>
      <w:r>
        <w:rPr>
          <w:spacing w:val="35"/>
        </w:rPr>
        <w:t> </w:t>
      </w:r>
      <w:r>
        <w:rPr/>
        <w:t>trade</w:t>
      </w:r>
      <w:r>
        <w:rPr>
          <w:spacing w:val="36"/>
        </w:rPr>
        <w:t> </w:t>
      </w:r>
      <w:r>
        <w:rPr/>
        <w:t>openness,</w:t>
      </w:r>
      <w:r>
        <w:rPr>
          <w:spacing w:val="35"/>
        </w:rPr>
        <w:t> </w:t>
      </w:r>
      <w:r>
        <w:rPr/>
        <w:t>remittances,</w:t>
      </w:r>
      <w:r>
        <w:rPr>
          <w:spacing w:val="35"/>
        </w:rPr>
        <w:t> </w:t>
      </w:r>
      <w:r>
        <w:rPr/>
        <w:t>official</w:t>
      </w:r>
      <w:r>
        <w:rPr>
          <w:spacing w:val="35"/>
        </w:rPr>
        <w:t> </w:t>
      </w:r>
      <w:r>
        <w:rPr/>
        <w:t>development</w:t>
      </w:r>
      <w:r>
        <w:rPr>
          <w:spacing w:val="38"/>
        </w:rPr>
        <w:t> </w:t>
      </w:r>
      <w:r>
        <w:rPr/>
        <w:t>assistance,</w:t>
      </w:r>
      <w:r>
        <w:rPr>
          <w:spacing w:val="35"/>
        </w:rPr>
        <w:t> </w:t>
      </w:r>
      <w:r>
        <w:rPr/>
        <w:t>credit</w:t>
      </w:r>
      <w:r>
        <w:rPr>
          <w:spacing w:val="36"/>
        </w:rPr>
        <w:t> </w:t>
      </w:r>
      <w:r>
        <w:rPr/>
        <w:t>to</w:t>
      </w:r>
      <w:r>
        <w:rPr>
          <w:spacing w:val="36"/>
        </w:rPr>
        <w:t> </w:t>
      </w:r>
      <w:r>
        <w:rPr>
          <w:spacing w:val="-2"/>
        </w:rPr>
        <w:t>private</w:t>
      </w:r>
    </w:p>
    <w:p>
      <w:pPr>
        <w:pStyle w:val="BodyText"/>
        <w:spacing w:before="1"/>
        <w:ind w:left="0"/>
      </w:pPr>
    </w:p>
    <w:p>
      <w:pPr>
        <w:pStyle w:val="BodyText"/>
      </w:pPr>
      <w:r>
        <w:rPr/>
        <w:t>sector</w:t>
      </w:r>
      <w:r>
        <w:rPr>
          <w:spacing w:val="47"/>
        </w:rPr>
        <w:t> </w:t>
      </w:r>
      <w:r>
        <w:rPr/>
        <w:t>as</w:t>
      </w:r>
      <w:r>
        <w:rPr>
          <w:spacing w:val="48"/>
        </w:rPr>
        <w:t> </w:t>
      </w:r>
      <w:r>
        <w:rPr/>
        <w:t>a</w:t>
      </w:r>
      <w:r>
        <w:rPr>
          <w:spacing w:val="47"/>
        </w:rPr>
        <w:t> </w:t>
      </w:r>
      <w:r>
        <w:rPr/>
        <w:t>percentage</w:t>
      </w:r>
      <w:r>
        <w:rPr>
          <w:spacing w:val="49"/>
        </w:rPr>
        <w:t> </w:t>
      </w:r>
      <w:r>
        <w:rPr/>
        <w:t>of</w:t>
      </w:r>
      <w:r>
        <w:rPr>
          <w:spacing w:val="47"/>
        </w:rPr>
        <w:t> </w:t>
      </w:r>
      <w:r>
        <w:rPr/>
        <w:t>GDP,</w:t>
      </w:r>
      <w:r>
        <w:rPr>
          <w:spacing w:val="48"/>
        </w:rPr>
        <w:t> </w:t>
      </w:r>
      <w:r>
        <w:rPr/>
        <w:t>interest</w:t>
      </w:r>
      <w:r>
        <w:rPr>
          <w:spacing w:val="48"/>
        </w:rPr>
        <w:t> </w:t>
      </w:r>
      <w:r>
        <w:rPr/>
        <w:t>rate</w:t>
      </w:r>
      <w:r>
        <w:rPr>
          <w:spacing w:val="47"/>
        </w:rPr>
        <w:t> </w:t>
      </w:r>
      <w:r>
        <w:rPr/>
        <w:t>and</w:t>
      </w:r>
      <w:r>
        <w:rPr>
          <w:spacing w:val="46"/>
        </w:rPr>
        <w:t> </w:t>
      </w:r>
      <w:r>
        <w:rPr/>
        <w:t>exchange</w:t>
      </w:r>
      <w:r>
        <w:rPr>
          <w:spacing w:val="47"/>
        </w:rPr>
        <w:t> </w:t>
      </w:r>
      <w:r>
        <w:rPr/>
        <w:t>rate)</w:t>
      </w:r>
      <w:r>
        <w:rPr>
          <w:spacing w:val="48"/>
        </w:rPr>
        <w:t> </w:t>
      </w:r>
      <w:r>
        <w:rPr/>
        <w:t>used</w:t>
      </w:r>
      <w:r>
        <w:rPr>
          <w:spacing w:val="47"/>
        </w:rPr>
        <w:t> </w:t>
      </w:r>
      <w:r>
        <w:rPr/>
        <w:t>in</w:t>
      </w:r>
      <w:r>
        <w:rPr>
          <w:spacing w:val="48"/>
        </w:rPr>
        <w:t> </w:t>
      </w:r>
      <w:r>
        <w:rPr/>
        <w:t>the</w:t>
      </w:r>
      <w:r>
        <w:rPr>
          <w:spacing w:val="46"/>
        </w:rPr>
        <w:t> </w:t>
      </w:r>
      <w:r>
        <w:rPr/>
        <w:t>study</w:t>
      </w:r>
      <w:r>
        <w:rPr>
          <w:spacing w:val="48"/>
        </w:rPr>
        <w:t> </w:t>
      </w:r>
      <w:r>
        <w:rPr>
          <w:spacing w:val="-4"/>
        </w:rPr>
        <w:t>were</w:t>
      </w:r>
    </w:p>
    <w:p>
      <w:pPr>
        <w:pStyle w:val="BodyText"/>
        <w:spacing w:before="286"/>
      </w:pPr>
      <w:r>
        <w:rPr/>
        <w:t>normally</w:t>
      </w:r>
      <w:r>
        <w:rPr>
          <w:spacing w:val="-2"/>
        </w:rPr>
        <w:t> </w:t>
      </w:r>
      <w:r>
        <w:rPr/>
        <w:t>distributed.</w:t>
      </w:r>
      <w:r>
        <w:rPr>
          <w:spacing w:val="-1"/>
        </w:rPr>
        <w:t> </w:t>
      </w:r>
      <w:r>
        <w:rPr/>
        <w:t>The</w:t>
      </w:r>
      <w:r>
        <w:rPr>
          <w:spacing w:val="-1"/>
        </w:rPr>
        <w:t> </w:t>
      </w:r>
      <w:r>
        <w:rPr/>
        <w:t>result</w:t>
      </w:r>
      <w:r>
        <w:rPr>
          <w:spacing w:val="-1"/>
        </w:rPr>
        <w:t> </w:t>
      </w:r>
      <w:r>
        <w:rPr/>
        <w:t>of the</w:t>
      </w:r>
      <w:r>
        <w:rPr>
          <w:spacing w:val="-1"/>
        </w:rPr>
        <w:t> </w:t>
      </w:r>
      <w:r>
        <w:rPr/>
        <w:t>unit</w:t>
      </w:r>
      <w:r>
        <w:rPr>
          <w:spacing w:val="1"/>
        </w:rPr>
        <w:t> </w:t>
      </w:r>
      <w:r>
        <w:rPr/>
        <w:t>root</w:t>
      </w:r>
      <w:r>
        <w:rPr>
          <w:spacing w:val="-1"/>
        </w:rPr>
        <w:t> </w:t>
      </w:r>
      <w:r>
        <w:rPr/>
        <w:t>test</w:t>
      </w:r>
      <w:r>
        <w:rPr>
          <w:spacing w:val="-1"/>
        </w:rPr>
        <w:t> </w:t>
      </w:r>
      <w:r>
        <w:rPr/>
        <w:t>indicates that</w:t>
      </w:r>
      <w:r>
        <w:rPr>
          <w:spacing w:val="1"/>
        </w:rPr>
        <w:t> </w:t>
      </w:r>
      <w:r>
        <w:rPr/>
        <w:t>all</w:t>
      </w:r>
      <w:r>
        <w:rPr>
          <w:spacing w:val="-1"/>
        </w:rPr>
        <w:t> </w:t>
      </w:r>
      <w:r>
        <w:rPr/>
        <w:t>the</w:t>
      </w:r>
      <w:r>
        <w:rPr>
          <w:spacing w:val="3"/>
        </w:rPr>
        <w:t> </w:t>
      </w:r>
      <w:r>
        <w:rPr/>
        <w:t>variables</w:t>
      </w:r>
      <w:r>
        <w:rPr>
          <w:spacing w:val="-1"/>
        </w:rPr>
        <w:t> </w:t>
      </w:r>
      <w:r>
        <w:rPr/>
        <w:t>(real</w:t>
      </w:r>
      <w:r>
        <w:rPr>
          <w:spacing w:val="-1"/>
        </w:rPr>
        <w:t> </w:t>
      </w:r>
      <w:r>
        <w:rPr>
          <w:spacing w:val="-2"/>
        </w:rPr>
        <w:t>gross</w:t>
      </w:r>
    </w:p>
    <w:p>
      <w:pPr>
        <w:pStyle w:val="BodyText"/>
        <w:spacing w:before="1"/>
        <w:ind w:left="0"/>
      </w:pPr>
    </w:p>
    <w:p>
      <w:pPr>
        <w:pStyle w:val="BodyText"/>
      </w:pPr>
      <w:r>
        <w:rPr/>
        <w:t>domestic</w:t>
      </w:r>
      <w:r>
        <w:rPr>
          <w:spacing w:val="33"/>
        </w:rPr>
        <w:t> </w:t>
      </w:r>
      <w:r>
        <w:rPr/>
        <w:t>product,</w:t>
      </w:r>
      <w:r>
        <w:rPr>
          <w:spacing w:val="34"/>
        </w:rPr>
        <w:t> </w:t>
      </w:r>
      <w:r>
        <w:rPr/>
        <w:t>foreign</w:t>
      </w:r>
      <w:r>
        <w:rPr>
          <w:spacing w:val="33"/>
        </w:rPr>
        <w:t> </w:t>
      </w:r>
      <w:r>
        <w:rPr/>
        <w:t>direct</w:t>
      </w:r>
      <w:r>
        <w:rPr>
          <w:spacing w:val="34"/>
        </w:rPr>
        <w:t> </w:t>
      </w:r>
      <w:r>
        <w:rPr/>
        <w:t>investment,</w:t>
      </w:r>
      <w:r>
        <w:rPr>
          <w:spacing w:val="33"/>
        </w:rPr>
        <w:t> </w:t>
      </w:r>
      <w:r>
        <w:rPr/>
        <w:t>foreign</w:t>
      </w:r>
      <w:r>
        <w:rPr>
          <w:spacing w:val="33"/>
        </w:rPr>
        <w:t> </w:t>
      </w:r>
      <w:r>
        <w:rPr/>
        <w:t>portfolio</w:t>
      </w:r>
      <w:r>
        <w:rPr>
          <w:spacing w:val="33"/>
        </w:rPr>
        <w:t> </w:t>
      </w:r>
      <w:r>
        <w:rPr/>
        <w:t>investment,</w:t>
      </w:r>
      <w:r>
        <w:rPr>
          <w:spacing w:val="34"/>
        </w:rPr>
        <w:t> </w:t>
      </w:r>
      <w:r>
        <w:rPr/>
        <w:t>trade</w:t>
      </w:r>
      <w:r>
        <w:rPr>
          <w:spacing w:val="32"/>
        </w:rPr>
        <w:t> </w:t>
      </w:r>
      <w:r>
        <w:rPr>
          <w:spacing w:val="-2"/>
        </w:rPr>
        <w:t>openness,</w:t>
      </w:r>
    </w:p>
    <w:p>
      <w:pPr>
        <w:pStyle w:val="BodyText"/>
        <w:spacing w:before="287"/>
      </w:pPr>
      <w:r>
        <w:rPr/>
        <w:t>remittances,</w:t>
      </w:r>
      <w:r>
        <w:rPr>
          <w:spacing w:val="-1"/>
        </w:rPr>
        <w:t> </w:t>
      </w:r>
      <w:r>
        <w:rPr/>
        <w:t>official development</w:t>
      </w:r>
      <w:r>
        <w:rPr>
          <w:spacing w:val="1"/>
        </w:rPr>
        <w:t> </w:t>
      </w:r>
      <w:r>
        <w:rPr/>
        <w:t>assistance, credit</w:t>
      </w:r>
      <w:r>
        <w:rPr>
          <w:spacing w:val="1"/>
        </w:rPr>
        <w:t> </w:t>
      </w:r>
      <w:r>
        <w:rPr/>
        <w:t>to</w:t>
      </w:r>
      <w:r>
        <w:rPr>
          <w:spacing w:val="1"/>
        </w:rPr>
        <w:t> </w:t>
      </w:r>
      <w:r>
        <w:rPr/>
        <w:t>private sector</w:t>
      </w:r>
      <w:r>
        <w:rPr>
          <w:spacing w:val="1"/>
        </w:rPr>
        <w:t> </w:t>
      </w:r>
      <w:r>
        <w:rPr/>
        <w:t>as</w:t>
      </w:r>
      <w:r>
        <w:rPr>
          <w:spacing w:val="1"/>
        </w:rPr>
        <w:t> </w:t>
      </w:r>
      <w:r>
        <w:rPr/>
        <w:t>a</w:t>
      </w:r>
      <w:r>
        <w:rPr>
          <w:spacing w:val="1"/>
        </w:rPr>
        <w:t> </w:t>
      </w:r>
      <w:r>
        <w:rPr/>
        <w:t>percentage</w:t>
      </w:r>
      <w:r>
        <w:rPr>
          <w:spacing w:val="2"/>
        </w:rPr>
        <w:t> </w:t>
      </w:r>
      <w:r>
        <w:rPr/>
        <w:t>of</w:t>
      </w:r>
      <w:r>
        <w:rPr>
          <w:spacing w:val="1"/>
        </w:rPr>
        <w:t> </w:t>
      </w:r>
      <w:r>
        <w:rPr>
          <w:spacing w:val="-4"/>
        </w:rPr>
        <w:t>GDP,</w:t>
      </w:r>
    </w:p>
    <w:p>
      <w:pPr>
        <w:pStyle w:val="BodyText"/>
        <w:spacing w:before="1"/>
        <w:ind w:left="0"/>
      </w:pPr>
    </w:p>
    <w:p>
      <w:pPr>
        <w:pStyle w:val="BodyText"/>
      </w:pPr>
      <w:r>
        <w:rPr/>
        <w:t>interest</w:t>
      </w:r>
      <w:r>
        <w:rPr>
          <w:spacing w:val="49"/>
        </w:rPr>
        <w:t> </w:t>
      </w:r>
      <w:r>
        <w:rPr/>
        <w:t>rate</w:t>
      </w:r>
      <w:r>
        <w:rPr>
          <w:spacing w:val="48"/>
        </w:rPr>
        <w:t> </w:t>
      </w:r>
      <w:r>
        <w:rPr/>
        <w:t>and</w:t>
      </w:r>
      <w:r>
        <w:rPr>
          <w:spacing w:val="51"/>
        </w:rPr>
        <w:t> </w:t>
      </w:r>
      <w:r>
        <w:rPr/>
        <w:t>exchange</w:t>
      </w:r>
      <w:r>
        <w:rPr>
          <w:spacing w:val="49"/>
        </w:rPr>
        <w:t> </w:t>
      </w:r>
      <w:r>
        <w:rPr/>
        <w:t>rate)</w:t>
      </w:r>
      <w:r>
        <w:rPr>
          <w:spacing w:val="50"/>
        </w:rPr>
        <w:t> </w:t>
      </w:r>
      <w:r>
        <w:rPr/>
        <w:t>were</w:t>
      </w:r>
      <w:r>
        <w:rPr>
          <w:spacing w:val="49"/>
        </w:rPr>
        <w:t> </w:t>
      </w:r>
      <w:r>
        <w:rPr/>
        <w:t>stationary</w:t>
      </w:r>
      <w:r>
        <w:rPr>
          <w:spacing w:val="50"/>
        </w:rPr>
        <w:t> </w:t>
      </w:r>
      <w:r>
        <w:rPr/>
        <w:t>at</w:t>
      </w:r>
      <w:r>
        <w:rPr>
          <w:spacing w:val="49"/>
        </w:rPr>
        <w:t> </w:t>
      </w:r>
      <w:r>
        <w:rPr/>
        <w:t>first</w:t>
      </w:r>
      <w:r>
        <w:rPr>
          <w:spacing w:val="49"/>
        </w:rPr>
        <w:t> </w:t>
      </w:r>
      <w:r>
        <w:rPr/>
        <w:t>difference.</w:t>
      </w:r>
      <w:r>
        <w:rPr>
          <w:spacing w:val="52"/>
        </w:rPr>
        <w:t> </w:t>
      </w:r>
      <w:r>
        <w:rPr/>
        <w:t>The</w:t>
      </w:r>
      <w:r>
        <w:rPr>
          <w:spacing w:val="48"/>
        </w:rPr>
        <w:t> </w:t>
      </w:r>
      <w:r>
        <w:rPr/>
        <w:t>result</w:t>
      </w:r>
      <w:r>
        <w:rPr>
          <w:spacing w:val="49"/>
        </w:rPr>
        <w:t> </w:t>
      </w:r>
      <w:r>
        <w:rPr/>
        <w:t>of</w:t>
      </w:r>
      <w:r>
        <w:rPr>
          <w:spacing w:val="51"/>
        </w:rPr>
        <w:t> </w:t>
      </w:r>
      <w:r>
        <w:rPr/>
        <w:t>the</w:t>
      </w:r>
      <w:r>
        <w:rPr>
          <w:spacing w:val="51"/>
        </w:rPr>
        <w:t> </w:t>
      </w:r>
      <w:r>
        <w:rPr>
          <w:spacing w:val="-5"/>
        </w:rPr>
        <w:t>co</w:t>
      </w:r>
    </w:p>
    <w:p>
      <w:pPr>
        <w:pStyle w:val="BodyText"/>
        <w:spacing w:before="286"/>
      </w:pPr>
      <w:r>
        <w:rPr/>
        <w:t>integration</w:t>
      </w:r>
      <w:r>
        <w:rPr>
          <w:spacing w:val="20"/>
        </w:rPr>
        <w:t> </w:t>
      </w:r>
      <w:r>
        <w:rPr/>
        <w:t>test</w:t>
      </w:r>
      <w:r>
        <w:rPr>
          <w:spacing w:val="20"/>
        </w:rPr>
        <w:t> </w:t>
      </w:r>
      <w:r>
        <w:rPr/>
        <w:t>indicates</w:t>
      </w:r>
      <w:r>
        <w:rPr>
          <w:spacing w:val="20"/>
        </w:rPr>
        <w:t> </w:t>
      </w:r>
      <w:r>
        <w:rPr/>
        <w:t>that</w:t>
      </w:r>
      <w:r>
        <w:rPr>
          <w:spacing w:val="20"/>
        </w:rPr>
        <w:t> </w:t>
      </w:r>
      <w:r>
        <w:rPr/>
        <w:t>there</w:t>
      </w:r>
      <w:r>
        <w:rPr>
          <w:spacing w:val="20"/>
        </w:rPr>
        <w:t> </w:t>
      </w:r>
      <w:r>
        <w:rPr/>
        <w:t>is</w:t>
      </w:r>
      <w:r>
        <w:rPr>
          <w:spacing w:val="21"/>
        </w:rPr>
        <w:t> </w:t>
      </w:r>
      <w:r>
        <w:rPr/>
        <w:t>a</w:t>
      </w:r>
      <w:r>
        <w:rPr>
          <w:spacing w:val="19"/>
        </w:rPr>
        <w:t> </w:t>
      </w:r>
      <w:r>
        <w:rPr/>
        <w:t>long</w:t>
      </w:r>
      <w:r>
        <w:rPr>
          <w:spacing w:val="20"/>
        </w:rPr>
        <w:t> </w:t>
      </w:r>
      <w:r>
        <w:rPr/>
        <w:t>run</w:t>
      </w:r>
      <w:r>
        <w:rPr>
          <w:spacing w:val="21"/>
        </w:rPr>
        <w:t> </w:t>
      </w:r>
      <w:r>
        <w:rPr/>
        <w:t>relationship</w:t>
      </w:r>
      <w:r>
        <w:rPr>
          <w:spacing w:val="20"/>
        </w:rPr>
        <w:t> </w:t>
      </w:r>
      <w:r>
        <w:rPr/>
        <w:t>between</w:t>
      </w:r>
      <w:r>
        <w:rPr>
          <w:spacing w:val="19"/>
        </w:rPr>
        <w:t> </w:t>
      </w:r>
      <w:r>
        <w:rPr/>
        <w:t>the</w:t>
      </w:r>
      <w:r>
        <w:rPr>
          <w:spacing w:val="19"/>
        </w:rPr>
        <w:t> </w:t>
      </w:r>
      <w:r>
        <w:rPr/>
        <w:t>variables</w:t>
      </w:r>
      <w:r>
        <w:rPr>
          <w:spacing w:val="21"/>
        </w:rPr>
        <w:t> </w:t>
      </w:r>
      <w:r>
        <w:rPr/>
        <w:t>used</w:t>
      </w:r>
      <w:r>
        <w:rPr>
          <w:spacing w:val="19"/>
        </w:rPr>
        <w:t> </w:t>
      </w:r>
      <w:r>
        <w:rPr>
          <w:spacing w:val="-5"/>
        </w:rPr>
        <w:t>in</w:t>
      </w:r>
    </w:p>
    <w:p>
      <w:pPr>
        <w:pStyle w:val="BodyText"/>
        <w:spacing w:before="1"/>
        <w:ind w:left="0"/>
      </w:pPr>
    </w:p>
    <w:p>
      <w:pPr>
        <w:pStyle w:val="BodyText"/>
      </w:pPr>
      <w:r>
        <w:rPr/>
        <w:t>the</w:t>
      </w:r>
      <w:r>
        <w:rPr>
          <w:spacing w:val="-7"/>
        </w:rPr>
        <w:t> </w:t>
      </w:r>
      <w:r>
        <w:rPr/>
        <w:t>study.</w:t>
      </w:r>
      <w:r>
        <w:rPr>
          <w:spacing w:val="-7"/>
        </w:rPr>
        <w:t> </w:t>
      </w:r>
      <w:r>
        <w:rPr/>
        <w:t>The</w:t>
      </w:r>
      <w:r>
        <w:rPr>
          <w:spacing w:val="-7"/>
        </w:rPr>
        <w:t> </w:t>
      </w:r>
      <w:r>
        <w:rPr/>
        <w:t>result</w:t>
      </w:r>
      <w:r>
        <w:rPr>
          <w:spacing w:val="-7"/>
        </w:rPr>
        <w:t> </w:t>
      </w:r>
      <w:r>
        <w:rPr/>
        <w:t>of</w:t>
      </w:r>
      <w:r>
        <w:rPr>
          <w:spacing w:val="-6"/>
        </w:rPr>
        <w:t> </w:t>
      </w:r>
      <w:r>
        <w:rPr/>
        <w:t>the</w:t>
      </w:r>
      <w:r>
        <w:rPr>
          <w:spacing w:val="-7"/>
        </w:rPr>
        <w:t> </w:t>
      </w:r>
      <w:r>
        <w:rPr/>
        <w:t>estimation</w:t>
      </w:r>
      <w:r>
        <w:rPr>
          <w:spacing w:val="-7"/>
        </w:rPr>
        <w:t> </w:t>
      </w:r>
      <w:r>
        <w:rPr/>
        <w:t>technique</w:t>
      </w:r>
      <w:r>
        <w:rPr>
          <w:spacing w:val="-5"/>
        </w:rPr>
        <w:t> </w:t>
      </w:r>
      <w:r>
        <w:rPr/>
        <w:t>indicates</w:t>
      </w:r>
      <w:r>
        <w:rPr>
          <w:spacing w:val="-6"/>
        </w:rPr>
        <w:t> </w:t>
      </w:r>
      <w:r>
        <w:rPr/>
        <w:t>the</w:t>
      </w:r>
      <w:r>
        <w:rPr>
          <w:spacing w:val="-7"/>
        </w:rPr>
        <w:t> </w:t>
      </w:r>
      <w:r>
        <w:rPr>
          <w:spacing w:val="-2"/>
        </w:rPr>
        <w:t>following:</w:t>
      </w:r>
    </w:p>
    <w:p>
      <w:pPr>
        <w:pStyle w:val="BodyText"/>
        <w:spacing w:before="159"/>
        <w:ind w:left="0"/>
      </w:pPr>
    </w:p>
    <w:p>
      <w:pPr>
        <w:pStyle w:val="ListParagraph"/>
        <w:numPr>
          <w:ilvl w:val="0"/>
          <w:numId w:val="28"/>
        </w:numPr>
        <w:tabs>
          <w:tab w:pos="579" w:val="left" w:leader="none"/>
        </w:tabs>
        <w:spacing w:line="240" w:lineRule="auto" w:before="1" w:after="0"/>
        <w:ind w:left="579" w:right="0" w:hanging="359"/>
        <w:jc w:val="left"/>
        <w:rPr>
          <w:sz w:val="25"/>
        </w:rPr>
      </w:pPr>
      <w:r>
        <w:rPr>
          <w:sz w:val="25"/>
        </w:rPr>
        <w:t>Foreign</w:t>
      </w:r>
      <w:r>
        <w:rPr>
          <w:spacing w:val="-8"/>
          <w:sz w:val="25"/>
        </w:rPr>
        <w:t> </w:t>
      </w:r>
      <w:r>
        <w:rPr>
          <w:sz w:val="25"/>
        </w:rPr>
        <w:t>direct</w:t>
      </w:r>
      <w:r>
        <w:rPr>
          <w:spacing w:val="-7"/>
          <w:sz w:val="25"/>
        </w:rPr>
        <w:t> </w:t>
      </w:r>
      <w:r>
        <w:rPr>
          <w:sz w:val="25"/>
        </w:rPr>
        <w:t>investment</w:t>
      </w:r>
      <w:r>
        <w:rPr>
          <w:spacing w:val="-7"/>
          <w:sz w:val="25"/>
        </w:rPr>
        <w:t> </w:t>
      </w:r>
      <w:r>
        <w:rPr>
          <w:sz w:val="25"/>
        </w:rPr>
        <w:t>inflow</w:t>
      </w:r>
      <w:r>
        <w:rPr>
          <w:spacing w:val="-7"/>
          <w:sz w:val="25"/>
        </w:rPr>
        <w:t> </w:t>
      </w:r>
      <w:r>
        <w:rPr>
          <w:sz w:val="25"/>
        </w:rPr>
        <w:t>has</w:t>
      </w:r>
      <w:r>
        <w:rPr>
          <w:spacing w:val="-6"/>
          <w:sz w:val="25"/>
        </w:rPr>
        <w:t> </w:t>
      </w:r>
      <w:r>
        <w:rPr>
          <w:sz w:val="25"/>
        </w:rPr>
        <w:t>significant</w:t>
      </w:r>
      <w:r>
        <w:rPr>
          <w:spacing w:val="-8"/>
          <w:sz w:val="25"/>
        </w:rPr>
        <w:t> </w:t>
      </w:r>
      <w:r>
        <w:rPr>
          <w:sz w:val="25"/>
        </w:rPr>
        <w:t>effect</w:t>
      </w:r>
      <w:r>
        <w:rPr>
          <w:spacing w:val="-7"/>
          <w:sz w:val="25"/>
        </w:rPr>
        <w:t> </w:t>
      </w:r>
      <w:r>
        <w:rPr>
          <w:sz w:val="25"/>
        </w:rPr>
        <w:t>on</w:t>
      </w:r>
      <w:r>
        <w:rPr>
          <w:spacing w:val="-7"/>
          <w:sz w:val="25"/>
        </w:rPr>
        <w:t> </w:t>
      </w:r>
      <w:r>
        <w:rPr>
          <w:sz w:val="25"/>
        </w:rPr>
        <w:t>economic</w:t>
      </w:r>
      <w:r>
        <w:rPr>
          <w:spacing w:val="-7"/>
          <w:sz w:val="25"/>
        </w:rPr>
        <w:t> </w:t>
      </w:r>
      <w:r>
        <w:rPr>
          <w:sz w:val="25"/>
        </w:rPr>
        <w:t>growth</w:t>
      </w:r>
      <w:r>
        <w:rPr>
          <w:spacing w:val="-7"/>
          <w:sz w:val="25"/>
        </w:rPr>
        <w:t> </w:t>
      </w:r>
      <w:r>
        <w:rPr>
          <w:sz w:val="25"/>
        </w:rPr>
        <w:t>in</w:t>
      </w:r>
      <w:r>
        <w:rPr>
          <w:spacing w:val="-7"/>
          <w:sz w:val="25"/>
        </w:rPr>
        <w:t> </w:t>
      </w:r>
      <w:r>
        <w:rPr>
          <w:spacing w:val="-2"/>
          <w:sz w:val="25"/>
        </w:rPr>
        <w:t>Nigeria.</w:t>
      </w:r>
    </w:p>
    <w:p>
      <w:pPr>
        <w:pStyle w:val="BodyText"/>
        <w:ind w:left="0"/>
      </w:pPr>
    </w:p>
    <w:p>
      <w:pPr>
        <w:pStyle w:val="ListParagraph"/>
        <w:numPr>
          <w:ilvl w:val="0"/>
          <w:numId w:val="28"/>
        </w:numPr>
        <w:tabs>
          <w:tab w:pos="579" w:val="left" w:leader="none"/>
        </w:tabs>
        <w:spacing w:line="240" w:lineRule="auto" w:before="1" w:after="0"/>
        <w:ind w:left="579" w:right="0" w:hanging="359"/>
        <w:jc w:val="left"/>
        <w:rPr>
          <w:sz w:val="25"/>
        </w:rPr>
      </w:pPr>
      <w:r>
        <w:rPr>
          <w:sz w:val="25"/>
        </w:rPr>
        <w:t>Foreign</w:t>
      </w:r>
      <w:r>
        <w:rPr>
          <w:spacing w:val="-8"/>
          <w:sz w:val="25"/>
        </w:rPr>
        <w:t> </w:t>
      </w:r>
      <w:r>
        <w:rPr>
          <w:sz w:val="25"/>
        </w:rPr>
        <w:t>portfolio</w:t>
      </w:r>
      <w:r>
        <w:rPr>
          <w:spacing w:val="-7"/>
          <w:sz w:val="25"/>
        </w:rPr>
        <w:t> </w:t>
      </w:r>
      <w:r>
        <w:rPr>
          <w:sz w:val="25"/>
        </w:rPr>
        <w:t>investment</w:t>
      </w:r>
      <w:r>
        <w:rPr>
          <w:spacing w:val="-7"/>
          <w:sz w:val="25"/>
        </w:rPr>
        <w:t> </w:t>
      </w:r>
      <w:r>
        <w:rPr>
          <w:sz w:val="25"/>
        </w:rPr>
        <w:t>inflow</w:t>
      </w:r>
      <w:r>
        <w:rPr>
          <w:spacing w:val="-8"/>
          <w:sz w:val="25"/>
        </w:rPr>
        <w:t> </w:t>
      </w:r>
      <w:r>
        <w:rPr>
          <w:sz w:val="25"/>
        </w:rPr>
        <w:t>has</w:t>
      </w:r>
      <w:r>
        <w:rPr>
          <w:spacing w:val="-6"/>
          <w:sz w:val="25"/>
        </w:rPr>
        <w:t> </w:t>
      </w:r>
      <w:r>
        <w:rPr>
          <w:sz w:val="25"/>
        </w:rPr>
        <w:t>significant</w:t>
      </w:r>
      <w:r>
        <w:rPr>
          <w:spacing w:val="-8"/>
          <w:sz w:val="25"/>
        </w:rPr>
        <w:t> </w:t>
      </w:r>
      <w:r>
        <w:rPr>
          <w:sz w:val="25"/>
        </w:rPr>
        <w:t>effect</w:t>
      </w:r>
      <w:r>
        <w:rPr>
          <w:spacing w:val="-7"/>
          <w:sz w:val="25"/>
        </w:rPr>
        <w:t> </w:t>
      </w:r>
      <w:r>
        <w:rPr>
          <w:sz w:val="25"/>
        </w:rPr>
        <w:t>on</w:t>
      </w:r>
      <w:r>
        <w:rPr>
          <w:spacing w:val="-7"/>
          <w:sz w:val="25"/>
        </w:rPr>
        <w:t> </w:t>
      </w:r>
      <w:r>
        <w:rPr>
          <w:sz w:val="25"/>
        </w:rPr>
        <w:t>economic</w:t>
      </w:r>
      <w:r>
        <w:rPr>
          <w:spacing w:val="-6"/>
          <w:sz w:val="25"/>
        </w:rPr>
        <w:t> </w:t>
      </w:r>
      <w:r>
        <w:rPr>
          <w:sz w:val="25"/>
        </w:rPr>
        <w:t>growth</w:t>
      </w:r>
      <w:r>
        <w:rPr>
          <w:spacing w:val="-7"/>
          <w:sz w:val="25"/>
        </w:rPr>
        <w:t> </w:t>
      </w:r>
      <w:r>
        <w:rPr>
          <w:sz w:val="25"/>
        </w:rPr>
        <w:t>in</w:t>
      </w:r>
      <w:r>
        <w:rPr>
          <w:spacing w:val="-7"/>
          <w:sz w:val="25"/>
        </w:rPr>
        <w:t> </w:t>
      </w:r>
      <w:r>
        <w:rPr>
          <w:spacing w:val="-2"/>
          <w:sz w:val="25"/>
        </w:rPr>
        <w:t>Nigeria.</w:t>
      </w:r>
    </w:p>
    <w:p>
      <w:pPr>
        <w:pStyle w:val="ListParagraph"/>
        <w:numPr>
          <w:ilvl w:val="0"/>
          <w:numId w:val="28"/>
        </w:numPr>
        <w:tabs>
          <w:tab w:pos="579" w:val="left" w:leader="none"/>
        </w:tabs>
        <w:spacing w:line="240" w:lineRule="auto" w:before="286" w:after="0"/>
        <w:ind w:left="579" w:right="0" w:hanging="359"/>
        <w:jc w:val="left"/>
        <w:rPr>
          <w:sz w:val="25"/>
        </w:rPr>
      </w:pPr>
      <w:r>
        <w:rPr>
          <w:sz w:val="25"/>
        </w:rPr>
        <w:t>Trade</w:t>
      </w:r>
      <w:r>
        <w:rPr>
          <w:spacing w:val="-8"/>
          <w:sz w:val="25"/>
        </w:rPr>
        <w:t> </w:t>
      </w:r>
      <w:r>
        <w:rPr>
          <w:sz w:val="25"/>
        </w:rPr>
        <w:t>openness</w:t>
      </w:r>
      <w:r>
        <w:rPr>
          <w:spacing w:val="-6"/>
          <w:sz w:val="25"/>
        </w:rPr>
        <w:t> </w:t>
      </w:r>
      <w:r>
        <w:rPr>
          <w:sz w:val="25"/>
        </w:rPr>
        <w:t>has</w:t>
      </w:r>
      <w:r>
        <w:rPr>
          <w:spacing w:val="-6"/>
          <w:sz w:val="25"/>
        </w:rPr>
        <w:t> </w:t>
      </w:r>
      <w:r>
        <w:rPr>
          <w:sz w:val="25"/>
        </w:rPr>
        <w:t>significant</w:t>
      </w:r>
      <w:r>
        <w:rPr>
          <w:spacing w:val="-8"/>
          <w:sz w:val="25"/>
        </w:rPr>
        <w:t> </w:t>
      </w:r>
      <w:r>
        <w:rPr>
          <w:sz w:val="25"/>
        </w:rPr>
        <w:t>effect</w:t>
      </w:r>
      <w:r>
        <w:rPr>
          <w:spacing w:val="-7"/>
          <w:sz w:val="25"/>
        </w:rPr>
        <w:t> </w:t>
      </w:r>
      <w:r>
        <w:rPr>
          <w:sz w:val="25"/>
        </w:rPr>
        <w:t>on</w:t>
      </w:r>
      <w:r>
        <w:rPr>
          <w:spacing w:val="-8"/>
          <w:sz w:val="25"/>
        </w:rPr>
        <w:t> </w:t>
      </w:r>
      <w:r>
        <w:rPr>
          <w:sz w:val="25"/>
        </w:rPr>
        <w:t>economic</w:t>
      </w:r>
      <w:r>
        <w:rPr>
          <w:spacing w:val="-7"/>
          <w:sz w:val="25"/>
        </w:rPr>
        <w:t> </w:t>
      </w:r>
      <w:r>
        <w:rPr>
          <w:sz w:val="25"/>
        </w:rPr>
        <w:t>growth</w:t>
      </w:r>
      <w:r>
        <w:rPr>
          <w:spacing w:val="-8"/>
          <w:sz w:val="25"/>
        </w:rPr>
        <w:t> </w:t>
      </w:r>
      <w:r>
        <w:rPr>
          <w:sz w:val="25"/>
        </w:rPr>
        <w:t>in</w:t>
      </w:r>
      <w:r>
        <w:rPr>
          <w:spacing w:val="-7"/>
          <w:sz w:val="25"/>
        </w:rPr>
        <w:t> </w:t>
      </w:r>
      <w:r>
        <w:rPr>
          <w:spacing w:val="-2"/>
          <w:sz w:val="25"/>
        </w:rPr>
        <w:t>Nigeria.</w:t>
      </w:r>
    </w:p>
    <w:p>
      <w:pPr>
        <w:pStyle w:val="BodyText"/>
        <w:spacing w:before="1"/>
        <w:ind w:left="0"/>
      </w:pPr>
    </w:p>
    <w:p>
      <w:pPr>
        <w:pStyle w:val="ListParagraph"/>
        <w:numPr>
          <w:ilvl w:val="0"/>
          <w:numId w:val="28"/>
        </w:numPr>
        <w:tabs>
          <w:tab w:pos="579" w:val="left" w:leader="none"/>
        </w:tabs>
        <w:spacing w:line="240" w:lineRule="auto" w:before="0" w:after="0"/>
        <w:ind w:left="579" w:right="0" w:hanging="359"/>
        <w:jc w:val="left"/>
        <w:rPr>
          <w:sz w:val="25"/>
        </w:rPr>
      </w:pPr>
      <w:r>
        <w:rPr>
          <w:sz w:val="25"/>
        </w:rPr>
        <w:t>Financial</w:t>
      </w:r>
      <w:r>
        <w:rPr>
          <w:spacing w:val="-8"/>
          <w:sz w:val="25"/>
        </w:rPr>
        <w:t> </w:t>
      </w:r>
      <w:r>
        <w:rPr>
          <w:sz w:val="25"/>
        </w:rPr>
        <w:t>deepening</w:t>
      </w:r>
      <w:r>
        <w:rPr>
          <w:spacing w:val="-7"/>
          <w:sz w:val="25"/>
        </w:rPr>
        <w:t> </w:t>
      </w:r>
      <w:r>
        <w:rPr>
          <w:sz w:val="25"/>
        </w:rPr>
        <w:t>has</w:t>
      </w:r>
      <w:r>
        <w:rPr>
          <w:spacing w:val="-4"/>
          <w:sz w:val="25"/>
        </w:rPr>
        <w:t> </w:t>
      </w:r>
      <w:r>
        <w:rPr>
          <w:sz w:val="25"/>
        </w:rPr>
        <w:t>significant</w:t>
      </w:r>
      <w:r>
        <w:rPr>
          <w:spacing w:val="-8"/>
          <w:sz w:val="25"/>
        </w:rPr>
        <w:t> </w:t>
      </w:r>
      <w:r>
        <w:rPr>
          <w:sz w:val="25"/>
        </w:rPr>
        <w:t>effect</w:t>
      </w:r>
      <w:r>
        <w:rPr>
          <w:spacing w:val="-7"/>
          <w:sz w:val="25"/>
        </w:rPr>
        <w:t> </w:t>
      </w:r>
      <w:r>
        <w:rPr>
          <w:sz w:val="25"/>
        </w:rPr>
        <w:t>on</w:t>
      </w:r>
      <w:r>
        <w:rPr>
          <w:spacing w:val="-8"/>
          <w:sz w:val="25"/>
        </w:rPr>
        <w:t> </w:t>
      </w:r>
      <w:r>
        <w:rPr>
          <w:sz w:val="25"/>
        </w:rPr>
        <w:t>economic</w:t>
      </w:r>
      <w:r>
        <w:rPr>
          <w:spacing w:val="-7"/>
          <w:sz w:val="25"/>
        </w:rPr>
        <w:t> </w:t>
      </w:r>
      <w:r>
        <w:rPr>
          <w:sz w:val="25"/>
        </w:rPr>
        <w:t>growth</w:t>
      </w:r>
      <w:r>
        <w:rPr>
          <w:spacing w:val="-7"/>
          <w:sz w:val="25"/>
        </w:rPr>
        <w:t> </w:t>
      </w:r>
      <w:r>
        <w:rPr>
          <w:sz w:val="25"/>
        </w:rPr>
        <w:t>in</w:t>
      </w:r>
      <w:r>
        <w:rPr>
          <w:spacing w:val="-8"/>
          <w:sz w:val="25"/>
        </w:rPr>
        <w:t> </w:t>
      </w:r>
      <w:r>
        <w:rPr>
          <w:spacing w:val="-2"/>
          <w:sz w:val="25"/>
        </w:rPr>
        <w:t>Nigeria.</w:t>
      </w:r>
    </w:p>
    <w:p>
      <w:pPr>
        <w:pStyle w:val="ListParagraph"/>
        <w:numPr>
          <w:ilvl w:val="0"/>
          <w:numId w:val="28"/>
        </w:numPr>
        <w:tabs>
          <w:tab w:pos="579" w:val="left" w:leader="none"/>
        </w:tabs>
        <w:spacing w:line="240" w:lineRule="auto" w:before="287" w:after="0"/>
        <w:ind w:left="579" w:right="0" w:hanging="359"/>
        <w:jc w:val="left"/>
        <w:rPr>
          <w:sz w:val="25"/>
        </w:rPr>
      </w:pPr>
      <w:r>
        <w:rPr>
          <w:sz w:val="25"/>
        </w:rPr>
        <w:t>Foreign</w:t>
      </w:r>
      <w:r>
        <w:rPr>
          <w:spacing w:val="-10"/>
          <w:sz w:val="25"/>
        </w:rPr>
        <w:t> </w:t>
      </w:r>
      <w:r>
        <w:rPr>
          <w:sz w:val="25"/>
        </w:rPr>
        <w:t>remittances</w:t>
      </w:r>
      <w:r>
        <w:rPr>
          <w:spacing w:val="-6"/>
          <w:sz w:val="25"/>
        </w:rPr>
        <w:t> </w:t>
      </w:r>
      <w:r>
        <w:rPr>
          <w:sz w:val="25"/>
        </w:rPr>
        <w:t>have</w:t>
      </w:r>
      <w:r>
        <w:rPr>
          <w:spacing w:val="-8"/>
          <w:sz w:val="25"/>
        </w:rPr>
        <w:t> </w:t>
      </w:r>
      <w:r>
        <w:rPr>
          <w:sz w:val="25"/>
        </w:rPr>
        <w:t>no</w:t>
      </w:r>
      <w:r>
        <w:rPr>
          <w:spacing w:val="-7"/>
          <w:sz w:val="25"/>
        </w:rPr>
        <w:t> </w:t>
      </w:r>
      <w:r>
        <w:rPr>
          <w:sz w:val="25"/>
        </w:rPr>
        <w:t>significant</w:t>
      </w:r>
      <w:r>
        <w:rPr>
          <w:spacing w:val="-7"/>
          <w:sz w:val="25"/>
        </w:rPr>
        <w:t> </w:t>
      </w:r>
      <w:r>
        <w:rPr>
          <w:sz w:val="25"/>
        </w:rPr>
        <w:t>effect</w:t>
      </w:r>
      <w:r>
        <w:rPr>
          <w:spacing w:val="-8"/>
          <w:sz w:val="25"/>
        </w:rPr>
        <w:t> </w:t>
      </w:r>
      <w:r>
        <w:rPr>
          <w:sz w:val="25"/>
        </w:rPr>
        <w:t>on</w:t>
      </w:r>
      <w:r>
        <w:rPr>
          <w:spacing w:val="-7"/>
          <w:sz w:val="25"/>
        </w:rPr>
        <w:t> </w:t>
      </w:r>
      <w:r>
        <w:rPr>
          <w:sz w:val="25"/>
        </w:rPr>
        <w:t>economic</w:t>
      </w:r>
      <w:r>
        <w:rPr>
          <w:spacing w:val="-7"/>
          <w:sz w:val="25"/>
        </w:rPr>
        <w:t> </w:t>
      </w:r>
      <w:r>
        <w:rPr>
          <w:sz w:val="25"/>
        </w:rPr>
        <w:t>growth</w:t>
      </w:r>
      <w:r>
        <w:rPr>
          <w:spacing w:val="-8"/>
          <w:sz w:val="25"/>
        </w:rPr>
        <w:t> </w:t>
      </w:r>
      <w:r>
        <w:rPr>
          <w:sz w:val="25"/>
        </w:rPr>
        <w:t>in</w:t>
      </w:r>
      <w:r>
        <w:rPr>
          <w:spacing w:val="-4"/>
          <w:sz w:val="25"/>
        </w:rPr>
        <w:t> </w:t>
      </w:r>
      <w:r>
        <w:rPr>
          <w:spacing w:val="-2"/>
          <w:sz w:val="25"/>
        </w:rPr>
        <w:t>Nigeria.</w:t>
      </w:r>
    </w:p>
    <w:p>
      <w:pPr>
        <w:pStyle w:val="BodyText"/>
        <w:ind w:left="0"/>
      </w:pPr>
    </w:p>
    <w:p>
      <w:pPr>
        <w:pStyle w:val="ListParagraph"/>
        <w:numPr>
          <w:ilvl w:val="0"/>
          <w:numId w:val="28"/>
        </w:numPr>
        <w:tabs>
          <w:tab w:pos="579" w:val="left" w:leader="none"/>
        </w:tabs>
        <w:spacing w:line="240" w:lineRule="auto" w:before="1" w:after="0"/>
        <w:ind w:left="579" w:right="0" w:hanging="359"/>
        <w:jc w:val="left"/>
        <w:rPr>
          <w:sz w:val="25"/>
        </w:rPr>
      </w:pPr>
      <w:r>
        <w:rPr>
          <w:sz w:val="25"/>
        </w:rPr>
        <w:t>Official</w:t>
      </w:r>
      <w:r>
        <w:rPr>
          <w:spacing w:val="-8"/>
          <w:sz w:val="25"/>
        </w:rPr>
        <w:t> </w:t>
      </w:r>
      <w:r>
        <w:rPr>
          <w:sz w:val="25"/>
        </w:rPr>
        <w:t>development</w:t>
      </w:r>
      <w:r>
        <w:rPr>
          <w:spacing w:val="-7"/>
          <w:sz w:val="25"/>
        </w:rPr>
        <w:t> </w:t>
      </w:r>
      <w:r>
        <w:rPr>
          <w:sz w:val="25"/>
        </w:rPr>
        <w:t>assistance</w:t>
      </w:r>
      <w:r>
        <w:rPr>
          <w:spacing w:val="-9"/>
          <w:sz w:val="25"/>
        </w:rPr>
        <w:t> </w:t>
      </w:r>
      <w:r>
        <w:rPr>
          <w:sz w:val="25"/>
        </w:rPr>
        <w:t>has</w:t>
      </w:r>
      <w:r>
        <w:rPr>
          <w:spacing w:val="-6"/>
          <w:sz w:val="25"/>
        </w:rPr>
        <w:t> </w:t>
      </w:r>
      <w:r>
        <w:rPr>
          <w:sz w:val="25"/>
        </w:rPr>
        <w:t>significant</w:t>
      </w:r>
      <w:r>
        <w:rPr>
          <w:spacing w:val="-8"/>
          <w:sz w:val="25"/>
        </w:rPr>
        <w:t> </w:t>
      </w:r>
      <w:r>
        <w:rPr>
          <w:sz w:val="25"/>
        </w:rPr>
        <w:t>effect</w:t>
      </w:r>
      <w:r>
        <w:rPr>
          <w:spacing w:val="-7"/>
          <w:sz w:val="25"/>
        </w:rPr>
        <w:t> </w:t>
      </w:r>
      <w:r>
        <w:rPr>
          <w:sz w:val="25"/>
        </w:rPr>
        <w:t>on</w:t>
      </w:r>
      <w:r>
        <w:rPr>
          <w:spacing w:val="-8"/>
          <w:sz w:val="25"/>
        </w:rPr>
        <w:t> </w:t>
      </w:r>
      <w:r>
        <w:rPr>
          <w:sz w:val="25"/>
        </w:rPr>
        <w:t>economic</w:t>
      </w:r>
      <w:r>
        <w:rPr>
          <w:spacing w:val="-7"/>
          <w:sz w:val="25"/>
        </w:rPr>
        <w:t> </w:t>
      </w:r>
      <w:r>
        <w:rPr>
          <w:sz w:val="25"/>
        </w:rPr>
        <w:t>growth</w:t>
      </w:r>
      <w:r>
        <w:rPr>
          <w:spacing w:val="-8"/>
          <w:sz w:val="25"/>
        </w:rPr>
        <w:t> </w:t>
      </w:r>
      <w:r>
        <w:rPr>
          <w:sz w:val="25"/>
        </w:rPr>
        <w:t>in</w:t>
      </w:r>
      <w:r>
        <w:rPr>
          <w:spacing w:val="-7"/>
          <w:sz w:val="25"/>
        </w:rPr>
        <w:t> </w:t>
      </w:r>
      <w:r>
        <w:rPr>
          <w:spacing w:val="-2"/>
          <w:sz w:val="25"/>
        </w:rPr>
        <w:t>Nigeria.</w:t>
      </w:r>
    </w:p>
    <w:p>
      <w:pPr>
        <w:spacing w:after="0" w:line="240" w:lineRule="auto"/>
        <w:jc w:val="left"/>
        <w:rPr>
          <w:sz w:val="25"/>
        </w:rPr>
        <w:sectPr>
          <w:pgSz w:w="12240" w:h="15840"/>
          <w:pgMar w:header="0" w:footer="1012" w:top="1380" w:bottom="1200" w:left="1220" w:right="700"/>
        </w:sectPr>
      </w:pPr>
    </w:p>
    <w:p>
      <w:pPr>
        <w:pStyle w:val="Heading2"/>
        <w:numPr>
          <w:ilvl w:val="1"/>
          <w:numId w:val="27"/>
        </w:numPr>
        <w:tabs>
          <w:tab w:pos="593" w:val="left" w:leader="none"/>
        </w:tabs>
        <w:spacing w:line="240" w:lineRule="auto" w:before="60" w:after="0"/>
        <w:ind w:left="593" w:right="0" w:hanging="373"/>
        <w:jc w:val="left"/>
      </w:pPr>
      <w:bookmarkStart w:name="_TOC_250004" w:id="71"/>
      <w:bookmarkEnd w:id="71"/>
      <w:r>
        <w:rPr>
          <w:spacing w:val="-2"/>
        </w:rPr>
        <w:t>Conclusion</w:t>
      </w:r>
    </w:p>
    <w:p>
      <w:pPr>
        <w:pStyle w:val="BodyText"/>
        <w:spacing w:before="161"/>
        <w:ind w:left="0"/>
        <w:rPr>
          <w:b/>
        </w:rPr>
      </w:pPr>
    </w:p>
    <w:p>
      <w:pPr>
        <w:pStyle w:val="BodyText"/>
        <w:spacing w:line="480" w:lineRule="auto"/>
        <w:ind w:right="505"/>
      </w:pPr>
      <w:r>
        <w:rPr/>
        <w:t>The study examined the effect of financial integration on economic growth in Nigeria using time</w:t>
      </w:r>
      <w:r>
        <w:rPr>
          <w:spacing w:val="55"/>
        </w:rPr>
        <w:t> </w:t>
      </w:r>
      <w:r>
        <w:rPr/>
        <w:t>series</w:t>
      </w:r>
      <w:r>
        <w:rPr>
          <w:spacing w:val="57"/>
        </w:rPr>
        <w:t> </w:t>
      </w:r>
      <w:r>
        <w:rPr/>
        <w:t>data</w:t>
      </w:r>
      <w:r>
        <w:rPr>
          <w:spacing w:val="55"/>
        </w:rPr>
        <w:t> </w:t>
      </w:r>
      <w:r>
        <w:rPr/>
        <w:t>from</w:t>
      </w:r>
      <w:r>
        <w:rPr>
          <w:spacing w:val="54"/>
        </w:rPr>
        <w:t> </w:t>
      </w:r>
      <w:r>
        <w:rPr/>
        <w:t>1986</w:t>
      </w:r>
      <w:r>
        <w:rPr>
          <w:spacing w:val="56"/>
        </w:rPr>
        <w:t> </w:t>
      </w:r>
      <w:r>
        <w:rPr/>
        <w:t>to</w:t>
      </w:r>
      <w:r>
        <w:rPr>
          <w:spacing w:val="55"/>
        </w:rPr>
        <w:t> </w:t>
      </w:r>
      <w:r>
        <w:rPr/>
        <w:t>2020.</w:t>
      </w:r>
      <w:r>
        <w:rPr>
          <w:spacing w:val="56"/>
        </w:rPr>
        <w:t> </w:t>
      </w:r>
      <w:r>
        <w:rPr/>
        <w:t>The</w:t>
      </w:r>
      <w:r>
        <w:rPr>
          <w:spacing w:val="56"/>
        </w:rPr>
        <w:t> </w:t>
      </w:r>
      <w:r>
        <w:rPr/>
        <w:t>results</w:t>
      </w:r>
      <w:r>
        <w:rPr>
          <w:spacing w:val="58"/>
        </w:rPr>
        <w:t> </w:t>
      </w:r>
      <w:r>
        <w:rPr/>
        <w:t>showed</w:t>
      </w:r>
      <w:r>
        <w:rPr>
          <w:spacing w:val="54"/>
        </w:rPr>
        <w:t> </w:t>
      </w:r>
      <w:r>
        <w:rPr/>
        <w:t>that</w:t>
      </w:r>
      <w:r>
        <w:rPr>
          <w:spacing w:val="56"/>
        </w:rPr>
        <w:t> </w:t>
      </w:r>
      <w:r>
        <w:rPr/>
        <w:t>foreign</w:t>
      </w:r>
      <w:r>
        <w:rPr>
          <w:spacing w:val="56"/>
        </w:rPr>
        <w:t> </w:t>
      </w:r>
      <w:r>
        <w:rPr/>
        <w:t>direct</w:t>
      </w:r>
      <w:r>
        <w:rPr>
          <w:spacing w:val="56"/>
        </w:rPr>
        <w:t> </w:t>
      </w:r>
      <w:r>
        <w:rPr>
          <w:spacing w:val="-2"/>
        </w:rPr>
        <w:t>investment</w:t>
      </w:r>
    </w:p>
    <w:p>
      <w:pPr>
        <w:pStyle w:val="BodyText"/>
        <w:spacing w:line="285" w:lineRule="exact"/>
      </w:pPr>
      <w:r>
        <w:rPr/>
        <mc:AlternateContent>
          <mc:Choice Requires="wps">
            <w:drawing>
              <wp:anchor distT="0" distB="0" distL="0" distR="0" allowOverlap="1" layoutInCell="1" locked="0" behindDoc="1" simplePos="0" relativeHeight="478108672">
                <wp:simplePos x="0" y="0"/>
                <wp:positionH relativeFrom="page">
                  <wp:posOffset>950112</wp:posOffset>
                </wp:positionH>
                <wp:positionV relativeFrom="paragraph">
                  <wp:posOffset>85436</wp:posOffset>
                </wp:positionV>
                <wp:extent cx="5505450" cy="5661025"/>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6.727295pt;width:433.5pt;height:445.75pt;mso-position-horizontal-relative:page;mso-position-vertical-relative:paragraph;z-index:-25207808" id="docshape212" coordorigin="1496,135" coordsize="8670,8915" path="m2562,8854l1691,7983,1496,8178,2367,9049,2562,8854xm3154,8178l3153,8139,3148,8096,3139,8052,3125,8008,3106,7965,3083,7921,3055,7879,3025,7838,2991,7798,2954,7759,2435,7239,2241,7434,2772,7965,2805,8001,2829,8037,2846,8071,2856,8106,2858,8138,2851,8169,2837,8197,2816,8224,2790,8245,2761,8259,2730,8265,2697,8263,2663,8253,2628,8237,2593,8212,2557,8181,2026,7649,1831,7843,2351,8362,2385,8395,2424,8427,2468,8459,2516,8492,2548,8511,2583,8526,2620,8540,2658,8550,2697,8558,2733,8562,2767,8562,2800,8559,2831,8552,2863,8540,2895,8524,2926,8503,2957,8480,2985,8457,3011,8434,3035,8412,3071,8371,3102,8331,3125,8289,3142,8247,3150,8214,3154,8178xm3882,7395l3876,7331,3860,7265,3834,7199,3806,7144,3771,7088,3728,7031,3678,6972,3661,6953,3621,6911,3597,6889,3597,7383,3592,7423,3577,7460,3551,7493,3518,7518,3481,7533,3441,7538,3396,7532,3347,7513,3294,7482,3235,7437,3171,7378,3112,7314,3066,7255,3035,7200,3016,7151,3010,7107,3014,7067,3029,7031,3053,6999,3086,6973,3122,6958,3163,6953,3207,6958,3255,6975,3307,7005,3363,7047,3423,7102,3488,7172,3538,7235,3572,7291,3591,7339,3597,7383,3597,6889,3551,6846,3482,6791,3413,6746,3344,6711,3276,6685,3209,6669,3130,6663,3055,6673,2983,6699,2914,6739,2850,6795,2796,6858,2756,6926,2732,6998,2723,7073,2729,7153,2746,7221,2772,7290,2808,7360,2854,7430,2910,7500,2976,7571,3036,7628,3096,7678,3156,7720,3215,7755,3273,7782,3344,7806,3411,7820,3475,7823,3535,7817,3593,7801,3649,7774,3705,7736,3758,7688,3805,7634,3841,7578,3858,7538,3866,7519,3879,7458,3882,7395xm4153,6815l3966,6628,3712,6883,3899,7070,4153,6815xm4664,6753l3793,5882,3598,6077,4469,6948,4664,6753xm4998,6419l4675,6095,4781,5989,4832,5929,4837,5919,4866,5867,4883,5804,4882,5739,4866,5674,4843,5623,4836,5608,4792,5542,4733,5476,4670,5419,4607,5376,4598,5371,4598,5765,4597,5790,4587,5816,4570,5843,4546,5871,4498,5919,4304,5724,4359,5669,4386,5646,4412,5630,4438,5623,4462,5623,4486,5630,4509,5640,4531,5654,4552,5673,4570,5694,4584,5717,4593,5740,4598,5765,4598,5371,4544,5346,4483,5330,4423,5329,4365,5344,4309,5374,4255,5419,3931,5743,4803,6614,4998,6419xm5788,5629l5132,4973,5330,4774,5115,4559,4524,5151,4739,5366,4937,5167,5593,5823,5788,5629xm6423,4993l5767,4337,5966,4139,5751,3924,5159,4515,5374,4730,5573,4532,6229,5188,6423,4993xm7157,4120l7151,4056,7135,3990,7109,3924,7081,3869,7046,3813,7003,3756,6953,3697,6935,3678,6896,3637,6872,3614,6872,4108,6867,4148,6851,4185,6825,4218,6793,4244,6756,4259,6716,4263,6671,4257,6622,4238,6569,4207,6510,4162,6446,4103,6387,4039,6341,3980,6309,3925,6291,3876,6285,3832,6289,3792,6304,3756,6328,3724,6361,3699,6397,3683,6438,3678,6482,3683,6530,3701,6582,3730,6638,3773,6698,3828,6763,3897,6813,3960,6847,4016,6866,4065,6872,4108,6872,3614,6826,3571,6756,3516,6687,3471,6619,3436,6551,3410,6483,3394,6405,3389,6329,3399,6258,3424,6189,3464,6125,3520,6071,3583,6031,3651,6007,3723,5998,3798,6004,3878,6021,3946,6047,4015,6083,4085,6129,4155,6184,4225,6250,4296,6311,4353,6371,4403,6431,4445,6490,4480,6548,4507,6619,4531,6686,4545,6750,4549,6810,4542,6868,4526,6924,4499,6979,4461,7033,4413,7080,4359,7116,4303,7133,4263,7141,4244,7154,4183,7157,4120xm8170,3125l8165,3076,8153,3025,8134,2973,8109,2918,8079,2862,8041,2805,7980,2830,7799,2904,7831,2951,7855,2994,7873,3034,7884,3072,7887,3107,7881,3140,7866,3171,7843,3200,7812,3224,7778,3238,7740,3242,7700,3236,7653,3217,7600,3183,7538,3134,7469,3069,7417,3013,7375,2961,7344,2913,7324,2870,7311,2819,7312,2772,7325,2731,7352,2695,7367,2682,7384,2672,7402,2664,7422,2659,7442,2657,7464,2658,7486,2661,7509,2667,7524,2673,7542,2681,7563,2692,7586,2706,7705,2481,7622,2435,7543,2403,7469,2384,7400,2378,7333,2386,7269,2408,7206,2446,7146,2499,7092,2561,7054,2628,7030,2698,7021,2772,7027,2850,7044,2917,7070,2984,7106,3053,7153,3123,7209,3194,7276,3266,7341,3326,7404,3378,7467,3422,7529,3457,7590,3485,7662,3508,7730,3521,7791,3524,7847,3517,7900,3500,7952,3474,8004,3437,8056,3391,8094,3348,8125,3305,8147,3261,8161,3217,8169,3172,8170,3125xm8868,2409l8861,2345,8846,2280,8820,2213,8792,2158,8757,2102,8714,2045,8664,1986,8646,1967,8607,1926,8583,1903,8583,2397,8578,2437,8562,2474,8536,2507,8504,2533,8467,2548,8427,2552,8382,2546,8333,2528,8279,2496,8221,2451,8157,2392,8098,2328,8052,2269,8020,2215,8002,2166,7996,2121,8000,2081,8014,2045,8039,2013,8071,1988,8108,1972,8149,1967,8193,1972,8241,1990,8293,2019,8349,2062,8409,2117,8474,2186,8524,2249,8558,2305,8577,2354,8583,2397,8583,1903,8537,1860,8467,1805,8398,1760,8330,1725,8262,1699,8194,1683,8116,1678,8040,1688,7968,1713,7900,1754,7835,1809,7781,1873,7742,1940,7718,2012,7709,2088,7715,2167,7731,2236,7758,2305,7794,2374,7839,2444,7895,2515,7961,2585,8022,2643,8082,2692,8142,2734,8201,2769,8259,2796,8329,2821,8397,2834,8461,2838,8521,2831,8579,2815,8635,2788,8690,2750,8744,2702,8791,2648,8827,2592,8844,2552,8852,2533,8865,2472,8868,2409xm9348,2068l9025,1745,9132,1638,9182,1578,9188,1569,9216,1517,9233,1454,9233,1389,9217,1323,9194,1272,9187,1257,9142,1192,9084,1126,9020,1068,8957,1025,8948,1021,8948,1414,8947,1440,8938,1466,8921,1493,8896,1521,8849,1569,8654,1374,8710,1319,8737,1295,8763,1280,8788,1272,8812,1273,8836,1279,8859,1290,8881,1304,8902,1323,8920,1344,8934,1367,8943,1390,8948,1414,8948,1021,8895,996,8833,980,8773,979,8715,994,8659,1024,8605,1069,8282,1393,9153,2264,9348,2068xm10166,1251l9801,886,9748,736,9593,285,9540,135,9325,350,9353,420,9436,631,9492,771,9422,743,9211,660,9071,604,8854,820,9005,873,9456,1028,9606,1081,9971,1446,10166,1251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09184">
                <wp:simplePos x="0" y="0"/>
                <wp:positionH relativeFrom="page">
                  <wp:posOffset>896416</wp:posOffset>
                </wp:positionH>
                <wp:positionV relativeFrom="paragraph">
                  <wp:posOffset>-923</wp:posOffset>
                </wp:positionV>
                <wp:extent cx="5981065" cy="5944870"/>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5981065" cy="5944870"/>
                        </a:xfrm>
                        <a:custGeom>
                          <a:avLst/>
                          <a:gdLst/>
                          <a:ahLst/>
                          <a:cxnLst/>
                          <a:rect l="l" t="t" r="r" b="b"/>
                          <a:pathLst>
                            <a:path w="5981065" h="5944870">
                              <a:moveTo>
                                <a:pt x="5981065" y="5214315"/>
                              </a:moveTo>
                              <a:lnTo>
                                <a:pt x="0" y="5214315"/>
                              </a:lnTo>
                              <a:lnTo>
                                <a:pt x="0" y="5578856"/>
                              </a:lnTo>
                              <a:lnTo>
                                <a:pt x="0" y="5944616"/>
                              </a:lnTo>
                              <a:lnTo>
                                <a:pt x="5981065" y="5944616"/>
                              </a:lnTo>
                              <a:lnTo>
                                <a:pt x="5981065" y="5578856"/>
                              </a:lnTo>
                              <a:lnTo>
                                <a:pt x="5981065" y="5214315"/>
                              </a:lnTo>
                              <a:close/>
                            </a:path>
                            <a:path w="5981065" h="5944870">
                              <a:moveTo>
                                <a:pt x="5981065" y="730072"/>
                              </a:moveTo>
                              <a:lnTo>
                                <a:pt x="0" y="730072"/>
                              </a:lnTo>
                              <a:lnTo>
                                <a:pt x="0" y="1096137"/>
                              </a:lnTo>
                              <a:lnTo>
                                <a:pt x="0" y="1461897"/>
                              </a:lnTo>
                              <a:lnTo>
                                <a:pt x="0" y="5214239"/>
                              </a:lnTo>
                              <a:lnTo>
                                <a:pt x="5981065" y="5214239"/>
                              </a:lnTo>
                              <a:lnTo>
                                <a:pt x="5981065" y="1096137"/>
                              </a:lnTo>
                              <a:lnTo>
                                <a:pt x="5981065" y="730072"/>
                              </a:lnTo>
                              <a:close/>
                            </a:path>
                            <a:path w="5981065" h="5944870">
                              <a:moveTo>
                                <a:pt x="5981065" y="365772"/>
                              </a:moveTo>
                              <a:lnTo>
                                <a:pt x="0" y="365772"/>
                              </a:lnTo>
                              <a:lnTo>
                                <a:pt x="0" y="729996"/>
                              </a:lnTo>
                              <a:lnTo>
                                <a:pt x="5981065" y="729996"/>
                              </a:lnTo>
                              <a:lnTo>
                                <a:pt x="5981065" y="365772"/>
                              </a:lnTo>
                              <a:close/>
                            </a:path>
                            <a:path w="5981065" h="5944870">
                              <a:moveTo>
                                <a:pt x="5981065" y="0"/>
                              </a:moveTo>
                              <a:lnTo>
                                <a:pt x="0" y="0"/>
                              </a:lnTo>
                              <a:lnTo>
                                <a:pt x="0" y="365760"/>
                              </a:lnTo>
                              <a:lnTo>
                                <a:pt x="5981065" y="365760"/>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072706pt;width:470.95pt;height:468.1pt;mso-position-horizontal-relative:page;mso-position-vertical-relative:paragraph;z-index:-25207296" id="docshape213" coordorigin="1412,-1" coordsize="9419,9362" path="m10831,8210l1412,8210,1412,8784,1412,9360,10831,9360,10831,8784,10831,8210xm10831,1148l1412,1148,1412,1725,1412,2301,1412,2874,1412,3450,1412,4185,1412,4761,1412,4761,1412,5335,1412,5911,1412,6484,1412,7060,1412,7634,1412,8210,10831,8210,10831,7634,10831,7060,10831,6484,10831,5911,10831,5335,10831,4761,10831,4761,10831,4185,10831,3450,10831,2874,10831,2301,10831,1725,10831,1148xm10831,575l1412,575,1412,1148,10831,1148,10831,575xm10831,-1l1412,-1,1412,575,10831,575,10831,-1xe" filled="true" fillcolor="#ffffff" stroked="false">
                <v:path arrowok="t"/>
                <v:fill type="solid"/>
                <w10:wrap type="none"/>
              </v:shape>
            </w:pict>
          </mc:Fallback>
        </mc:AlternateContent>
      </w:r>
      <w:r>
        <w:rPr/>
        <w:t>inflows,</w:t>
      </w:r>
      <w:r>
        <w:rPr>
          <w:spacing w:val="59"/>
        </w:rPr>
        <w:t> </w:t>
      </w:r>
      <w:r>
        <w:rPr/>
        <w:t>foreign</w:t>
      </w:r>
      <w:r>
        <w:rPr>
          <w:spacing w:val="60"/>
        </w:rPr>
        <w:t> </w:t>
      </w:r>
      <w:r>
        <w:rPr/>
        <w:t>portfolio</w:t>
      </w:r>
      <w:r>
        <w:rPr>
          <w:spacing w:val="60"/>
        </w:rPr>
        <w:t> </w:t>
      </w:r>
      <w:r>
        <w:rPr/>
        <w:t>investment</w:t>
      </w:r>
      <w:r>
        <w:rPr>
          <w:spacing w:val="61"/>
        </w:rPr>
        <w:t> </w:t>
      </w:r>
      <w:r>
        <w:rPr/>
        <w:t>inflows,</w:t>
      </w:r>
      <w:r>
        <w:rPr>
          <w:spacing w:val="64"/>
        </w:rPr>
        <w:t> </w:t>
      </w:r>
      <w:r>
        <w:rPr/>
        <w:t>financial</w:t>
      </w:r>
      <w:r>
        <w:rPr>
          <w:spacing w:val="61"/>
        </w:rPr>
        <w:t> </w:t>
      </w:r>
      <w:r>
        <w:rPr/>
        <w:t>deepening,</w:t>
      </w:r>
      <w:r>
        <w:rPr>
          <w:spacing w:val="65"/>
        </w:rPr>
        <w:t> </w:t>
      </w:r>
      <w:r>
        <w:rPr/>
        <w:t>official</w:t>
      </w:r>
      <w:r>
        <w:rPr>
          <w:spacing w:val="59"/>
        </w:rPr>
        <w:t> </w:t>
      </w:r>
      <w:r>
        <w:rPr>
          <w:spacing w:val="-2"/>
        </w:rPr>
        <w:t>development</w:t>
      </w:r>
    </w:p>
    <w:p>
      <w:pPr>
        <w:pStyle w:val="BodyText"/>
        <w:spacing w:before="1"/>
        <w:ind w:left="0"/>
      </w:pPr>
    </w:p>
    <w:p>
      <w:pPr>
        <w:pStyle w:val="BodyText"/>
      </w:pPr>
      <w:r>
        <w:rPr/>
        <w:t>assistance</w:t>
      </w:r>
      <w:r>
        <w:rPr>
          <w:spacing w:val="-2"/>
        </w:rPr>
        <w:t> </w:t>
      </w:r>
      <w:r>
        <w:rPr/>
        <w:t>and</w:t>
      </w:r>
      <w:r>
        <w:rPr>
          <w:spacing w:val="-1"/>
        </w:rPr>
        <w:t> </w:t>
      </w:r>
      <w:r>
        <w:rPr/>
        <w:t>trade</w:t>
      </w:r>
      <w:r>
        <w:rPr>
          <w:spacing w:val="-1"/>
        </w:rPr>
        <w:t> </w:t>
      </w:r>
      <w:r>
        <w:rPr/>
        <w:t>openness have</w:t>
      </w:r>
      <w:r>
        <w:rPr>
          <w:spacing w:val="-2"/>
        </w:rPr>
        <w:t> </w:t>
      </w:r>
      <w:r>
        <w:rPr/>
        <w:t>significant</w:t>
      </w:r>
      <w:r>
        <w:rPr>
          <w:spacing w:val="1"/>
        </w:rPr>
        <w:t> </w:t>
      </w:r>
      <w:r>
        <w:rPr/>
        <w:t>positive</w:t>
      </w:r>
      <w:r>
        <w:rPr>
          <w:spacing w:val="-1"/>
        </w:rPr>
        <w:t> </w:t>
      </w:r>
      <w:r>
        <w:rPr/>
        <w:t>effect</w:t>
      </w:r>
      <w:r>
        <w:rPr>
          <w:spacing w:val="-1"/>
        </w:rPr>
        <w:t> </w:t>
      </w:r>
      <w:r>
        <w:rPr/>
        <w:t>on</w:t>
      </w:r>
      <w:r>
        <w:rPr>
          <w:spacing w:val="1"/>
        </w:rPr>
        <w:t> </w:t>
      </w:r>
      <w:r>
        <w:rPr/>
        <w:t>economic</w:t>
      </w:r>
      <w:r>
        <w:rPr>
          <w:spacing w:val="-1"/>
        </w:rPr>
        <w:t> </w:t>
      </w:r>
      <w:r>
        <w:rPr/>
        <w:t>growth</w:t>
      </w:r>
      <w:r>
        <w:rPr>
          <w:spacing w:val="-1"/>
        </w:rPr>
        <w:t> </w:t>
      </w:r>
      <w:r>
        <w:rPr/>
        <w:t>in</w:t>
      </w:r>
      <w:r>
        <w:rPr>
          <w:spacing w:val="1"/>
        </w:rPr>
        <w:t> </w:t>
      </w:r>
      <w:r>
        <w:rPr>
          <w:spacing w:val="-2"/>
        </w:rPr>
        <w:t>Nigeria</w:t>
      </w:r>
    </w:p>
    <w:p>
      <w:pPr>
        <w:pStyle w:val="BodyText"/>
        <w:spacing w:before="286"/>
      </w:pPr>
      <w:r>
        <w:rPr/>
        <w:t>within</w:t>
      </w:r>
      <w:r>
        <w:rPr>
          <w:spacing w:val="69"/>
        </w:rPr>
        <w:t> </w:t>
      </w:r>
      <w:r>
        <w:rPr/>
        <w:t>the</w:t>
      </w:r>
      <w:r>
        <w:rPr>
          <w:spacing w:val="72"/>
        </w:rPr>
        <w:t> </w:t>
      </w:r>
      <w:r>
        <w:rPr/>
        <w:t>period</w:t>
      </w:r>
      <w:r>
        <w:rPr>
          <w:spacing w:val="70"/>
        </w:rPr>
        <w:t> </w:t>
      </w:r>
      <w:r>
        <w:rPr/>
        <w:t>under</w:t>
      </w:r>
      <w:r>
        <w:rPr>
          <w:spacing w:val="70"/>
        </w:rPr>
        <w:t> </w:t>
      </w:r>
      <w:r>
        <w:rPr/>
        <w:t>review.</w:t>
      </w:r>
      <w:r>
        <w:rPr>
          <w:spacing w:val="70"/>
        </w:rPr>
        <w:t> </w:t>
      </w:r>
      <w:r>
        <w:rPr/>
        <w:t>Furthermore,</w:t>
      </w:r>
      <w:r>
        <w:rPr>
          <w:spacing w:val="69"/>
        </w:rPr>
        <w:t> </w:t>
      </w:r>
      <w:r>
        <w:rPr/>
        <w:t>foreign</w:t>
      </w:r>
      <w:r>
        <w:rPr>
          <w:spacing w:val="69"/>
        </w:rPr>
        <w:t> </w:t>
      </w:r>
      <w:r>
        <w:rPr/>
        <w:t>remittances</w:t>
      </w:r>
      <w:r>
        <w:rPr>
          <w:spacing w:val="69"/>
        </w:rPr>
        <w:t> </w:t>
      </w:r>
      <w:r>
        <w:rPr/>
        <w:t>were</w:t>
      </w:r>
      <w:r>
        <w:rPr>
          <w:spacing w:val="69"/>
        </w:rPr>
        <w:t> </w:t>
      </w:r>
      <w:r>
        <w:rPr/>
        <w:t>found</w:t>
      </w:r>
      <w:r>
        <w:rPr>
          <w:spacing w:val="72"/>
        </w:rPr>
        <w:t> </w:t>
      </w:r>
      <w:r>
        <w:rPr/>
        <w:t>to</w:t>
      </w:r>
      <w:r>
        <w:rPr>
          <w:spacing w:val="70"/>
        </w:rPr>
        <w:t> </w:t>
      </w:r>
      <w:r>
        <w:rPr>
          <w:spacing w:val="-4"/>
        </w:rPr>
        <w:t>have</w:t>
      </w:r>
    </w:p>
    <w:p>
      <w:pPr>
        <w:pStyle w:val="BodyText"/>
        <w:spacing w:before="1"/>
        <w:ind w:left="0"/>
      </w:pPr>
    </w:p>
    <w:p>
      <w:pPr>
        <w:pStyle w:val="BodyText"/>
        <w:spacing w:before="1"/>
      </w:pPr>
      <w:r>
        <w:rPr/>
        <w:t>insignificant</w:t>
      </w:r>
      <w:r>
        <w:rPr>
          <w:spacing w:val="32"/>
        </w:rPr>
        <w:t> </w:t>
      </w:r>
      <w:r>
        <w:rPr/>
        <w:t>negative</w:t>
      </w:r>
      <w:r>
        <w:rPr>
          <w:spacing w:val="36"/>
        </w:rPr>
        <w:t> </w:t>
      </w:r>
      <w:r>
        <w:rPr/>
        <w:t>effect</w:t>
      </w:r>
      <w:r>
        <w:rPr>
          <w:spacing w:val="34"/>
        </w:rPr>
        <w:t> </w:t>
      </w:r>
      <w:r>
        <w:rPr/>
        <w:t>on</w:t>
      </w:r>
      <w:r>
        <w:rPr>
          <w:spacing w:val="33"/>
        </w:rPr>
        <w:t> </w:t>
      </w:r>
      <w:r>
        <w:rPr/>
        <w:t>economic</w:t>
      </w:r>
      <w:r>
        <w:rPr>
          <w:spacing w:val="33"/>
        </w:rPr>
        <w:t> </w:t>
      </w:r>
      <w:r>
        <w:rPr/>
        <w:t>growth</w:t>
      </w:r>
      <w:r>
        <w:rPr>
          <w:spacing w:val="33"/>
        </w:rPr>
        <w:t> </w:t>
      </w:r>
      <w:r>
        <w:rPr/>
        <w:t>in</w:t>
      </w:r>
      <w:r>
        <w:rPr>
          <w:spacing w:val="34"/>
        </w:rPr>
        <w:t> </w:t>
      </w:r>
      <w:r>
        <w:rPr/>
        <w:t>Nigeria.</w:t>
      </w:r>
      <w:r>
        <w:rPr>
          <w:spacing w:val="36"/>
        </w:rPr>
        <w:t> </w:t>
      </w:r>
      <w:r>
        <w:rPr/>
        <w:t>Based</w:t>
      </w:r>
      <w:r>
        <w:rPr>
          <w:spacing w:val="35"/>
        </w:rPr>
        <w:t> </w:t>
      </w:r>
      <w:r>
        <w:rPr/>
        <w:t>on</w:t>
      </w:r>
      <w:r>
        <w:rPr>
          <w:spacing w:val="33"/>
        </w:rPr>
        <w:t> </w:t>
      </w:r>
      <w:r>
        <w:rPr/>
        <w:t>the</w:t>
      </w:r>
      <w:r>
        <w:rPr>
          <w:spacing w:val="33"/>
        </w:rPr>
        <w:t> </w:t>
      </w:r>
      <w:r>
        <w:rPr/>
        <w:t>foregoing,</w:t>
      </w:r>
      <w:r>
        <w:rPr>
          <w:spacing w:val="34"/>
        </w:rPr>
        <w:t> </w:t>
      </w:r>
      <w:r>
        <w:rPr>
          <w:spacing w:val="-5"/>
        </w:rPr>
        <w:t>the</w:t>
      </w:r>
    </w:p>
    <w:p>
      <w:pPr>
        <w:pStyle w:val="BodyText"/>
        <w:ind w:left="0"/>
      </w:pPr>
    </w:p>
    <w:p>
      <w:pPr>
        <w:pStyle w:val="BodyText"/>
        <w:spacing w:before="1"/>
      </w:pPr>
      <w:r>
        <w:rPr/>
        <w:t>study</w:t>
      </w:r>
      <w:r>
        <w:rPr>
          <w:spacing w:val="-8"/>
        </w:rPr>
        <w:t> </w:t>
      </w:r>
      <w:r>
        <w:rPr/>
        <w:t>concludes</w:t>
      </w:r>
      <w:r>
        <w:rPr>
          <w:spacing w:val="-7"/>
        </w:rPr>
        <w:t> </w:t>
      </w:r>
      <w:r>
        <w:rPr/>
        <w:t>that</w:t>
      </w:r>
      <w:r>
        <w:rPr>
          <w:spacing w:val="-4"/>
        </w:rPr>
        <w:t> </w:t>
      </w:r>
      <w:r>
        <w:rPr/>
        <w:t>financial</w:t>
      </w:r>
      <w:r>
        <w:rPr>
          <w:spacing w:val="-8"/>
        </w:rPr>
        <w:t> </w:t>
      </w:r>
      <w:r>
        <w:rPr/>
        <w:t>integration</w:t>
      </w:r>
      <w:r>
        <w:rPr>
          <w:spacing w:val="-5"/>
        </w:rPr>
        <w:t> </w:t>
      </w:r>
      <w:r>
        <w:rPr/>
        <w:t>has</w:t>
      </w:r>
      <w:r>
        <w:rPr>
          <w:spacing w:val="-6"/>
        </w:rPr>
        <w:t> </w:t>
      </w:r>
      <w:r>
        <w:rPr/>
        <w:t>significant</w:t>
      </w:r>
      <w:r>
        <w:rPr>
          <w:spacing w:val="-8"/>
        </w:rPr>
        <w:t> </w:t>
      </w:r>
      <w:r>
        <w:rPr/>
        <w:t>positive</w:t>
      </w:r>
      <w:r>
        <w:rPr>
          <w:spacing w:val="-7"/>
        </w:rPr>
        <w:t> </w:t>
      </w:r>
      <w:r>
        <w:rPr/>
        <w:t>impact</w:t>
      </w:r>
      <w:r>
        <w:rPr>
          <w:spacing w:val="-8"/>
        </w:rPr>
        <w:t> </w:t>
      </w:r>
      <w:r>
        <w:rPr/>
        <w:t>on</w:t>
      </w:r>
      <w:r>
        <w:rPr>
          <w:spacing w:val="-8"/>
        </w:rPr>
        <w:t> </w:t>
      </w:r>
      <w:r>
        <w:rPr/>
        <w:t>economic</w:t>
      </w:r>
      <w:r>
        <w:rPr>
          <w:spacing w:val="-7"/>
        </w:rPr>
        <w:t> </w:t>
      </w:r>
      <w:r>
        <w:rPr>
          <w:spacing w:val="-2"/>
        </w:rPr>
        <w:t>growth</w:t>
      </w:r>
    </w:p>
    <w:p>
      <w:pPr>
        <w:pStyle w:val="BodyText"/>
        <w:spacing w:before="286"/>
      </w:pPr>
      <w:r>
        <w:rPr/>
        <w:t>in</w:t>
      </w:r>
      <w:r>
        <w:rPr>
          <w:spacing w:val="-6"/>
        </w:rPr>
        <w:t> </w:t>
      </w:r>
      <w:r>
        <w:rPr/>
        <w:t>Nigeria</w:t>
      </w:r>
      <w:r>
        <w:rPr>
          <w:spacing w:val="-6"/>
        </w:rPr>
        <w:t> </w:t>
      </w:r>
      <w:r>
        <w:rPr/>
        <w:t>within</w:t>
      </w:r>
      <w:r>
        <w:rPr>
          <w:spacing w:val="-6"/>
        </w:rPr>
        <w:t> </w:t>
      </w:r>
      <w:r>
        <w:rPr/>
        <w:t>the</w:t>
      </w:r>
      <w:r>
        <w:rPr>
          <w:spacing w:val="-6"/>
        </w:rPr>
        <w:t> </w:t>
      </w:r>
      <w:r>
        <w:rPr/>
        <w:t>period</w:t>
      </w:r>
      <w:r>
        <w:rPr>
          <w:spacing w:val="-6"/>
        </w:rPr>
        <w:t> </w:t>
      </w:r>
      <w:r>
        <w:rPr/>
        <w:t>under</w:t>
      </w:r>
      <w:r>
        <w:rPr>
          <w:spacing w:val="-6"/>
        </w:rPr>
        <w:t> </w:t>
      </w:r>
      <w:r>
        <w:rPr>
          <w:spacing w:val="-2"/>
        </w:rPr>
        <w:t>review</w:t>
      </w:r>
    </w:p>
    <w:p>
      <w:pPr>
        <w:pStyle w:val="BodyText"/>
        <w:spacing w:before="161"/>
        <w:ind w:left="0"/>
      </w:pPr>
    </w:p>
    <w:p>
      <w:pPr>
        <w:pStyle w:val="BodyText"/>
        <w:spacing w:before="1"/>
      </w:pPr>
      <w:r>
        <w:rPr/>
        <w:t>Therefore,</w:t>
      </w:r>
      <w:r>
        <w:rPr>
          <w:spacing w:val="54"/>
          <w:w w:val="150"/>
        </w:rPr>
        <w:t> </w:t>
      </w:r>
      <w:r>
        <w:rPr/>
        <w:t>economic</w:t>
      </w:r>
      <w:r>
        <w:rPr>
          <w:spacing w:val="57"/>
          <w:w w:val="150"/>
        </w:rPr>
        <w:t> </w:t>
      </w:r>
      <w:r>
        <w:rPr/>
        <w:t>growth</w:t>
      </w:r>
      <w:r>
        <w:rPr>
          <w:spacing w:val="54"/>
          <w:w w:val="150"/>
        </w:rPr>
        <w:t> </w:t>
      </w:r>
      <w:r>
        <w:rPr/>
        <w:t>is</w:t>
      </w:r>
      <w:r>
        <w:rPr>
          <w:spacing w:val="59"/>
          <w:w w:val="150"/>
        </w:rPr>
        <w:t> </w:t>
      </w:r>
      <w:r>
        <w:rPr/>
        <w:t>given</w:t>
      </w:r>
      <w:r>
        <w:rPr>
          <w:spacing w:val="55"/>
          <w:w w:val="150"/>
        </w:rPr>
        <w:t> </w:t>
      </w:r>
      <w:r>
        <w:rPr/>
        <w:t>a</w:t>
      </w:r>
      <w:r>
        <w:rPr>
          <w:spacing w:val="54"/>
          <w:w w:val="150"/>
        </w:rPr>
        <w:t> </w:t>
      </w:r>
      <w:r>
        <w:rPr/>
        <w:t>very</w:t>
      </w:r>
      <w:r>
        <w:rPr>
          <w:spacing w:val="54"/>
          <w:w w:val="150"/>
        </w:rPr>
        <w:t> </w:t>
      </w:r>
      <w:r>
        <w:rPr/>
        <w:t>good</w:t>
      </w:r>
      <w:r>
        <w:rPr>
          <w:spacing w:val="54"/>
          <w:w w:val="150"/>
        </w:rPr>
        <w:t> </w:t>
      </w:r>
      <w:r>
        <w:rPr/>
        <w:t>promotion</w:t>
      </w:r>
      <w:r>
        <w:rPr>
          <w:spacing w:val="57"/>
          <w:w w:val="150"/>
        </w:rPr>
        <w:t> </w:t>
      </w:r>
      <w:r>
        <w:rPr/>
        <w:t>byprioritizing</w:t>
      </w:r>
      <w:r>
        <w:rPr>
          <w:spacing w:val="55"/>
          <w:w w:val="150"/>
        </w:rPr>
        <w:t> </w:t>
      </w:r>
      <w:r>
        <w:rPr>
          <w:spacing w:val="-2"/>
        </w:rPr>
        <w:t>financial</w:t>
      </w:r>
    </w:p>
    <w:p>
      <w:pPr>
        <w:pStyle w:val="BodyText"/>
        <w:spacing w:before="286"/>
      </w:pPr>
      <w:r>
        <w:rPr/>
        <w:t>integration.</w:t>
      </w:r>
      <w:r>
        <w:rPr>
          <w:spacing w:val="27"/>
        </w:rPr>
        <w:t>  </w:t>
      </w:r>
      <w:r>
        <w:rPr/>
        <w:t>Openingfinancial</w:t>
      </w:r>
      <w:r>
        <w:rPr>
          <w:spacing w:val="27"/>
        </w:rPr>
        <w:t>  </w:t>
      </w:r>
      <w:r>
        <w:rPr/>
        <w:t>marketsand</w:t>
      </w:r>
      <w:r>
        <w:rPr>
          <w:spacing w:val="26"/>
        </w:rPr>
        <w:t>  </w:t>
      </w:r>
      <w:r>
        <w:rPr/>
        <w:t>financial</w:t>
      </w:r>
      <w:r>
        <w:rPr>
          <w:spacing w:val="27"/>
        </w:rPr>
        <w:t>  </w:t>
      </w:r>
      <w:r>
        <w:rPr/>
        <w:t>institutions</w:t>
      </w:r>
      <w:r>
        <w:rPr>
          <w:spacing w:val="28"/>
        </w:rPr>
        <w:t>  </w:t>
      </w:r>
      <w:r>
        <w:rPr/>
        <w:t>to</w:t>
      </w:r>
      <w:r>
        <w:rPr>
          <w:spacing w:val="26"/>
        </w:rPr>
        <w:t>  </w:t>
      </w:r>
      <w:r>
        <w:rPr>
          <w:spacing w:val="-2"/>
        </w:rPr>
        <w:t>foreignersandletting</w:t>
      </w:r>
    </w:p>
    <w:p>
      <w:pPr>
        <w:pStyle w:val="BodyText"/>
        <w:spacing w:before="1"/>
        <w:ind w:left="0"/>
      </w:pPr>
    </w:p>
    <w:p>
      <w:pPr>
        <w:pStyle w:val="BodyText"/>
      </w:pPr>
      <w:r>
        <w:rPr/>
        <w:t>domestic</w:t>
      </w:r>
      <w:r>
        <w:rPr>
          <w:spacing w:val="3"/>
        </w:rPr>
        <w:t> </w:t>
      </w:r>
      <w:r>
        <w:rPr/>
        <w:t>market</w:t>
      </w:r>
      <w:r>
        <w:rPr>
          <w:spacing w:val="5"/>
        </w:rPr>
        <w:t> </w:t>
      </w:r>
      <w:r>
        <w:rPr/>
        <w:t>players</w:t>
      </w:r>
      <w:r>
        <w:rPr>
          <w:spacing w:val="4"/>
        </w:rPr>
        <w:t> </w:t>
      </w:r>
      <w:r>
        <w:rPr/>
        <w:t>to</w:t>
      </w:r>
      <w:r>
        <w:rPr>
          <w:spacing w:val="4"/>
        </w:rPr>
        <w:t> </w:t>
      </w:r>
      <w:r>
        <w:rPr/>
        <w:t>investoverseas</w:t>
      </w:r>
      <w:r>
        <w:rPr>
          <w:spacing w:val="4"/>
        </w:rPr>
        <w:t> </w:t>
      </w:r>
      <w:r>
        <w:rPr/>
        <w:t>are</w:t>
      </w:r>
      <w:r>
        <w:rPr>
          <w:spacing w:val="2"/>
        </w:rPr>
        <w:t> </w:t>
      </w:r>
      <w:r>
        <w:rPr/>
        <w:t>actions</w:t>
      </w:r>
      <w:r>
        <w:rPr>
          <w:spacing w:val="5"/>
        </w:rPr>
        <w:t> </w:t>
      </w:r>
      <w:r>
        <w:rPr/>
        <w:t>of</w:t>
      </w:r>
      <w:r>
        <w:rPr>
          <w:spacing w:val="5"/>
        </w:rPr>
        <w:t> </w:t>
      </w:r>
      <w:r>
        <w:rPr/>
        <w:t>financialintegration</w:t>
      </w:r>
      <w:r>
        <w:rPr>
          <w:spacing w:val="3"/>
        </w:rPr>
        <w:t> </w:t>
      </w:r>
      <w:r>
        <w:rPr/>
        <w:t>processes.</w:t>
      </w:r>
      <w:r>
        <w:rPr>
          <w:spacing w:val="4"/>
        </w:rPr>
        <w:t> </w:t>
      </w:r>
      <w:r>
        <w:rPr>
          <w:spacing w:val="-4"/>
        </w:rPr>
        <w:t>This</w:t>
      </w:r>
    </w:p>
    <w:p>
      <w:pPr>
        <w:pStyle w:val="BodyText"/>
        <w:spacing w:before="286"/>
      </w:pPr>
      <w:r>
        <w:rPr/>
        <w:t>is</w:t>
      </w:r>
      <w:r>
        <w:rPr>
          <w:spacing w:val="6"/>
        </w:rPr>
        <w:t> </w:t>
      </w:r>
      <w:r>
        <w:rPr/>
        <w:t>donethrough</w:t>
      </w:r>
      <w:r>
        <w:rPr>
          <w:spacing w:val="5"/>
        </w:rPr>
        <w:t> </w:t>
      </w:r>
      <w:r>
        <w:rPr/>
        <w:t>removing</w:t>
      </w:r>
      <w:r>
        <w:rPr>
          <w:spacing w:val="5"/>
        </w:rPr>
        <w:t> </w:t>
      </w:r>
      <w:r>
        <w:rPr/>
        <w:t>obstacles</w:t>
      </w:r>
      <w:r>
        <w:rPr>
          <w:spacing w:val="6"/>
        </w:rPr>
        <w:t> </w:t>
      </w:r>
      <w:r>
        <w:rPr/>
        <w:t>to</w:t>
      </w:r>
      <w:r>
        <w:rPr>
          <w:spacing w:val="5"/>
        </w:rPr>
        <w:t> </w:t>
      </w:r>
      <w:r>
        <w:rPr/>
        <w:t>cross-borderflow</w:t>
      </w:r>
      <w:r>
        <w:rPr>
          <w:spacing w:val="6"/>
        </w:rPr>
        <w:t> </w:t>
      </w:r>
      <w:r>
        <w:rPr/>
        <w:t>of</w:t>
      </w:r>
      <w:r>
        <w:rPr>
          <w:spacing w:val="5"/>
        </w:rPr>
        <w:t> </w:t>
      </w:r>
      <w:r>
        <w:rPr/>
        <w:t>capital</w:t>
      </w:r>
      <w:r>
        <w:rPr>
          <w:spacing w:val="5"/>
        </w:rPr>
        <w:t> </w:t>
      </w:r>
      <w:r>
        <w:rPr/>
        <w:t>and</w:t>
      </w:r>
      <w:r>
        <w:rPr>
          <w:spacing w:val="4"/>
        </w:rPr>
        <w:t> </w:t>
      </w:r>
      <w:r>
        <w:rPr/>
        <w:t>financialservices.</w:t>
      </w:r>
      <w:r>
        <w:rPr>
          <w:spacing w:val="6"/>
        </w:rPr>
        <w:t> </w:t>
      </w:r>
      <w:r>
        <w:rPr>
          <w:spacing w:val="-5"/>
        </w:rPr>
        <w:t>One</w:t>
      </w:r>
    </w:p>
    <w:p>
      <w:pPr>
        <w:pStyle w:val="BodyText"/>
        <w:spacing w:before="1"/>
        <w:ind w:left="0"/>
      </w:pPr>
    </w:p>
    <w:p>
      <w:pPr>
        <w:pStyle w:val="BodyText"/>
      </w:pPr>
      <w:r>
        <w:rPr/>
        <w:t>of</w:t>
      </w:r>
      <w:r>
        <w:rPr>
          <w:spacing w:val="4"/>
        </w:rPr>
        <w:t> </w:t>
      </w:r>
      <w:r>
        <w:rPr/>
        <w:t>the</w:t>
      </w:r>
      <w:r>
        <w:rPr>
          <w:spacing w:val="4"/>
        </w:rPr>
        <w:t> </w:t>
      </w:r>
      <w:r>
        <w:rPr/>
        <w:t>steps</w:t>
      </w:r>
      <w:r>
        <w:rPr>
          <w:spacing w:val="2"/>
        </w:rPr>
        <w:t> </w:t>
      </w:r>
      <w:r>
        <w:rPr/>
        <w:t>towards</w:t>
      </w:r>
      <w:r>
        <w:rPr>
          <w:spacing w:val="5"/>
        </w:rPr>
        <w:t> </w:t>
      </w:r>
      <w:r>
        <w:rPr/>
        <w:t>an</w:t>
      </w:r>
      <w:r>
        <w:rPr>
          <w:spacing w:val="-1"/>
        </w:rPr>
        <w:t> </w:t>
      </w:r>
      <w:r>
        <w:rPr/>
        <w:t>integrated</w:t>
      </w:r>
      <w:r>
        <w:rPr>
          <w:spacing w:val="3"/>
        </w:rPr>
        <w:t> </w:t>
      </w:r>
      <w:r>
        <w:rPr/>
        <w:t>financial</w:t>
      </w:r>
      <w:r>
        <w:rPr>
          <w:spacing w:val="5"/>
        </w:rPr>
        <w:t> </w:t>
      </w:r>
      <w:r>
        <w:rPr/>
        <w:t>market</w:t>
      </w:r>
      <w:r>
        <w:rPr>
          <w:spacing w:val="4"/>
        </w:rPr>
        <w:t> </w:t>
      </w:r>
      <w:r>
        <w:rPr/>
        <w:t>is,</w:t>
      </w:r>
      <w:r>
        <w:rPr>
          <w:spacing w:val="4"/>
        </w:rPr>
        <w:t> </w:t>
      </w:r>
      <w:r>
        <w:rPr/>
        <w:t>the</w:t>
      </w:r>
      <w:r>
        <w:rPr>
          <w:spacing w:val="1"/>
        </w:rPr>
        <w:t> </w:t>
      </w:r>
      <w:r>
        <w:rPr/>
        <w:t>removal</w:t>
      </w:r>
      <w:r>
        <w:rPr>
          <w:spacing w:val="3"/>
        </w:rPr>
        <w:t> </w:t>
      </w:r>
      <w:r>
        <w:rPr/>
        <w:t>of</w:t>
      </w:r>
      <w:r>
        <w:rPr>
          <w:spacing w:val="4"/>
        </w:rPr>
        <w:t> </w:t>
      </w:r>
      <w:r>
        <w:rPr/>
        <w:t>barriers</w:t>
      </w:r>
      <w:r>
        <w:rPr>
          <w:spacing w:val="5"/>
        </w:rPr>
        <w:t> </w:t>
      </w:r>
      <w:r>
        <w:rPr/>
        <w:t>which</w:t>
      </w:r>
      <w:r>
        <w:rPr>
          <w:spacing w:val="1"/>
        </w:rPr>
        <w:t> </w:t>
      </w:r>
      <w:r>
        <w:rPr/>
        <w:t>result</w:t>
      </w:r>
      <w:r>
        <w:rPr>
          <w:spacing w:val="4"/>
        </w:rPr>
        <w:t> </w:t>
      </w:r>
      <w:r>
        <w:rPr>
          <w:spacing w:val="-5"/>
        </w:rPr>
        <w:t>in</w:t>
      </w:r>
    </w:p>
    <w:p>
      <w:pPr>
        <w:pStyle w:val="BodyText"/>
        <w:spacing w:before="286"/>
      </w:pPr>
      <w:r>
        <w:rPr/>
        <w:t>mistreatment</w:t>
      </w:r>
      <w:r>
        <w:rPr>
          <w:spacing w:val="13"/>
        </w:rPr>
        <w:t> </w:t>
      </w:r>
      <w:r>
        <w:rPr/>
        <w:t>of</w:t>
      </w:r>
      <w:r>
        <w:rPr>
          <w:spacing w:val="13"/>
        </w:rPr>
        <w:t> </w:t>
      </w:r>
      <w:r>
        <w:rPr/>
        <w:t>foreign</w:t>
      </w:r>
      <w:r>
        <w:rPr>
          <w:spacing w:val="12"/>
        </w:rPr>
        <w:t> </w:t>
      </w:r>
      <w:r>
        <w:rPr/>
        <w:t>capital</w:t>
      </w:r>
      <w:r>
        <w:rPr>
          <w:spacing w:val="13"/>
        </w:rPr>
        <w:t> </w:t>
      </w:r>
      <w:r>
        <w:rPr/>
        <w:t>andforeign</w:t>
      </w:r>
      <w:r>
        <w:rPr>
          <w:spacing w:val="13"/>
        </w:rPr>
        <w:t> </w:t>
      </w:r>
      <w:r>
        <w:rPr/>
        <w:t>financial</w:t>
      </w:r>
      <w:r>
        <w:rPr>
          <w:spacing w:val="12"/>
        </w:rPr>
        <w:t> </w:t>
      </w:r>
      <w:r>
        <w:rPr/>
        <w:t>institutions.</w:t>
      </w:r>
      <w:r>
        <w:rPr>
          <w:spacing w:val="12"/>
        </w:rPr>
        <w:t> </w:t>
      </w:r>
      <w:r>
        <w:rPr/>
        <w:t>That</w:t>
      </w:r>
      <w:r>
        <w:rPr>
          <w:spacing w:val="13"/>
        </w:rPr>
        <w:t> </w:t>
      </w:r>
      <w:r>
        <w:rPr/>
        <w:t>is</w:t>
      </w:r>
      <w:r>
        <w:rPr>
          <w:spacing w:val="14"/>
        </w:rPr>
        <w:t> </w:t>
      </w:r>
      <w:r>
        <w:rPr/>
        <w:t>why,</w:t>
      </w:r>
      <w:r>
        <w:rPr>
          <w:spacing w:val="12"/>
        </w:rPr>
        <w:t> </w:t>
      </w:r>
      <w:r>
        <w:rPr/>
        <w:t>in</w:t>
      </w:r>
      <w:r>
        <w:rPr>
          <w:spacing w:val="13"/>
        </w:rPr>
        <w:t> </w:t>
      </w:r>
      <w:r>
        <w:rPr/>
        <w:t>thelast</w:t>
      </w:r>
      <w:r>
        <w:rPr>
          <w:spacing w:val="14"/>
        </w:rPr>
        <w:t> </w:t>
      </w:r>
      <w:r>
        <w:rPr>
          <w:spacing w:val="-5"/>
        </w:rPr>
        <w:t>few</w:t>
      </w:r>
    </w:p>
    <w:p>
      <w:pPr>
        <w:pStyle w:val="BodyText"/>
        <w:spacing w:before="1"/>
        <w:ind w:left="0"/>
      </w:pPr>
    </w:p>
    <w:p>
      <w:pPr>
        <w:pStyle w:val="BodyText"/>
      </w:pPr>
      <w:r>
        <w:rPr/>
        <w:t>decades,</w:t>
      </w:r>
      <w:r>
        <w:rPr>
          <w:spacing w:val="66"/>
          <w:w w:val="150"/>
        </w:rPr>
        <w:t> </w:t>
      </w:r>
      <w:r>
        <w:rPr/>
        <w:t>several</w:t>
      </w:r>
      <w:r>
        <w:rPr>
          <w:spacing w:val="66"/>
          <w:w w:val="150"/>
        </w:rPr>
        <w:t> </w:t>
      </w:r>
      <w:r>
        <w:rPr/>
        <w:t>industrializedand</w:t>
      </w:r>
      <w:r>
        <w:rPr>
          <w:spacing w:val="66"/>
          <w:w w:val="150"/>
        </w:rPr>
        <w:t> </w:t>
      </w:r>
      <w:r>
        <w:rPr/>
        <w:t>developing</w:t>
      </w:r>
      <w:r>
        <w:rPr>
          <w:spacing w:val="66"/>
          <w:w w:val="150"/>
        </w:rPr>
        <w:t> </w:t>
      </w:r>
      <w:r>
        <w:rPr/>
        <w:t>countries</w:t>
      </w:r>
      <w:r>
        <w:rPr>
          <w:spacing w:val="67"/>
          <w:w w:val="150"/>
        </w:rPr>
        <w:t> </w:t>
      </w:r>
      <w:r>
        <w:rPr/>
        <w:t>have</w:t>
      </w:r>
      <w:r>
        <w:rPr>
          <w:spacing w:val="65"/>
          <w:w w:val="150"/>
        </w:rPr>
        <w:t> </w:t>
      </w:r>
      <w:r>
        <w:rPr/>
        <w:t>liberalized</w:t>
      </w:r>
      <w:r>
        <w:rPr>
          <w:spacing w:val="66"/>
          <w:w w:val="150"/>
        </w:rPr>
        <w:t> </w:t>
      </w:r>
      <w:r>
        <w:rPr>
          <w:spacing w:val="-2"/>
        </w:rPr>
        <w:t>theirfinancial</w:t>
      </w:r>
    </w:p>
    <w:p>
      <w:pPr>
        <w:pStyle w:val="BodyText"/>
        <w:spacing w:before="287"/>
      </w:pPr>
      <w:r>
        <w:rPr/>
        <w:t>system.</w:t>
      </w:r>
      <w:r>
        <w:rPr>
          <w:spacing w:val="45"/>
        </w:rPr>
        <w:t> </w:t>
      </w:r>
      <w:r>
        <w:rPr/>
        <w:t>Toliberalize</w:t>
      </w:r>
      <w:r>
        <w:rPr>
          <w:spacing w:val="44"/>
        </w:rPr>
        <w:t> </w:t>
      </w:r>
      <w:r>
        <w:rPr/>
        <w:t>their</w:t>
      </w:r>
      <w:r>
        <w:rPr>
          <w:spacing w:val="46"/>
        </w:rPr>
        <w:t> </w:t>
      </w:r>
      <w:r>
        <w:rPr/>
        <w:t>financialsystem,</w:t>
      </w:r>
      <w:r>
        <w:rPr>
          <w:spacing w:val="45"/>
        </w:rPr>
        <w:t> </w:t>
      </w:r>
      <w:r>
        <w:rPr/>
        <w:t>they</w:t>
      </w:r>
      <w:r>
        <w:rPr>
          <w:spacing w:val="45"/>
        </w:rPr>
        <w:t> </w:t>
      </w:r>
      <w:r>
        <w:rPr/>
        <w:t>eased</w:t>
      </w:r>
      <w:r>
        <w:rPr>
          <w:spacing w:val="44"/>
        </w:rPr>
        <w:t> </w:t>
      </w:r>
      <w:r>
        <w:rPr/>
        <w:t>or</w:t>
      </w:r>
      <w:r>
        <w:rPr>
          <w:spacing w:val="46"/>
        </w:rPr>
        <w:t> </w:t>
      </w:r>
      <w:r>
        <w:rPr/>
        <w:t>lifted</w:t>
      </w:r>
      <w:r>
        <w:rPr>
          <w:spacing w:val="45"/>
        </w:rPr>
        <w:t> </w:t>
      </w:r>
      <w:r>
        <w:rPr/>
        <w:t>bank</w:t>
      </w:r>
      <w:r>
        <w:rPr>
          <w:spacing w:val="44"/>
        </w:rPr>
        <w:t> </w:t>
      </w:r>
      <w:r>
        <w:rPr/>
        <w:t>interest</w:t>
      </w:r>
      <w:r>
        <w:rPr>
          <w:spacing w:val="46"/>
        </w:rPr>
        <w:t> </w:t>
      </w:r>
      <w:r>
        <w:rPr>
          <w:spacing w:val="-2"/>
        </w:rPr>
        <w:t>rateceilings,</w:t>
      </w:r>
    </w:p>
    <w:p>
      <w:pPr>
        <w:pStyle w:val="BodyText"/>
        <w:spacing w:before="1"/>
        <w:ind w:left="0"/>
      </w:pPr>
    </w:p>
    <w:p>
      <w:pPr>
        <w:pStyle w:val="BodyText"/>
      </w:pPr>
      <w:r>
        <w:rPr/>
        <w:t>reduced</w:t>
      </w:r>
      <w:r>
        <w:rPr>
          <w:spacing w:val="13"/>
        </w:rPr>
        <w:t> </w:t>
      </w:r>
      <w:r>
        <w:rPr/>
        <w:t>entry</w:t>
      </w:r>
      <w:r>
        <w:rPr>
          <w:spacing w:val="15"/>
        </w:rPr>
        <w:t> </w:t>
      </w:r>
      <w:r>
        <w:rPr/>
        <w:t>barriers,</w:t>
      </w:r>
      <w:r>
        <w:rPr>
          <w:spacing w:val="14"/>
        </w:rPr>
        <w:t> </w:t>
      </w:r>
      <w:r>
        <w:rPr/>
        <w:t>lowered</w:t>
      </w:r>
      <w:r>
        <w:rPr>
          <w:spacing w:val="14"/>
        </w:rPr>
        <w:t> </w:t>
      </w:r>
      <w:r>
        <w:rPr/>
        <w:t>reserverequirements,</w:t>
      </w:r>
      <w:r>
        <w:rPr>
          <w:spacing w:val="14"/>
        </w:rPr>
        <w:t> </w:t>
      </w:r>
      <w:r>
        <w:rPr/>
        <w:t>reduced</w:t>
      </w:r>
      <w:r>
        <w:rPr>
          <w:spacing w:val="13"/>
        </w:rPr>
        <w:t> </w:t>
      </w:r>
      <w:r>
        <w:rPr/>
        <w:t>involvementof</w:t>
      </w:r>
      <w:r>
        <w:rPr>
          <w:spacing w:val="15"/>
        </w:rPr>
        <w:t> </w:t>
      </w:r>
      <w:r>
        <w:rPr/>
        <w:t>government</w:t>
      </w:r>
      <w:r>
        <w:rPr>
          <w:spacing w:val="15"/>
        </w:rPr>
        <w:t> </w:t>
      </w:r>
      <w:r>
        <w:rPr>
          <w:spacing w:val="-5"/>
        </w:rPr>
        <w:t>in</w:t>
      </w:r>
    </w:p>
    <w:p>
      <w:pPr>
        <w:pStyle w:val="BodyText"/>
        <w:spacing w:line="480" w:lineRule="auto" w:before="286"/>
        <w:ind w:right="804"/>
      </w:pPr>
      <w:r>
        <w:rPr/>
        <w:t>credit</w:t>
      </w:r>
      <w:r>
        <w:rPr>
          <w:spacing w:val="80"/>
        </w:rPr>
        <w:t> </w:t>
      </w:r>
      <w:r>
        <w:rPr/>
        <w:t>allocation</w:t>
      </w:r>
      <w:r>
        <w:rPr>
          <w:spacing w:val="80"/>
        </w:rPr>
        <w:t> </w:t>
      </w:r>
      <w:r>
        <w:rPr/>
        <w:t>decisions,privatized</w:t>
      </w:r>
      <w:r>
        <w:rPr>
          <w:spacing w:val="80"/>
        </w:rPr>
        <w:t> </w:t>
      </w:r>
      <w:r>
        <w:rPr/>
        <w:t>banks</w:t>
      </w:r>
      <w:r>
        <w:rPr>
          <w:spacing w:val="80"/>
        </w:rPr>
        <w:t> </w:t>
      </w:r>
      <w:r>
        <w:rPr/>
        <w:t>and</w:t>
      </w:r>
      <w:r>
        <w:rPr>
          <w:spacing w:val="80"/>
        </w:rPr>
        <w:t> </w:t>
      </w:r>
      <w:r>
        <w:rPr/>
        <w:t>insurancecompanies,</w:t>
      </w:r>
      <w:r>
        <w:rPr>
          <w:spacing w:val="80"/>
        </w:rPr>
        <w:t> </w:t>
      </w:r>
      <w:r>
        <w:rPr/>
        <w:t>developed</w:t>
      </w:r>
      <w:r>
        <w:rPr>
          <w:spacing w:val="80"/>
        </w:rPr>
        <w:t> </w:t>
      </w:r>
      <w:r>
        <w:rPr/>
        <w:t>stock market, and promoted entry of foreign financial intermediaries.</w:t>
      </w:r>
    </w:p>
    <w:p>
      <w:pPr>
        <w:spacing w:after="0" w:line="480" w:lineRule="auto"/>
        <w:sectPr>
          <w:pgSz w:w="12240" w:h="15840"/>
          <w:pgMar w:header="0" w:footer="1012" w:top="1380" w:bottom="1200" w:left="1220" w:right="700"/>
        </w:sectPr>
      </w:pPr>
    </w:p>
    <w:p>
      <w:pPr>
        <w:pStyle w:val="Heading2"/>
        <w:numPr>
          <w:ilvl w:val="1"/>
          <w:numId w:val="27"/>
        </w:numPr>
        <w:tabs>
          <w:tab w:pos="593" w:val="left" w:leader="none"/>
        </w:tabs>
        <w:spacing w:line="240" w:lineRule="auto" w:before="60" w:after="0"/>
        <w:ind w:left="593" w:right="0" w:hanging="373"/>
        <w:jc w:val="left"/>
      </w:pPr>
      <w:bookmarkStart w:name="_TOC_250003" w:id="72"/>
      <w:bookmarkEnd w:id="72"/>
      <w:r>
        <w:rPr>
          <w:spacing w:val="-2"/>
        </w:rPr>
        <w:t>Recommendations</w:t>
      </w:r>
    </w:p>
    <w:p>
      <w:pPr>
        <w:pStyle w:val="BodyText"/>
        <w:spacing w:before="161"/>
        <w:ind w:left="0"/>
        <w:rPr>
          <w:b/>
        </w:rPr>
      </w:pPr>
    </w:p>
    <w:p>
      <w:pPr>
        <w:pStyle w:val="BodyText"/>
      </w:pPr>
      <w:r>
        <w:rPr/>
        <w:t>The</w:t>
      </w:r>
      <w:r>
        <w:rPr>
          <w:spacing w:val="-8"/>
        </w:rPr>
        <w:t> </w:t>
      </w:r>
      <w:r>
        <w:rPr/>
        <w:t>study</w:t>
      </w:r>
      <w:r>
        <w:rPr>
          <w:spacing w:val="-8"/>
        </w:rPr>
        <w:t> </w:t>
      </w:r>
      <w:r>
        <w:rPr/>
        <w:t>recommends</w:t>
      </w:r>
      <w:r>
        <w:rPr>
          <w:spacing w:val="-6"/>
        </w:rPr>
        <w:t> </w:t>
      </w:r>
      <w:r>
        <w:rPr/>
        <w:t>the</w:t>
      </w:r>
      <w:r>
        <w:rPr>
          <w:spacing w:val="-8"/>
        </w:rPr>
        <w:t> </w:t>
      </w:r>
      <w:r>
        <w:rPr>
          <w:spacing w:val="-2"/>
        </w:rPr>
        <w:t>following:</w:t>
      </w:r>
    </w:p>
    <w:p>
      <w:pPr>
        <w:pStyle w:val="BodyText"/>
        <w:spacing w:before="160"/>
        <w:ind w:left="0"/>
      </w:pPr>
    </w:p>
    <w:p>
      <w:pPr>
        <w:pStyle w:val="ListParagraph"/>
        <w:numPr>
          <w:ilvl w:val="0"/>
          <w:numId w:val="29"/>
        </w:numPr>
        <w:tabs>
          <w:tab w:pos="580" w:val="left" w:leader="none"/>
        </w:tabs>
        <w:spacing w:line="480" w:lineRule="auto" w:before="0" w:after="0"/>
        <w:ind w:left="580" w:right="734" w:hanging="360"/>
        <w:jc w:val="both"/>
        <w:rPr>
          <w:sz w:val="25"/>
        </w:rPr>
      </w:pPr>
      <w:r>
        <w:rPr/>
        <mc:AlternateContent>
          <mc:Choice Requires="wps">
            <w:drawing>
              <wp:anchor distT="0" distB="0" distL="0" distR="0" allowOverlap="1" layoutInCell="1" locked="0" behindDoc="1" simplePos="0" relativeHeight="478109696">
                <wp:simplePos x="0" y="0"/>
                <wp:positionH relativeFrom="page">
                  <wp:posOffset>950112</wp:posOffset>
                </wp:positionH>
                <wp:positionV relativeFrom="paragraph">
                  <wp:posOffset>348930</wp:posOffset>
                </wp:positionV>
                <wp:extent cx="5505450" cy="5661025"/>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27.474854pt;width:433.5pt;height:445.75pt;mso-position-horizontal-relative:page;mso-position-vertical-relative:paragraph;z-index:-25206784" id="docshape214" coordorigin="1496,549" coordsize="8670,8915" path="m2562,9269l1691,8398,1496,8593,2367,9464,2562,9269xm3154,8593l3153,8554,3148,8511,3139,8467,3125,8423,3106,8380,3083,8336,3055,8294,3025,8253,2991,8213,2954,8174,2435,7654,2241,7848,2772,8380,2805,8416,2829,8452,2846,8486,2856,8520,2858,8553,2851,8584,2837,8612,2816,8638,2790,8660,2761,8674,2730,8680,2697,8678,2663,8668,2628,8652,2593,8627,2557,8595,2026,8064,1831,8258,2351,8777,2385,8809,2424,8842,2468,8874,2516,8907,2548,8926,2583,8941,2620,8954,2658,8965,2697,8973,2733,8977,2767,8977,2800,8974,2831,8967,2863,8955,2895,8939,2926,8918,2957,8895,2985,8872,3011,8849,3035,8826,3071,8786,3102,8746,3125,8704,3142,8662,3150,8629,3154,8593xm3882,7810l3876,7746,3860,7680,3834,7613,3806,7559,3771,7503,3728,7446,3678,7387,3661,7368,3621,7326,3597,7304,3597,7798,3592,7838,3577,7875,3551,7908,3518,7933,3481,7948,3441,7953,3396,7946,3347,7928,3294,7897,3235,7852,3171,7793,3112,7729,3066,7670,3035,7615,3016,7566,3010,7522,3014,7481,3029,7446,3053,7414,3086,7388,3122,7373,3163,7368,3207,7373,3255,7390,3307,7420,3363,7462,3423,7517,3488,7587,3538,7650,3572,7706,3591,7754,3597,7798,3597,7304,3551,7261,3482,7206,3413,7161,3344,7125,3276,7100,3209,7084,3130,7078,3055,7088,2983,7114,2914,7154,2850,7210,2796,7273,2756,7341,2732,7413,2723,7488,2729,7568,2746,7636,2772,7705,2808,7775,2854,7845,2910,7915,2976,7986,3036,8043,3096,8093,3156,8135,3215,8170,3273,8197,3344,8221,3411,8235,3475,8238,3535,8232,3593,8216,3649,8189,3705,8151,3758,8103,3805,8049,3841,7993,3858,7953,3866,7934,3879,7873,3882,7810xm4153,7230l3966,7043,3712,7297,3899,7484,4153,7230xm4664,7168l3793,6296,3598,6491,4469,7363,4664,7168xm4998,6833l4675,6510,4781,6403,4832,6344,4837,6334,4866,6282,4883,6219,4882,6154,4866,6088,4843,6038,4836,6023,4792,5957,4733,5891,4670,5834,4607,5791,4598,5786,4598,6179,4597,6205,4587,6231,4570,6258,4546,6286,4498,6334,4304,6139,4359,6084,4386,6060,4412,6045,4438,6038,4462,6038,4486,6045,4509,6055,4531,6069,4552,6088,4570,6109,4584,6132,4593,6155,4598,6179,4598,5786,4544,5761,4483,5745,4423,5744,4365,5759,4309,5789,4255,5834,3931,6158,4803,7029,4998,6833xm5788,6044l5132,5388,5330,5189,5115,4974,4524,5566,4739,5781,4937,5582,5593,6238,5788,6044xm6423,5408l5767,4752,5966,4554,5751,4339,5159,4930,5374,5145,5573,4947,6229,5603,6423,5408xm7157,4535l7151,4471,7135,4405,7109,4338,7081,4284,7046,4228,7003,4171,6953,4112,6935,4093,6896,4051,6872,4029,6872,4523,6867,4563,6851,4600,6825,4633,6793,4659,6756,4673,6716,4678,6671,4671,6622,4653,6569,4622,6510,4577,6446,4518,6387,4454,6341,4395,6309,4340,6291,4291,6285,4247,6289,4207,6304,4171,6328,4139,6361,4114,6397,4098,6438,4093,6482,4098,6530,4115,6582,4145,6638,4187,6698,4242,6763,4312,6813,4375,6847,4431,6866,4479,6872,4523,6872,4029,6826,3986,6756,3931,6687,3886,6619,3851,6551,3825,6483,3809,6405,3804,6329,3814,6258,3839,6189,3879,6125,3935,6071,3998,6031,4066,6007,4138,5998,4213,6004,4293,6021,4361,6047,4430,6083,4500,6129,4570,6184,4640,6250,4711,6311,4768,6371,4818,6431,4860,6490,4895,6548,4922,6619,4946,6686,4960,6750,4964,6810,4957,6868,4941,6924,4914,6979,4876,7033,4828,7080,4774,7116,4718,7133,4678,7141,4659,7154,4598,7157,4535xm8170,3540l8165,3491,8153,3440,8134,3387,8109,3333,8079,3277,8041,3220,7980,3245,7799,3319,7831,3366,7855,3409,7873,3449,7884,3486,7887,3522,7881,3555,7866,3586,7843,3615,7812,3639,7778,3653,7740,3657,7700,3650,7653,3632,7600,3598,7538,3548,7469,3484,7417,3427,7375,3375,7344,3328,7324,3285,7311,3234,7312,3187,7325,3146,7352,3110,7367,3097,7384,3087,7402,3079,7422,3074,7442,3072,7464,3072,7486,3076,7509,3082,7524,3088,7542,3096,7563,3107,7586,3121,7705,2896,7622,2850,7543,2818,7469,2799,7400,2793,7333,2800,7269,2823,7206,2861,7146,2913,7092,2976,7054,3043,7030,3113,7021,3187,7027,3264,7044,3331,7070,3399,7106,3468,7153,3538,7209,3609,7276,3680,7341,3741,7404,3793,7467,3837,7529,3872,7590,3900,7662,3923,7730,3936,7791,3939,7847,3932,7900,3915,7952,3889,8004,3852,8056,3805,8094,3763,8125,3720,8147,3676,8161,3632,8169,3587,8170,3540xm8868,2824l8861,2760,8846,2695,8820,2628,8792,2573,8757,2517,8714,2460,8664,2401,8646,2382,8607,2340,8583,2318,8583,2812,8578,2852,8562,2889,8536,2922,8504,2948,8467,2963,8427,2967,8382,2961,8333,2943,8279,2911,8221,2866,8157,2807,8098,2743,8052,2684,8020,2630,8002,2581,7996,2536,8000,2496,8014,2460,8039,2428,8071,2403,8108,2387,8149,2382,8193,2387,8241,2404,8293,2434,8349,2476,8409,2531,8474,2601,8524,2664,8558,2720,8577,2769,8583,2812,8583,2318,8537,2275,8467,2220,8398,2175,8330,2140,8262,2114,8194,2098,8116,2093,8040,2103,7968,2128,7900,2169,7835,2224,7781,2288,7742,2355,7718,2427,7709,2503,7715,2582,7731,2651,7758,2720,7794,2789,7839,2859,7895,2929,7961,3000,8022,3057,8082,3107,8142,3149,8201,3184,8259,3211,8329,3236,8397,3249,8461,3253,8521,3246,8579,3230,8635,3203,8690,3165,8744,3117,8791,3063,8827,3007,8844,2967,8852,2948,8865,2887,8868,2824xm9348,2483l9025,2160,9132,2053,9182,1993,9188,1983,9216,1932,9233,1869,9233,1804,9217,1738,9194,1687,9187,1672,9142,1606,9084,1540,9020,1483,8957,1440,8948,1436,8948,1829,8947,1855,8938,1881,8921,1908,8896,1936,8849,1983,8654,1789,8710,1734,8737,1710,8763,1695,8788,1687,8812,1688,8836,1694,8859,1705,8881,1719,8902,1738,8920,1759,8934,1782,8943,1805,8948,1829,8948,1436,8895,1411,8833,1395,8773,1394,8715,1409,8659,1439,8605,1484,8282,1807,9153,2679,9348,2483xm10166,1665l9801,1301,9748,1151,9593,699,9540,549,9325,765,9353,835,9436,1046,9492,1186,9422,1158,9211,1075,9071,1019,8854,1235,9005,1288,9456,1443,9606,1496,9971,1860,10166,1665xe" filled="true" fillcolor="#c0c0c0" stroked="false">
                <v:path arrowok="t"/>
                <v:fill opacity="32896f" type="solid"/>
                <w10:wrap type="none"/>
              </v:shape>
            </w:pict>
          </mc:Fallback>
        </mc:AlternateContent>
      </w:r>
      <w:r>
        <w:rPr>
          <w:sz w:val="25"/>
        </w:rPr>
        <w:t>Government</w:t>
      </w:r>
      <w:r>
        <w:rPr>
          <w:spacing w:val="-2"/>
          <w:sz w:val="25"/>
        </w:rPr>
        <w:t> </w:t>
      </w:r>
      <w:r>
        <w:rPr>
          <w:sz w:val="25"/>
        </w:rPr>
        <w:t>needs</w:t>
      </w:r>
      <w:r>
        <w:rPr>
          <w:spacing w:val="-1"/>
          <w:sz w:val="25"/>
        </w:rPr>
        <w:t> </w:t>
      </w:r>
      <w:r>
        <w:rPr>
          <w:sz w:val="25"/>
        </w:rPr>
        <w:t>to</w:t>
      </w:r>
      <w:r>
        <w:rPr>
          <w:spacing w:val="-2"/>
          <w:sz w:val="25"/>
        </w:rPr>
        <w:t> </w:t>
      </w:r>
      <w:r>
        <w:rPr>
          <w:sz w:val="25"/>
        </w:rPr>
        <w:t>put</w:t>
      </w:r>
      <w:r>
        <w:rPr>
          <w:spacing w:val="-2"/>
          <w:sz w:val="25"/>
        </w:rPr>
        <w:t> </w:t>
      </w:r>
      <w:r>
        <w:rPr>
          <w:sz w:val="25"/>
        </w:rPr>
        <w:t>inplace</w:t>
      </w:r>
      <w:r>
        <w:rPr>
          <w:spacing w:val="-3"/>
          <w:sz w:val="25"/>
        </w:rPr>
        <w:t> </w:t>
      </w:r>
      <w:r>
        <w:rPr>
          <w:sz w:val="25"/>
        </w:rPr>
        <w:t>appropriate</w:t>
      </w:r>
      <w:r>
        <w:rPr>
          <w:spacing w:val="-1"/>
          <w:sz w:val="25"/>
        </w:rPr>
        <w:t> </w:t>
      </w:r>
      <w:r>
        <w:rPr>
          <w:sz w:val="25"/>
        </w:rPr>
        <w:t>macroeconomicpolicies</w:t>
      </w:r>
      <w:r>
        <w:rPr>
          <w:spacing w:val="-2"/>
          <w:sz w:val="25"/>
        </w:rPr>
        <w:t> </w:t>
      </w:r>
      <w:r>
        <w:rPr>
          <w:sz w:val="25"/>
        </w:rPr>
        <w:t>and</w:t>
      </w:r>
      <w:r>
        <w:rPr>
          <w:spacing w:val="-2"/>
          <w:sz w:val="25"/>
        </w:rPr>
        <w:t> </w:t>
      </w:r>
      <w:r>
        <w:rPr>
          <w:sz w:val="25"/>
        </w:rPr>
        <w:t>institutions</w:t>
      </w:r>
      <w:r>
        <w:rPr>
          <w:spacing w:val="-1"/>
          <w:sz w:val="25"/>
        </w:rPr>
        <w:t> </w:t>
      </w:r>
      <w:r>
        <w:rPr>
          <w:sz w:val="25"/>
        </w:rPr>
        <w:t>that will drive the benefitsof financial integration in order to sustaineconomic growth and development. In order toensure effective financial integration, thegovernment and monetary authority should usemonetary instruments that will stabilizethe macroeconomic environment. This will create anenvironment conducive to financialdeepening and savings mobilizations.</w:t>
      </w:r>
    </w:p>
    <w:p>
      <w:pPr>
        <w:pStyle w:val="ListParagraph"/>
        <w:numPr>
          <w:ilvl w:val="0"/>
          <w:numId w:val="29"/>
        </w:numPr>
        <w:tabs>
          <w:tab w:pos="580" w:val="left" w:leader="none"/>
        </w:tabs>
        <w:spacing w:line="480" w:lineRule="auto" w:before="0" w:after="0"/>
        <w:ind w:left="580" w:right="734" w:hanging="360"/>
        <w:jc w:val="both"/>
        <w:rPr>
          <w:sz w:val="25"/>
        </w:rPr>
      </w:pPr>
      <w:r>
        <w:rPr>
          <w:sz w:val="25"/>
        </w:rPr>
        <w:t>In order to consolidate thegains of the reform programme, governmentshould avoid drastic policy reversal butrather, it should concentrateefforts in fine-tuning theexisting policy measureswhich will not only compelprudence on the part of majoroperators in the financialmarket but also will stimulate saving behaviour of all economicagents. This will go a long way atenhancing fund’s mobilizationin the country.</w:t>
      </w:r>
    </w:p>
    <w:p>
      <w:pPr>
        <w:pStyle w:val="ListParagraph"/>
        <w:numPr>
          <w:ilvl w:val="0"/>
          <w:numId w:val="29"/>
        </w:numPr>
        <w:tabs>
          <w:tab w:pos="580" w:val="left" w:leader="none"/>
        </w:tabs>
        <w:spacing w:line="480" w:lineRule="auto" w:before="0" w:after="0"/>
        <w:ind w:left="580" w:right="737" w:hanging="360"/>
        <w:jc w:val="both"/>
        <w:rPr>
          <w:sz w:val="25"/>
        </w:rPr>
      </w:pPr>
      <w:r>
        <w:rPr>
          <w:sz w:val="25"/>
        </w:rPr>
        <w:t>Government shouldestablish an incentiveframework and a business climatesupportive of entrepreneurshipand private sector developmentand</w:t>
      </w:r>
      <w:r>
        <w:rPr>
          <w:spacing w:val="40"/>
          <w:sz w:val="25"/>
        </w:rPr>
        <w:t> </w:t>
      </w:r>
      <w:r>
        <w:rPr>
          <w:sz w:val="25"/>
        </w:rPr>
        <w:t>fostering an all-out nationaltraining effort in managerialand technical skills in financialoperations and the use ofproper accounting procedures, andadequate auditing and financialinformation dissemination.</w:t>
      </w:r>
    </w:p>
    <w:p>
      <w:pPr>
        <w:pStyle w:val="ListParagraph"/>
        <w:numPr>
          <w:ilvl w:val="0"/>
          <w:numId w:val="29"/>
        </w:numPr>
        <w:tabs>
          <w:tab w:pos="580" w:val="left" w:leader="none"/>
        </w:tabs>
        <w:spacing w:line="480" w:lineRule="auto" w:before="0" w:after="0"/>
        <w:ind w:left="580" w:right="737" w:hanging="360"/>
        <w:jc w:val="both"/>
        <w:rPr>
          <w:sz w:val="25"/>
        </w:rPr>
      </w:pPr>
      <w:r>
        <w:rPr>
          <w:sz w:val="25"/>
        </w:rPr>
        <w:t>Government</w:t>
      </w:r>
      <w:r>
        <w:rPr>
          <w:spacing w:val="-1"/>
          <w:sz w:val="25"/>
        </w:rPr>
        <w:t> </w:t>
      </w:r>
      <w:r>
        <w:rPr>
          <w:sz w:val="25"/>
        </w:rPr>
        <w:t>should</w:t>
      </w:r>
      <w:r>
        <w:rPr>
          <w:spacing w:val="-1"/>
          <w:sz w:val="25"/>
        </w:rPr>
        <w:t> </w:t>
      </w:r>
      <w:r>
        <w:rPr>
          <w:sz w:val="25"/>
        </w:rPr>
        <w:t>initiate</w:t>
      </w:r>
      <w:r>
        <w:rPr>
          <w:spacing w:val="-2"/>
          <w:sz w:val="25"/>
        </w:rPr>
        <w:t> </w:t>
      </w:r>
      <w:r>
        <w:rPr>
          <w:sz w:val="25"/>
        </w:rPr>
        <w:t>policies</w:t>
      </w:r>
      <w:r>
        <w:rPr>
          <w:spacing w:val="-1"/>
          <w:sz w:val="25"/>
        </w:rPr>
        <w:t> </w:t>
      </w:r>
      <w:r>
        <w:rPr>
          <w:sz w:val="25"/>
        </w:rPr>
        <w:t>which</w:t>
      </w:r>
      <w:r>
        <w:rPr>
          <w:spacing w:val="-2"/>
          <w:sz w:val="25"/>
        </w:rPr>
        <w:t> </w:t>
      </w:r>
      <w:r>
        <w:rPr>
          <w:sz w:val="25"/>
        </w:rPr>
        <w:t>willpromote</w:t>
      </w:r>
      <w:r>
        <w:rPr>
          <w:spacing w:val="-1"/>
          <w:sz w:val="25"/>
        </w:rPr>
        <w:t> </w:t>
      </w:r>
      <w:r>
        <w:rPr>
          <w:sz w:val="25"/>
        </w:rPr>
        <w:t>the</w:t>
      </w:r>
      <w:r>
        <w:rPr>
          <w:spacing w:val="-2"/>
          <w:sz w:val="25"/>
        </w:rPr>
        <w:t> </w:t>
      </w:r>
      <w:r>
        <w:rPr>
          <w:sz w:val="25"/>
        </w:rPr>
        <w:t>long-rumgrowth</w:t>
      </w:r>
      <w:r>
        <w:rPr>
          <w:spacing w:val="-1"/>
          <w:sz w:val="25"/>
        </w:rPr>
        <w:t> </w:t>
      </w:r>
      <w:r>
        <w:rPr>
          <w:sz w:val="25"/>
        </w:rPr>
        <w:t>of</w:t>
      </w:r>
      <w:r>
        <w:rPr>
          <w:spacing w:val="-1"/>
          <w:sz w:val="25"/>
        </w:rPr>
        <w:t> </w:t>
      </w:r>
      <w:r>
        <w:rPr>
          <w:sz w:val="25"/>
        </w:rPr>
        <w:t>the</w:t>
      </w:r>
      <w:r>
        <w:rPr>
          <w:spacing w:val="-2"/>
          <w:sz w:val="25"/>
        </w:rPr>
        <w:t> </w:t>
      </w:r>
      <w:r>
        <w:rPr>
          <w:sz w:val="25"/>
        </w:rPr>
        <w:t>capital market and thereforethe economy at large toensure inflow of foreignportfolio investment. Hence, regulatory authoritiesshould deepen the equitystocks of the market andencourage more firms to get listed on theNigerian Stock Exchange with a view tochannelling more</w:t>
      </w:r>
    </w:p>
    <w:p>
      <w:pPr>
        <w:spacing w:after="0" w:line="480" w:lineRule="auto"/>
        <w:jc w:val="both"/>
        <w:rPr>
          <w:sz w:val="25"/>
        </w:rPr>
        <w:sectPr>
          <w:pgSz w:w="12240" w:h="15840"/>
          <w:pgMar w:header="0" w:footer="1012" w:top="1380" w:bottom="1200" w:left="1220" w:right="700"/>
        </w:sectPr>
      </w:pPr>
    </w:p>
    <w:p>
      <w:pPr>
        <w:pStyle w:val="BodyText"/>
        <w:spacing w:line="480" w:lineRule="auto" w:before="60"/>
        <w:ind w:left="580"/>
      </w:pPr>
      <w:r>
        <w:rPr/>
        <w:t>investments</w:t>
      </w:r>
      <w:r>
        <w:rPr>
          <w:spacing w:val="34"/>
        </w:rPr>
        <w:t> </w:t>
      </w:r>
      <w:r>
        <w:rPr/>
        <w:t>into</w:t>
      </w:r>
      <w:r>
        <w:rPr>
          <w:spacing w:val="34"/>
        </w:rPr>
        <w:t> </w:t>
      </w:r>
      <w:r>
        <w:rPr/>
        <w:t>the</w:t>
      </w:r>
      <w:r>
        <w:rPr>
          <w:spacing w:val="33"/>
        </w:rPr>
        <w:t> </w:t>
      </w:r>
      <w:r>
        <w:rPr/>
        <w:t>economythrough</w:t>
      </w:r>
      <w:r>
        <w:rPr>
          <w:spacing w:val="33"/>
        </w:rPr>
        <w:t> </w:t>
      </w:r>
      <w:r>
        <w:rPr/>
        <w:t>foreign</w:t>
      </w:r>
      <w:r>
        <w:rPr>
          <w:spacing w:val="35"/>
        </w:rPr>
        <w:t> </w:t>
      </w:r>
      <w:r>
        <w:rPr/>
        <w:t>portfolioinvestment</w:t>
      </w:r>
      <w:r>
        <w:rPr>
          <w:spacing w:val="33"/>
        </w:rPr>
        <w:t> </w:t>
      </w:r>
      <w:r>
        <w:rPr/>
        <w:t>thereby</w:t>
      </w:r>
      <w:r>
        <w:rPr>
          <w:spacing w:val="33"/>
        </w:rPr>
        <w:t> </w:t>
      </w:r>
      <w:r>
        <w:rPr/>
        <w:t>fast-tracking industrialisation and economic development.</w:t>
      </w:r>
    </w:p>
    <w:p>
      <w:pPr>
        <w:pStyle w:val="ListParagraph"/>
        <w:numPr>
          <w:ilvl w:val="0"/>
          <w:numId w:val="29"/>
        </w:numPr>
        <w:tabs>
          <w:tab w:pos="580" w:val="left" w:leader="none"/>
        </w:tabs>
        <w:spacing w:line="480" w:lineRule="auto" w:before="0" w:after="0"/>
        <w:ind w:left="580" w:right="736" w:hanging="360"/>
        <w:jc w:val="both"/>
        <w:rPr>
          <w:sz w:val="25"/>
        </w:rPr>
      </w:pPr>
      <w:r>
        <w:rPr/>
        <mc:AlternateContent>
          <mc:Choice Requires="wps">
            <w:drawing>
              <wp:anchor distT="0" distB="0" distL="0" distR="0" allowOverlap="1" layoutInCell="1" locked="0" behindDoc="1" simplePos="0" relativeHeight="478110208">
                <wp:simplePos x="0" y="0"/>
                <wp:positionH relativeFrom="page">
                  <wp:posOffset>950112</wp:posOffset>
                </wp:positionH>
                <wp:positionV relativeFrom="paragraph">
                  <wp:posOffset>552765</wp:posOffset>
                </wp:positionV>
                <wp:extent cx="5505450" cy="5661025"/>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524853pt;width:433.5pt;height:445.75pt;mso-position-horizontal-relative:page;mso-position-vertical-relative:paragraph;z-index:-25206272" id="docshape215" coordorigin="1496,870" coordsize="8670,8915" path="m2562,9590l1691,8719,1496,8914,2367,9785,2562,9590xm3154,8914l3153,8875,3148,8832,3139,8788,3125,8744,3106,8701,3083,8657,3055,8615,3025,8574,2991,8534,2954,8495,2435,7975,2241,8169,2772,8701,2805,8737,2829,8773,2846,8807,2856,8841,2858,8874,2851,8905,2837,8933,2816,8959,2790,8981,2761,8995,2730,9001,2697,8999,2663,8989,2628,8973,2593,8948,2557,8916,2026,8385,1831,8579,2351,9098,2385,9130,2424,9163,2468,9195,2516,9228,2548,9247,2583,9262,2620,9275,2658,9286,2697,9294,2733,9298,2767,9298,2800,9295,2831,9288,2863,9276,2895,9260,2926,9239,2957,9216,2985,9193,3011,9170,3035,9147,3071,9107,3102,9067,3125,9025,3142,8983,3150,8950,3154,8914xm3882,8131l3876,8067,3860,8001,3834,7934,3806,7880,3771,7824,3728,7767,3678,7708,3661,7689,3621,7647,3597,7625,3597,8119,3592,8159,3577,8196,3551,8229,3518,8254,3481,8269,3441,8274,3396,8267,3347,8249,3294,8218,3235,8173,3171,8114,3112,8050,3066,7991,3035,7936,3016,7887,3010,7843,3014,7802,3029,7767,3053,7735,3086,7709,3122,7694,3163,7689,3207,7694,3255,7711,3307,7741,3363,7783,3423,7838,3488,7908,3538,7971,3572,8027,3591,8075,3597,8119,3597,7625,3551,7582,3482,7527,3413,7482,3344,7446,3276,7421,3209,7405,3130,7399,3055,7409,2983,7435,2914,7475,2850,7531,2796,7594,2756,7662,2732,7734,2723,7809,2729,7889,2746,7957,2772,8026,2808,8096,2854,8166,2910,8236,2976,8307,3036,8364,3096,8414,3156,8456,3215,8491,3273,8518,3344,8542,3411,8556,3475,8559,3535,8553,3593,8537,3649,8510,3705,8472,3758,8424,3805,8370,3841,8314,3858,8274,3866,8255,3879,8194,3882,8131xm4153,7551l3966,7364,3712,7618,3899,7805,4153,7551xm4664,7489l3793,6617,3598,6812,4469,7684,4664,7489xm4998,7154l4675,6831,4781,6724,4832,6665,4837,6655,4866,6603,4883,6540,4882,6475,4866,6409,4843,6359,4836,6344,4792,6278,4733,6212,4670,6155,4607,6112,4598,6107,4598,6500,4597,6526,4587,6552,4570,6579,4546,6607,4498,6655,4304,6460,4359,6405,4386,6381,4412,6366,4438,6359,4462,6359,4486,6366,4509,6376,4531,6390,4552,6409,4570,6430,4584,6453,4593,6476,4598,6500,4598,6107,4544,6082,4483,6066,4423,6065,4365,6080,4309,6110,4255,6155,3931,6479,4803,7350,4998,7154xm5788,6365l5132,5709,5330,5510,5115,5295,4524,5887,4739,6102,4937,5903,5593,6559,5788,6365xm6423,5729l5767,5073,5966,4875,5751,4660,5159,5251,5374,5466,5573,5268,6229,5924,6423,5729xm7157,4856l7151,4792,7135,4726,7109,4659,7081,4605,7046,4549,7003,4492,6953,4433,6935,4414,6896,4372,6872,4350,6872,4844,6867,4884,6851,4921,6825,4954,6793,4980,6756,4994,6716,4999,6671,4992,6622,4974,6569,4943,6510,4898,6446,4839,6387,4775,6341,4716,6309,4661,6291,4612,6285,4568,6289,4528,6304,4492,6328,4460,6361,4435,6397,4419,6438,4414,6482,4419,6530,4436,6582,4466,6638,4508,6698,4563,6763,4633,6813,4696,6847,4752,6866,4800,6872,4844,6872,4350,6826,4307,6756,4252,6687,4207,6619,4172,6551,4146,6483,4130,6405,4125,6329,4135,6258,4160,6189,4200,6125,4256,6071,4319,6031,4387,6007,4459,5998,4534,6004,4614,6021,4682,6047,4751,6083,4821,6129,4891,6184,4961,6250,5032,6311,5089,6371,5139,6431,5181,6490,5216,6548,5243,6619,5267,6686,5281,6750,5285,6810,5278,6868,5262,6924,5235,6979,5197,7033,5149,7080,5095,7116,5039,7133,4999,7141,4980,7154,4919,7157,4856xm8170,3861l8165,3812,8153,3761,8134,3708,8109,3654,8079,3598,8041,3541,7980,3566,7799,3640,7831,3687,7855,3730,7873,3770,7884,3807,7887,3843,7881,3876,7866,3907,7843,3936,7812,3960,7778,3974,7740,3978,7700,3971,7653,3953,7600,3919,7538,3869,7469,3805,7417,3748,7375,3696,7344,3649,7324,3606,7311,3555,7312,3508,7325,3467,7352,3431,7367,3418,7384,3408,7402,3400,7422,3395,7442,3393,7464,3393,7486,3397,7509,3403,7524,3409,7542,3417,7563,3428,7586,3442,7705,3217,7622,3171,7543,3139,7469,3120,7400,3114,7333,3121,7269,3144,7206,3182,7146,3234,7092,3297,7054,3364,7030,3434,7021,3508,7027,3585,7044,3652,7070,3720,7106,3789,7153,3859,7209,3930,7276,4001,7341,4062,7404,4114,7467,4158,7529,4193,7590,4221,7662,4244,7730,4257,7791,4260,7847,4253,7900,4236,7952,4210,8004,4173,8056,4126,8094,4084,8125,4041,8147,3997,8161,3953,8169,3908,8170,3861xm8868,3145l8861,3081,8846,3016,8820,2949,8792,2894,8757,2838,8714,2781,8664,2722,8646,2703,8607,2661,8583,2639,8583,3133,8578,3173,8562,3210,8536,3243,8504,3269,8467,3284,8427,3288,8382,3282,8333,3264,8279,3232,8221,3187,8157,3128,8098,3064,8052,3005,8020,2951,8002,2902,7996,2857,8000,2817,8014,2781,8039,2749,8071,2724,8108,2708,8149,2703,8193,2708,8241,2725,8293,2755,8349,2797,8409,2852,8474,2922,8524,2985,8558,3041,8577,3090,8583,3133,8583,2639,8537,2596,8467,2541,8398,2496,8330,2461,8262,2435,8194,2419,8116,2414,8040,2424,7968,2449,7900,2490,7835,2545,7781,2609,7742,2676,7718,2748,7709,2824,7715,2903,7731,2972,7758,3041,7794,3110,7839,3180,7895,3250,7961,3321,8022,3378,8082,3428,8142,3470,8201,3505,8259,3532,8329,3557,8397,3570,8461,3574,8521,3567,8579,3551,8635,3524,8690,3486,8744,3438,8791,3384,8827,3328,8844,3288,8852,3269,8865,3208,8868,3145xm9348,2804l9025,2481,9132,2374,9182,2314,9188,2304,9216,2253,9233,2190,9233,2125,9217,2059,9194,2008,9187,1993,9142,1927,9084,1861,9020,1804,8957,1761,8948,1757,8948,2150,8947,2176,8938,2202,8921,2229,8896,2257,8849,2304,8654,2110,8710,2055,8737,2031,8763,2016,8788,2008,8812,2009,8836,2015,8859,2026,8881,2040,8902,2059,8920,2080,8934,2103,8943,2126,8948,2150,8948,1757,8895,1732,8833,1716,8773,1715,8715,1730,8659,1760,8605,1805,8282,2128,9153,3000,9348,2804xm10166,1986l9801,1622,9748,1472,9593,1020,9540,870,9325,1086,9353,1156,9436,1367,9492,1507,9422,1479,9211,1396,9071,1340,8854,1556,9005,1609,9456,1764,9606,1817,9971,2181,10166,1986xe" filled="true" fillcolor="#c0c0c0" stroked="false">
                <v:path arrowok="t"/>
                <v:fill opacity="32896f" type="solid"/>
                <w10:wrap type="none"/>
              </v:shape>
            </w:pict>
          </mc:Fallback>
        </mc:AlternateContent>
      </w:r>
      <w:r>
        <w:rPr>
          <w:sz w:val="25"/>
        </w:rPr>
        <w:t>The government should put in place measures that stimulateinvestments with fairlending rates so as to deepen the financialsystem which in turn promotes economicgrowth.</w:t>
      </w:r>
    </w:p>
    <w:p>
      <w:pPr>
        <w:pStyle w:val="BodyText"/>
        <w:spacing w:before="160"/>
        <w:ind w:left="0"/>
      </w:pPr>
    </w:p>
    <w:p>
      <w:pPr>
        <w:pStyle w:val="Heading2"/>
        <w:numPr>
          <w:ilvl w:val="1"/>
          <w:numId w:val="27"/>
        </w:numPr>
        <w:tabs>
          <w:tab w:pos="593" w:val="left" w:leader="none"/>
        </w:tabs>
        <w:spacing w:line="240" w:lineRule="auto" w:before="0" w:after="0"/>
        <w:ind w:left="593" w:right="0" w:hanging="373"/>
        <w:jc w:val="left"/>
      </w:pPr>
      <w:bookmarkStart w:name="_TOC_250002" w:id="73"/>
      <w:r>
        <w:rPr/>
        <w:t>Contribution</w:t>
      </w:r>
      <w:r>
        <w:rPr>
          <w:spacing w:val="-9"/>
        </w:rPr>
        <w:t> </w:t>
      </w:r>
      <w:r>
        <w:rPr/>
        <w:t>to</w:t>
      </w:r>
      <w:r>
        <w:rPr>
          <w:spacing w:val="-8"/>
        </w:rPr>
        <w:t> </w:t>
      </w:r>
      <w:bookmarkEnd w:id="73"/>
      <w:r>
        <w:rPr>
          <w:spacing w:val="-2"/>
        </w:rPr>
        <w:t>Knowledge</w:t>
      </w:r>
    </w:p>
    <w:p>
      <w:pPr>
        <w:pStyle w:val="BodyText"/>
        <w:spacing w:before="160"/>
        <w:ind w:left="0"/>
        <w:rPr>
          <w:b/>
        </w:rPr>
      </w:pPr>
    </w:p>
    <w:p>
      <w:pPr>
        <w:pStyle w:val="BodyText"/>
      </w:pPr>
      <w:r>
        <w:rPr/>
        <w:t>The</w:t>
      </w:r>
      <w:r>
        <w:rPr>
          <w:spacing w:val="-8"/>
        </w:rPr>
        <w:t> </w:t>
      </w:r>
      <w:r>
        <w:rPr/>
        <w:t>contributions</w:t>
      </w:r>
      <w:r>
        <w:rPr>
          <w:spacing w:val="-5"/>
        </w:rPr>
        <w:t> </w:t>
      </w:r>
      <w:r>
        <w:rPr/>
        <w:t>of</w:t>
      </w:r>
      <w:r>
        <w:rPr>
          <w:spacing w:val="-7"/>
        </w:rPr>
        <w:t> </w:t>
      </w:r>
      <w:r>
        <w:rPr/>
        <w:t>the</w:t>
      </w:r>
      <w:r>
        <w:rPr>
          <w:spacing w:val="-7"/>
        </w:rPr>
        <w:t> </w:t>
      </w:r>
      <w:r>
        <w:rPr/>
        <w:t>study</w:t>
      </w:r>
      <w:r>
        <w:rPr>
          <w:spacing w:val="-7"/>
        </w:rPr>
        <w:t> </w:t>
      </w:r>
      <w:r>
        <w:rPr/>
        <w:t>to</w:t>
      </w:r>
      <w:r>
        <w:rPr>
          <w:spacing w:val="-8"/>
        </w:rPr>
        <w:t> </w:t>
      </w:r>
      <w:r>
        <w:rPr/>
        <w:t>knowledge</w:t>
      </w:r>
      <w:r>
        <w:rPr>
          <w:spacing w:val="-7"/>
        </w:rPr>
        <w:t> </w:t>
      </w:r>
      <w:r>
        <w:rPr/>
        <w:t>are</w:t>
      </w:r>
      <w:r>
        <w:rPr>
          <w:spacing w:val="-5"/>
        </w:rPr>
        <w:t> </w:t>
      </w:r>
      <w:r>
        <w:rPr/>
        <w:t>enumerated</w:t>
      </w:r>
      <w:r>
        <w:rPr>
          <w:spacing w:val="-8"/>
        </w:rPr>
        <w:t> </w:t>
      </w:r>
      <w:r>
        <w:rPr>
          <w:spacing w:val="-2"/>
        </w:rPr>
        <w:t>below:</w:t>
      </w:r>
    </w:p>
    <w:p>
      <w:pPr>
        <w:pStyle w:val="BodyText"/>
        <w:spacing w:before="160"/>
        <w:ind w:left="0"/>
      </w:pPr>
    </w:p>
    <w:p>
      <w:pPr>
        <w:pStyle w:val="ListParagraph"/>
        <w:numPr>
          <w:ilvl w:val="0"/>
          <w:numId w:val="30"/>
        </w:numPr>
        <w:tabs>
          <w:tab w:pos="580" w:val="left" w:leader="none"/>
        </w:tabs>
        <w:spacing w:line="480" w:lineRule="auto" w:before="0" w:after="0"/>
        <w:ind w:left="580" w:right="738" w:hanging="360"/>
        <w:jc w:val="both"/>
        <w:rPr>
          <w:sz w:val="25"/>
        </w:rPr>
      </w:pPr>
      <w:r>
        <w:rPr>
          <w:sz w:val="25"/>
        </w:rPr>
        <w:t>This</w:t>
      </w:r>
      <w:r>
        <w:rPr>
          <w:spacing w:val="-2"/>
          <w:sz w:val="25"/>
        </w:rPr>
        <w:t> </w:t>
      </w:r>
      <w:r>
        <w:rPr>
          <w:sz w:val="25"/>
        </w:rPr>
        <w:t>study</w:t>
      </w:r>
      <w:r>
        <w:rPr>
          <w:spacing w:val="-4"/>
          <w:sz w:val="25"/>
        </w:rPr>
        <w:t> </w:t>
      </w:r>
      <w:r>
        <w:rPr>
          <w:sz w:val="25"/>
        </w:rPr>
        <w:t>established</w:t>
      </w:r>
      <w:r>
        <w:rPr>
          <w:spacing w:val="-4"/>
          <w:sz w:val="25"/>
        </w:rPr>
        <w:t> </w:t>
      </w:r>
      <w:r>
        <w:rPr>
          <w:sz w:val="25"/>
        </w:rPr>
        <w:t>that</w:t>
      </w:r>
      <w:r>
        <w:rPr>
          <w:spacing w:val="-4"/>
          <w:sz w:val="25"/>
        </w:rPr>
        <w:t> </w:t>
      </w:r>
      <w:r>
        <w:rPr>
          <w:sz w:val="25"/>
        </w:rPr>
        <w:t>foreign</w:t>
      </w:r>
      <w:r>
        <w:rPr>
          <w:spacing w:val="-4"/>
          <w:sz w:val="25"/>
        </w:rPr>
        <w:t> </w:t>
      </w:r>
      <w:r>
        <w:rPr>
          <w:sz w:val="25"/>
        </w:rPr>
        <w:t>direct</w:t>
      </w:r>
      <w:r>
        <w:rPr>
          <w:spacing w:val="-4"/>
          <w:sz w:val="25"/>
        </w:rPr>
        <w:t> </w:t>
      </w:r>
      <w:r>
        <w:rPr>
          <w:sz w:val="25"/>
        </w:rPr>
        <w:t>investment</w:t>
      </w:r>
      <w:r>
        <w:rPr>
          <w:spacing w:val="-4"/>
          <w:sz w:val="25"/>
        </w:rPr>
        <w:t> </w:t>
      </w:r>
      <w:r>
        <w:rPr>
          <w:sz w:val="25"/>
        </w:rPr>
        <w:t>inflows,</w:t>
      </w:r>
      <w:r>
        <w:rPr>
          <w:spacing w:val="-4"/>
          <w:sz w:val="25"/>
        </w:rPr>
        <w:t> </w:t>
      </w:r>
      <w:r>
        <w:rPr>
          <w:sz w:val="25"/>
        </w:rPr>
        <w:t>foreign</w:t>
      </w:r>
      <w:r>
        <w:rPr>
          <w:spacing w:val="-4"/>
          <w:sz w:val="25"/>
        </w:rPr>
        <w:t> </w:t>
      </w:r>
      <w:r>
        <w:rPr>
          <w:sz w:val="25"/>
        </w:rPr>
        <w:t>portfolio</w:t>
      </w:r>
      <w:r>
        <w:rPr>
          <w:spacing w:val="-4"/>
          <w:sz w:val="25"/>
        </w:rPr>
        <w:t> </w:t>
      </w:r>
      <w:r>
        <w:rPr>
          <w:sz w:val="25"/>
        </w:rPr>
        <w:t>investment inflows,</w:t>
      </w:r>
      <w:r>
        <w:rPr>
          <w:spacing w:val="-2"/>
          <w:sz w:val="25"/>
        </w:rPr>
        <w:t> </w:t>
      </w:r>
      <w:r>
        <w:rPr>
          <w:sz w:val="25"/>
        </w:rPr>
        <w:t>official</w:t>
      </w:r>
      <w:r>
        <w:rPr>
          <w:spacing w:val="-3"/>
          <w:sz w:val="25"/>
        </w:rPr>
        <w:t> </w:t>
      </w:r>
      <w:r>
        <w:rPr>
          <w:sz w:val="25"/>
        </w:rPr>
        <w:t>development</w:t>
      </w:r>
      <w:r>
        <w:rPr>
          <w:spacing w:val="-2"/>
          <w:sz w:val="25"/>
        </w:rPr>
        <w:t> </w:t>
      </w:r>
      <w:r>
        <w:rPr>
          <w:sz w:val="25"/>
        </w:rPr>
        <w:t>assistance</w:t>
      </w:r>
      <w:r>
        <w:rPr>
          <w:spacing w:val="-3"/>
          <w:sz w:val="25"/>
        </w:rPr>
        <w:t> </w:t>
      </w:r>
      <w:r>
        <w:rPr>
          <w:sz w:val="25"/>
        </w:rPr>
        <w:t>and</w:t>
      </w:r>
      <w:r>
        <w:rPr>
          <w:spacing w:val="-3"/>
          <w:sz w:val="25"/>
        </w:rPr>
        <w:t> </w:t>
      </w:r>
      <w:r>
        <w:rPr>
          <w:sz w:val="25"/>
        </w:rPr>
        <w:t>trade</w:t>
      </w:r>
      <w:r>
        <w:rPr>
          <w:spacing w:val="-3"/>
          <w:sz w:val="25"/>
        </w:rPr>
        <w:t> </w:t>
      </w:r>
      <w:r>
        <w:rPr>
          <w:sz w:val="25"/>
        </w:rPr>
        <w:t>openness</w:t>
      </w:r>
      <w:r>
        <w:rPr>
          <w:spacing w:val="-1"/>
          <w:sz w:val="25"/>
        </w:rPr>
        <w:t> </w:t>
      </w:r>
      <w:r>
        <w:rPr>
          <w:sz w:val="25"/>
        </w:rPr>
        <w:t>has</w:t>
      </w:r>
      <w:r>
        <w:rPr>
          <w:spacing w:val="-2"/>
          <w:sz w:val="25"/>
        </w:rPr>
        <w:t> </w:t>
      </w:r>
      <w:r>
        <w:rPr>
          <w:sz w:val="25"/>
        </w:rPr>
        <w:t>significant</w:t>
      </w:r>
      <w:r>
        <w:rPr>
          <w:spacing w:val="-3"/>
          <w:sz w:val="25"/>
        </w:rPr>
        <w:t> </w:t>
      </w:r>
      <w:r>
        <w:rPr>
          <w:sz w:val="25"/>
        </w:rPr>
        <w:t>positive</w:t>
      </w:r>
      <w:r>
        <w:rPr>
          <w:spacing w:val="-2"/>
          <w:sz w:val="25"/>
        </w:rPr>
        <w:t> </w:t>
      </w:r>
      <w:r>
        <w:rPr>
          <w:sz w:val="25"/>
        </w:rPr>
        <w:t>effect on economic growth while foreign remittances has insignificant negative effect on economic growth in Nigeria within the period under review.</w:t>
      </w:r>
    </w:p>
    <w:p>
      <w:pPr>
        <w:pStyle w:val="ListParagraph"/>
        <w:numPr>
          <w:ilvl w:val="0"/>
          <w:numId w:val="30"/>
        </w:numPr>
        <w:tabs>
          <w:tab w:pos="580" w:val="left" w:leader="none"/>
        </w:tabs>
        <w:spacing w:line="480" w:lineRule="auto" w:before="0" w:after="0"/>
        <w:ind w:left="580" w:right="744" w:hanging="360"/>
        <w:jc w:val="both"/>
        <w:rPr>
          <w:sz w:val="25"/>
        </w:rPr>
      </w:pPr>
      <w:r>
        <w:rPr>
          <w:sz w:val="25"/>
        </w:rPr>
        <w:t>The study extended its scope beyond those of earlier studies by modifying models of</w:t>
      </w:r>
      <w:r>
        <w:rPr>
          <w:spacing w:val="40"/>
          <w:sz w:val="25"/>
        </w:rPr>
        <w:t> </w:t>
      </w:r>
      <w:r>
        <w:rPr>
          <w:sz w:val="25"/>
        </w:rPr>
        <w:t>what were used earlier through the inclusion of remittances and official development assistance which was not captured by most scholars in previous studies.</w:t>
      </w:r>
    </w:p>
    <w:p>
      <w:pPr>
        <w:pStyle w:val="ListParagraph"/>
        <w:numPr>
          <w:ilvl w:val="0"/>
          <w:numId w:val="30"/>
        </w:numPr>
        <w:tabs>
          <w:tab w:pos="580" w:val="left" w:leader="none"/>
        </w:tabs>
        <w:spacing w:line="480" w:lineRule="auto" w:before="0" w:after="0"/>
        <w:ind w:left="580" w:right="740" w:hanging="360"/>
        <w:jc w:val="both"/>
        <w:rPr>
          <w:sz w:val="25"/>
        </w:rPr>
      </w:pPr>
      <w:r>
        <w:rPr>
          <w:sz w:val="25"/>
        </w:rPr>
        <w:t>It filled knowledge gap by extending the period captured to the year 2020 (i.e. the most recent available data at the time of the analysis within the Nigerian context).</w:t>
      </w:r>
    </w:p>
    <w:p>
      <w:pPr>
        <w:pStyle w:val="ListParagraph"/>
        <w:numPr>
          <w:ilvl w:val="0"/>
          <w:numId w:val="30"/>
        </w:numPr>
        <w:tabs>
          <w:tab w:pos="580" w:val="left" w:leader="none"/>
        </w:tabs>
        <w:spacing w:line="480" w:lineRule="auto" w:before="0" w:after="0"/>
        <w:ind w:left="580" w:right="739" w:hanging="360"/>
        <w:jc w:val="both"/>
        <w:rPr>
          <w:sz w:val="25"/>
        </w:rPr>
      </w:pPr>
      <w:r>
        <w:rPr>
          <w:sz w:val="25"/>
        </w:rPr>
        <w:t>The existing literature was updated in terms of variables used in the study. Practically, this study provides empirical evidence for further research work and policy formulations and implementation.</w:t>
      </w:r>
    </w:p>
    <w:p>
      <w:pPr>
        <w:spacing w:after="0" w:line="480" w:lineRule="auto"/>
        <w:jc w:val="both"/>
        <w:rPr>
          <w:sz w:val="25"/>
        </w:rPr>
        <w:sectPr>
          <w:pgSz w:w="12240" w:h="15840"/>
          <w:pgMar w:header="0" w:footer="1012" w:top="1380" w:bottom="1200" w:left="1220" w:right="700"/>
        </w:sectPr>
      </w:pPr>
    </w:p>
    <w:p>
      <w:pPr>
        <w:pStyle w:val="Heading2"/>
        <w:numPr>
          <w:ilvl w:val="1"/>
          <w:numId w:val="27"/>
        </w:numPr>
        <w:tabs>
          <w:tab w:pos="593" w:val="left" w:leader="none"/>
        </w:tabs>
        <w:spacing w:line="240" w:lineRule="auto" w:before="60" w:after="0"/>
        <w:ind w:left="593" w:right="0" w:hanging="373"/>
        <w:jc w:val="left"/>
      </w:pPr>
      <w:bookmarkStart w:name="_TOC_250001" w:id="74"/>
      <w:r>
        <w:rPr/>
        <w:t>Suggestion</w:t>
      </w:r>
      <w:r>
        <w:rPr>
          <w:spacing w:val="-9"/>
        </w:rPr>
        <w:t> </w:t>
      </w:r>
      <w:r>
        <w:rPr/>
        <w:t>for</w:t>
      </w:r>
      <w:r>
        <w:rPr>
          <w:spacing w:val="-8"/>
        </w:rPr>
        <w:t> </w:t>
      </w:r>
      <w:r>
        <w:rPr/>
        <w:t>Further</w:t>
      </w:r>
      <w:r>
        <w:rPr>
          <w:spacing w:val="-9"/>
        </w:rPr>
        <w:t> </w:t>
      </w:r>
      <w:bookmarkEnd w:id="74"/>
      <w:r>
        <w:rPr>
          <w:spacing w:val="-2"/>
        </w:rPr>
        <w:t>Studies</w:t>
      </w:r>
    </w:p>
    <w:p>
      <w:pPr>
        <w:pStyle w:val="BodyText"/>
        <w:spacing w:before="161"/>
        <w:ind w:left="0"/>
        <w:rPr>
          <w:b/>
        </w:rPr>
      </w:pPr>
    </w:p>
    <w:p>
      <w:pPr>
        <w:pStyle w:val="BodyText"/>
      </w:pPr>
      <w:r>
        <w:rPr/>
        <w:t>The</w:t>
      </w:r>
      <w:r>
        <w:rPr>
          <w:spacing w:val="-8"/>
        </w:rPr>
        <w:t> </w:t>
      </w:r>
      <w:r>
        <w:rPr/>
        <w:t>following</w:t>
      </w:r>
      <w:r>
        <w:rPr>
          <w:spacing w:val="-7"/>
        </w:rPr>
        <w:t> </w:t>
      </w:r>
      <w:r>
        <w:rPr/>
        <w:t>were</w:t>
      </w:r>
      <w:r>
        <w:rPr>
          <w:spacing w:val="-8"/>
        </w:rPr>
        <w:t> </w:t>
      </w:r>
      <w:r>
        <w:rPr/>
        <w:t>recommended</w:t>
      </w:r>
      <w:r>
        <w:rPr>
          <w:spacing w:val="-7"/>
        </w:rPr>
        <w:t> </w:t>
      </w:r>
      <w:r>
        <w:rPr/>
        <w:t>for</w:t>
      </w:r>
      <w:r>
        <w:rPr>
          <w:spacing w:val="-6"/>
        </w:rPr>
        <w:t> </w:t>
      </w:r>
      <w:r>
        <w:rPr/>
        <w:t>further</w:t>
      </w:r>
      <w:r>
        <w:rPr>
          <w:spacing w:val="-8"/>
        </w:rPr>
        <w:t> </w:t>
      </w:r>
      <w:r>
        <w:rPr>
          <w:spacing w:val="-2"/>
        </w:rPr>
        <w:t>studies</w:t>
      </w:r>
    </w:p>
    <w:p>
      <w:pPr>
        <w:pStyle w:val="BodyText"/>
        <w:spacing w:before="160"/>
        <w:ind w:left="0"/>
      </w:pPr>
    </w:p>
    <w:p>
      <w:pPr>
        <w:pStyle w:val="ListParagraph"/>
        <w:numPr>
          <w:ilvl w:val="0"/>
          <w:numId w:val="31"/>
        </w:numPr>
        <w:tabs>
          <w:tab w:pos="489" w:val="left" w:leader="none"/>
          <w:tab w:pos="491" w:val="left" w:leader="none"/>
        </w:tabs>
        <w:spacing w:line="480" w:lineRule="auto" w:before="0" w:after="0"/>
        <w:ind w:left="491" w:right="744" w:hanging="363"/>
        <w:jc w:val="left"/>
        <w:rPr>
          <w:sz w:val="25"/>
        </w:rPr>
      </w:pPr>
      <w:r>
        <w:rPr/>
        <mc:AlternateContent>
          <mc:Choice Requires="wps">
            <w:drawing>
              <wp:anchor distT="0" distB="0" distL="0" distR="0" allowOverlap="1" layoutInCell="1" locked="0" behindDoc="1" simplePos="0" relativeHeight="478110720">
                <wp:simplePos x="0" y="0"/>
                <wp:positionH relativeFrom="page">
                  <wp:posOffset>950112</wp:posOffset>
                </wp:positionH>
                <wp:positionV relativeFrom="paragraph">
                  <wp:posOffset>348930</wp:posOffset>
                </wp:positionV>
                <wp:extent cx="5505450" cy="5661025"/>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27.474854pt;width:433.5pt;height:445.75pt;mso-position-horizontal-relative:page;mso-position-vertical-relative:paragraph;z-index:-25205760" id="docshape216" coordorigin="1496,549" coordsize="8670,8915" path="m2562,9269l1691,8398,1496,8593,2367,9464,2562,9269xm3154,8593l3153,8554,3148,8511,3139,8467,3125,8423,3106,8380,3083,8336,3055,8294,3025,8253,2991,8213,2954,8174,2435,7654,2241,7848,2772,8380,2805,8416,2829,8452,2846,8486,2856,8520,2858,8553,2851,8584,2837,8612,2816,8638,2790,8660,2761,8674,2730,8680,2697,8678,2663,8668,2628,8652,2593,8627,2557,8595,2026,8064,1831,8258,2351,8777,2385,8809,2424,8842,2468,8874,2516,8907,2548,8926,2583,8941,2620,8954,2658,8965,2697,8973,2733,8977,2767,8977,2800,8974,2831,8967,2863,8955,2895,8939,2926,8918,2957,8895,2985,8872,3011,8849,3035,8826,3071,8786,3102,8746,3125,8704,3142,8662,3150,8629,3154,8593xm3882,7810l3876,7746,3860,7680,3834,7613,3806,7559,3771,7503,3728,7446,3678,7387,3661,7368,3621,7326,3597,7304,3597,7798,3592,7838,3577,7875,3551,7908,3518,7933,3481,7948,3441,7953,3396,7946,3347,7928,3294,7897,3235,7852,3171,7793,3112,7729,3066,7670,3035,7615,3016,7566,3010,7522,3014,7481,3029,7446,3053,7414,3086,7388,3122,7373,3163,7368,3207,7373,3255,7390,3307,7420,3363,7462,3423,7517,3488,7587,3538,7650,3572,7706,3591,7754,3597,7798,3597,7304,3551,7261,3482,7206,3413,7161,3344,7125,3276,7100,3209,7084,3130,7078,3055,7088,2983,7114,2914,7154,2850,7210,2796,7273,2756,7341,2732,7413,2723,7488,2729,7568,2746,7636,2772,7705,2808,7775,2854,7845,2910,7915,2976,7986,3036,8043,3096,8093,3156,8135,3215,8170,3273,8197,3344,8221,3411,8235,3475,8238,3535,8232,3593,8216,3649,8189,3705,8151,3758,8103,3805,8049,3841,7993,3858,7953,3866,7934,3879,7873,3882,7810xm4153,7230l3966,7043,3712,7297,3899,7484,4153,7230xm4664,7168l3793,6296,3598,6491,4469,7363,4664,7168xm4998,6833l4675,6510,4781,6403,4832,6344,4837,6334,4866,6282,4883,6219,4882,6154,4866,6088,4843,6038,4836,6023,4792,5957,4733,5891,4670,5834,4607,5791,4598,5786,4598,6179,4597,6205,4587,6231,4570,6258,4546,6286,4498,6334,4304,6139,4359,6084,4386,6060,4412,6045,4438,6038,4462,6038,4486,6045,4509,6055,4531,6069,4552,6088,4570,6109,4584,6132,4593,6155,4598,6179,4598,5786,4544,5761,4483,5745,4423,5744,4365,5759,4309,5789,4255,5834,3931,6158,4803,7029,4998,6833xm5788,6044l5132,5388,5330,5189,5115,4974,4524,5566,4739,5781,4937,5582,5593,6238,5788,6044xm6423,5408l5767,4752,5966,4554,5751,4339,5159,4930,5374,5145,5573,4947,6229,5603,6423,5408xm7157,4535l7151,4471,7135,4405,7109,4338,7081,4284,7046,4228,7003,4171,6953,4112,6935,4093,6896,4051,6872,4029,6872,4523,6867,4563,6851,4600,6825,4633,6793,4659,6756,4673,6716,4678,6671,4671,6622,4653,6569,4622,6510,4577,6446,4518,6387,4454,6341,4395,6309,4340,6291,4291,6285,4247,6289,4207,6304,4171,6328,4139,6361,4114,6397,4098,6438,4093,6482,4098,6530,4115,6582,4145,6638,4187,6698,4242,6763,4312,6813,4375,6847,4431,6866,4479,6872,4523,6872,4029,6826,3986,6756,3931,6687,3886,6619,3851,6551,3825,6483,3809,6405,3804,6329,3814,6258,3839,6189,3879,6125,3935,6071,3998,6031,4066,6007,4138,5998,4213,6004,4293,6021,4361,6047,4430,6083,4500,6129,4570,6184,4640,6250,4711,6311,4768,6371,4818,6431,4860,6490,4895,6548,4922,6619,4946,6686,4960,6750,4964,6810,4957,6868,4941,6924,4914,6979,4876,7033,4828,7080,4774,7116,4718,7133,4678,7141,4659,7154,4598,7157,4535xm8170,3540l8165,3491,8153,3440,8134,3387,8109,3333,8079,3277,8041,3220,7980,3245,7799,3319,7831,3366,7855,3409,7873,3449,7884,3486,7887,3522,7881,3555,7866,3586,7843,3615,7812,3639,7778,3653,7740,3657,7700,3650,7653,3632,7600,3598,7538,3548,7469,3484,7417,3427,7375,3375,7344,3328,7324,3285,7311,3234,7312,3187,7325,3146,7352,3110,7367,3097,7384,3087,7402,3079,7422,3074,7442,3072,7464,3072,7486,3076,7509,3082,7524,3088,7542,3096,7563,3107,7586,3121,7705,2896,7622,2850,7543,2818,7469,2799,7400,2793,7333,2800,7269,2823,7206,2861,7146,2913,7092,2976,7054,3043,7030,3113,7021,3187,7027,3264,7044,3331,7070,3399,7106,3468,7153,3538,7209,3609,7276,3680,7341,3741,7404,3793,7467,3837,7529,3872,7590,3900,7662,3923,7730,3936,7791,3939,7847,3932,7900,3915,7952,3889,8004,3852,8056,3805,8094,3763,8125,3720,8147,3676,8161,3632,8169,3587,8170,3540xm8868,2824l8861,2760,8846,2695,8820,2628,8792,2573,8757,2517,8714,2460,8664,2401,8646,2382,8607,2340,8583,2318,8583,2812,8578,2852,8562,2889,8536,2922,8504,2948,8467,2963,8427,2967,8382,2961,8333,2943,8279,2911,8221,2866,8157,2807,8098,2743,8052,2684,8020,2630,8002,2581,7996,2536,8000,2496,8014,2460,8039,2428,8071,2403,8108,2387,8149,2382,8193,2387,8241,2404,8293,2434,8349,2476,8409,2531,8474,2601,8524,2664,8558,2720,8577,2769,8583,2812,8583,2318,8537,2275,8467,2220,8398,2175,8330,2140,8262,2114,8194,2098,8116,2093,8040,2103,7968,2128,7900,2169,7835,2224,7781,2288,7742,2355,7718,2427,7709,2503,7715,2582,7731,2651,7758,2720,7794,2789,7839,2859,7895,2929,7961,3000,8022,3057,8082,3107,8142,3149,8201,3184,8259,3211,8329,3236,8397,3249,8461,3253,8521,3246,8579,3230,8635,3203,8690,3165,8744,3117,8791,3063,8827,3007,8844,2967,8852,2948,8865,2887,8868,2824xm9348,2483l9025,2160,9132,2053,9182,1993,9188,1983,9216,1932,9233,1869,9233,1804,9217,1738,9194,1687,9187,1672,9142,1606,9084,1540,9020,1483,8957,1440,8948,1436,8948,1829,8947,1855,8938,1881,8921,1908,8896,1936,8849,1983,8654,1789,8710,1734,8737,1710,8763,1695,8788,1687,8812,1688,8836,1694,8859,1705,8881,1719,8902,1738,8920,1759,8934,1782,8943,1805,8948,1829,8948,1436,8895,1411,8833,1395,8773,1394,8715,1409,8659,1439,8605,1484,8282,1807,9153,2679,9348,2483xm10166,1665l9801,1301,9748,1151,9593,699,9540,549,9325,765,9353,835,9436,1046,9492,1186,9422,1158,9211,1075,9071,1019,8854,1235,9005,1288,9456,1443,9606,1496,9971,1860,10166,1665xe" filled="true" fillcolor="#c0c0c0" stroked="false">
                <v:path arrowok="t"/>
                <v:fill opacity="32896f" type="solid"/>
                <w10:wrap type="none"/>
              </v:shape>
            </w:pict>
          </mc:Fallback>
        </mc:AlternateContent>
      </w:r>
      <w:r>
        <w:rPr>
          <w:sz w:val="25"/>
        </w:rPr>
        <w:t>A</w:t>
      </w:r>
      <w:r>
        <w:rPr>
          <w:spacing w:val="31"/>
          <w:sz w:val="25"/>
        </w:rPr>
        <w:t> </w:t>
      </w:r>
      <w:r>
        <w:rPr>
          <w:sz w:val="25"/>
        </w:rPr>
        <w:t>cross</w:t>
      </w:r>
      <w:r>
        <w:rPr>
          <w:spacing w:val="33"/>
          <w:sz w:val="25"/>
        </w:rPr>
        <w:t> </w:t>
      </w:r>
      <w:r>
        <w:rPr>
          <w:sz w:val="25"/>
        </w:rPr>
        <w:t>country</w:t>
      </w:r>
      <w:r>
        <w:rPr>
          <w:spacing w:val="32"/>
          <w:sz w:val="25"/>
        </w:rPr>
        <w:t> </w:t>
      </w:r>
      <w:r>
        <w:rPr>
          <w:sz w:val="25"/>
        </w:rPr>
        <w:t>analysis</w:t>
      </w:r>
      <w:r>
        <w:rPr>
          <w:spacing w:val="33"/>
          <w:sz w:val="25"/>
        </w:rPr>
        <w:t> </w:t>
      </w:r>
      <w:r>
        <w:rPr>
          <w:sz w:val="25"/>
        </w:rPr>
        <w:t>should</w:t>
      </w:r>
      <w:r>
        <w:rPr>
          <w:spacing w:val="32"/>
          <w:sz w:val="25"/>
        </w:rPr>
        <w:t> </w:t>
      </w:r>
      <w:r>
        <w:rPr>
          <w:sz w:val="25"/>
        </w:rPr>
        <w:t>be</w:t>
      </w:r>
      <w:r>
        <w:rPr>
          <w:spacing w:val="31"/>
          <w:sz w:val="25"/>
        </w:rPr>
        <w:t> </w:t>
      </w:r>
      <w:r>
        <w:rPr>
          <w:sz w:val="25"/>
        </w:rPr>
        <w:t>carried</w:t>
      </w:r>
      <w:r>
        <w:rPr>
          <w:spacing w:val="31"/>
          <w:sz w:val="25"/>
        </w:rPr>
        <w:t> </w:t>
      </w:r>
      <w:r>
        <w:rPr>
          <w:sz w:val="25"/>
        </w:rPr>
        <w:t>out</w:t>
      </w:r>
      <w:r>
        <w:rPr>
          <w:spacing w:val="32"/>
          <w:sz w:val="25"/>
        </w:rPr>
        <w:t> </w:t>
      </w:r>
      <w:r>
        <w:rPr>
          <w:sz w:val="25"/>
        </w:rPr>
        <w:t>on</w:t>
      </w:r>
      <w:r>
        <w:rPr>
          <w:spacing w:val="32"/>
          <w:sz w:val="25"/>
        </w:rPr>
        <w:t> </w:t>
      </w:r>
      <w:r>
        <w:rPr>
          <w:sz w:val="25"/>
        </w:rPr>
        <w:t>the</w:t>
      </w:r>
      <w:r>
        <w:rPr>
          <w:spacing w:val="31"/>
          <w:sz w:val="25"/>
        </w:rPr>
        <w:t> </w:t>
      </w:r>
      <w:r>
        <w:rPr>
          <w:sz w:val="25"/>
        </w:rPr>
        <w:t>effect</w:t>
      </w:r>
      <w:r>
        <w:rPr>
          <w:spacing w:val="32"/>
          <w:sz w:val="25"/>
        </w:rPr>
        <w:t> </w:t>
      </w:r>
      <w:r>
        <w:rPr>
          <w:sz w:val="25"/>
        </w:rPr>
        <w:t>of</w:t>
      </w:r>
      <w:r>
        <w:rPr>
          <w:spacing w:val="32"/>
          <w:sz w:val="25"/>
        </w:rPr>
        <w:t> </w:t>
      </w:r>
      <w:r>
        <w:rPr>
          <w:sz w:val="25"/>
        </w:rPr>
        <w:t>financial</w:t>
      </w:r>
      <w:r>
        <w:rPr>
          <w:spacing w:val="31"/>
          <w:sz w:val="25"/>
        </w:rPr>
        <w:t> </w:t>
      </w:r>
      <w:r>
        <w:rPr>
          <w:sz w:val="25"/>
        </w:rPr>
        <w:t>integration</w:t>
      </w:r>
      <w:r>
        <w:rPr>
          <w:spacing w:val="32"/>
          <w:sz w:val="25"/>
        </w:rPr>
        <w:t> </w:t>
      </w:r>
      <w:r>
        <w:rPr>
          <w:sz w:val="25"/>
        </w:rPr>
        <w:t>on economic development in West African Region.</w:t>
      </w:r>
    </w:p>
    <w:p>
      <w:pPr>
        <w:pStyle w:val="ListParagraph"/>
        <w:numPr>
          <w:ilvl w:val="0"/>
          <w:numId w:val="31"/>
        </w:numPr>
        <w:tabs>
          <w:tab w:pos="489" w:val="left" w:leader="none"/>
          <w:tab w:pos="491" w:val="left" w:leader="none"/>
        </w:tabs>
        <w:spacing w:line="480" w:lineRule="auto" w:before="0" w:after="0"/>
        <w:ind w:left="491" w:right="741" w:hanging="363"/>
        <w:jc w:val="left"/>
        <w:rPr>
          <w:sz w:val="25"/>
        </w:rPr>
      </w:pPr>
      <w:r>
        <w:rPr>
          <w:sz w:val="25"/>
        </w:rPr>
        <w:t>Also</w:t>
      </w:r>
      <w:r>
        <w:rPr>
          <w:spacing w:val="-4"/>
          <w:sz w:val="25"/>
        </w:rPr>
        <w:t> </w:t>
      </w:r>
      <w:r>
        <w:rPr>
          <w:sz w:val="25"/>
        </w:rPr>
        <w:t>the</w:t>
      </w:r>
      <w:r>
        <w:rPr>
          <w:spacing w:val="-4"/>
          <w:sz w:val="25"/>
        </w:rPr>
        <w:t> </w:t>
      </w:r>
      <w:r>
        <w:rPr>
          <w:sz w:val="25"/>
        </w:rPr>
        <w:t>intermediation role</w:t>
      </w:r>
      <w:r>
        <w:rPr>
          <w:spacing w:val="-4"/>
          <w:sz w:val="25"/>
        </w:rPr>
        <w:t> </w:t>
      </w:r>
      <w:r>
        <w:rPr>
          <w:sz w:val="25"/>
        </w:rPr>
        <w:t>of</w:t>
      </w:r>
      <w:r>
        <w:rPr>
          <w:spacing w:val="-4"/>
          <w:sz w:val="25"/>
        </w:rPr>
        <w:t> </w:t>
      </w:r>
      <w:r>
        <w:rPr>
          <w:sz w:val="25"/>
        </w:rPr>
        <w:t>strong</w:t>
      </w:r>
      <w:r>
        <w:rPr>
          <w:spacing w:val="-4"/>
          <w:sz w:val="25"/>
        </w:rPr>
        <w:t> </w:t>
      </w:r>
      <w:r>
        <w:rPr>
          <w:sz w:val="25"/>
        </w:rPr>
        <w:t>institution</w:t>
      </w:r>
      <w:r>
        <w:rPr>
          <w:spacing w:val="-4"/>
          <w:sz w:val="25"/>
        </w:rPr>
        <w:t> </w:t>
      </w:r>
      <w:r>
        <w:rPr>
          <w:sz w:val="25"/>
        </w:rPr>
        <w:t>and</w:t>
      </w:r>
      <w:r>
        <w:rPr>
          <w:spacing w:val="-4"/>
          <w:sz w:val="25"/>
        </w:rPr>
        <w:t> </w:t>
      </w:r>
      <w:r>
        <w:rPr>
          <w:sz w:val="25"/>
        </w:rPr>
        <w:t>political</w:t>
      </w:r>
      <w:r>
        <w:rPr>
          <w:spacing w:val="-1"/>
          <w:sz w:val="25"/>
        </w:rPr>
        <w:t> </w:t>
      </w:r>
      <w:r>
        <w:rPr>
          <w:sz w:val="25"/>
        </w:rPr>
        <w:t>stability</w:t>
      </w:r>
      <w:r>
        <w:rPr>
          <w:spacing w:val="-4"/>
          <w:sz w:val="25"/>
        </w:rPr>
        <w:t> </w:t>
      </w:r>
      <w:r>
        <w:rPr>
          <w:sz w:val="25"/>
        </w:rPr>
        <w:t>should</w:t>
      </w:r>
      <w:r>
        <w:rPr>
          <w:spacing w:val="-4"/>
          <w:sz w:val="25"/>
        </w:rPr>
        <w:t> </w:t>
      </w:r>
      <w:r>
        <w:rPr>
          <w:sz w:val="25"/>
        </w:rPr>
        <w:t>be</w:t>
      </w:r>
      <w:r>
        <w:rPr>
          <w:spacing w:val="-2"/>
          <w:sz w:val="25"/>
        </w:rPr>
        <w:t> </w:t>
      </w:r>
      <w:r>
        <w:rPr>
          <w:sz w:val="25"/>
        </w:rPr>
        <w:t>examined in relation to effect of financial integration on economic growth in Nigeria.</w:t>
      </w:r>
    </w:p>
    <w:p>
      <w:pPr>
        <w:pStyle w:val="ListParagraph"/>
        <w:numPr>
          <w:ilvl w:val="0"/>
          <w:numId w:val="31"/>
        </w:numPr>
        <w:tabs>
          <w:tab w:pos="489" w:val="left" w:leader="none"/>
          <w:tab w:pos="491" w:val="left" w:leader="none"/>
        </w:tabs>
        <w:spacing w:line="480" w:lineRule="auto" w:before="0" w:after="0"/>
        <w:ind w:left="491" w:right="740" w:hanging="363"/>
        <w:jc w:val="left"/>
        <w:rPr>
          <w:sz w:val="25"/>
        </w:rPr>
      </w:pPr>
      <w:r>
        <w:rPr>
          <w:sz w:val="25"/>
        </w:rPr>
        <w:t>Other</w:t>
      </w:r>
      <w:r>
        <w:rPr>
          <w:spacing w:val="80"/>
          <w:sz w:val="25"/>
        </w:rPr>
        <w:t> </w:t>
      </w:r>
      <w:r>
        <w:rPr>
          <w:sz w:val="25"/>
        </w:rPr>
        <w:t>financial</w:t>
      </w:r>
      <w:r>
        <w:rPr>
          <w:spacing w:val="80"/>
          <w:sz w:val="25"/>
        </w:rPr>
        <w:t> </w:t>
      </w:r>
      <w:r>
        <w:rPr>
          <w:sz w:val="25"/>
        </w:rPr>
        <w:t>integration</w:t>
      </w:r>
      <w:r>
        <w:rPr>
          <w:spacing w:val="80"/>
          <w:sz w:val="25"/>
        </w:rPr>
        <w:t> </w:t>
      </w:r>
      <w:r>
        <w:rPr>
          <w:sz w:val="25"/>
        </w:rPr>
        <w:t>variables</w:t>
      </w:r>
      <w:r>
        <w:rPr>
          <w:spacing w:val="80"/>
          <w:sz w:val="25"/>
        </w:rPr>
        <w:t> </w:t>
      </w:r>
      <w:r>
        <w:rPr>
          <w:sz w:val="25"/>
        </w:rPr>
        <w:t>not</w:t>
      </w:r>
      <w:r>
        <w:rPr>
          <w:spacing w:val="80"/>
          <w:sz w:val="25"/>
        </w:rPr>
        <w:t> </w:t>
      </w:r>
      <w:r>
        <w:rPr>
          <w:sz w:val="25"/>
        </w:rPr>
        <w:t>included</w:t>
      </w:r>
      <w:r>
        <w:rPr>
          <w:spacing w:val="80"/>
          <w:sz w:val="25"/>
        </w:rPr>
        <w:t> </w:t>
      </w:r>
      <w:r>
        <w:rPr>
          <w:sz w:val="25"/>
        </w:rPr>
        <w:t>in</w:t>
      </w:r>
      <w:r>
        <w:rPr>
          <w:spacing w:val="80"/>
          <w:sz w:val="25"/>
        </w:rPr>
        <w:t> </w:t>
      </w:r>
      <w:r>
        <w:rPr>
          <w:sz w:val="25"/>
        </w:rPr>
        <w:t>the</w:t>
      </w:r>
      <w:r>
        <w:rPr>
          <w:spacing w:val="80"/>
          <w:sz w:val="25"/>
        </w:rPr>
        <w:t> </w:t>
      </w:r>
      <w:r>
        <w:rPr>
          <w:sz w:val="25"/>
        </w:rPr>
        <w:t>present</w:t>
      </w:r>
      <w:r>
        <w:rPr>
          <w:spacing w:val="80"/>
          <w:sz w:val="25"/>
        </w:rPr>
        <w:t> </w:t>
      </w:r>
      <w:r>
        <w:rPr>
          <w:sz w:val="25"/>
        </w:rPr>
        <w:t>study</w:t>
      </w:r>
      <w:r>
        <w:rPr>
          <w:spacing w:val="80"/>
          <w:sz w:val="25"/>
        </w:rPr>
        <w:t> </w:t>
      </w:r>
      <w:r>
        <w:rPr>
          <w:sz w:val="25"/>
        </w:rPr>
        <w:t>should</w:t>
      </w:r>
      <w:r>
        <w:rPr>
          <w:spacing w:val="80"/>
          <w:sz w:val="25"/>
        </w:rPr>
        <w:t> </w:t>
      </w:r>
      <w:r>
        <w:rPr>
          <w:sz w:val="25"/>
        </w:rPr>
        <w:t>be</w:t>
      </w:r>
      <w:r>
        <w:rPr>
          <w:spacing w:val="40"/>
          <w:sz w:val="25"/>
        </w:rPr>
        <w:t> </w:t>
      </w:r>
      <w:r>
        <w:rPr>
          <w:sz w:val="25"/>
        </w:rPr>
        <w:t>incorporated in future studies.</w:t>
      </w:r>
    </w:p>
    <w:p>
      <w:pPr>
        <w:spacing w:after="0" w:line="480" w:lineRule="auto"/>
        <w:jc w:val="left"/>
        <w:rPr>
          <w:sz w:val="25"/>
        </w:rPr>
        <w:sectPr>
          <w:pgSz w:w="12240" w:h="15840"/>
          <w:pgMar w:header="0" w:footer="1012" w:top="1380" w:bottom="1200" w:left="1220" w:right="700"/>
        </w:sectPr>
      </w:pPr>
    </w:p>
    <w:p>
      <w:pPr>
        <w:pStyle w:val="Heading1"/>
        <w:ind w:right="689"/>
      </w:pPr>
      <w:bookmarkStart w:name="_TOC_250000" w:id="75"/>
      <w:bookmarkEnd w:id="75"/>
      <w:r>
        <w:rPr>
          <w:spacing w:val="-2"/>
        </w:rPr>
        <w:t>REFERENCES</w:t>
      </w:r>
    </w:p>
    <w:p>
      <w:pPr>
        <w:spacing w:before="240"/>
        <w:ind w:left="940" w:right="737" w:hanging="720"/>
        <w:jc w:val="both"/>
        <w:rPr>
          <w:sz w:val="25"/>
        </w:rPr>
      </w:pPr>
      <w:r>
        <w:rPr>
          <w:sz w:val="25"/>
        </w:rPr>
        <w:t>Abbas, A. (2005). The role of domestic debt </w:t>
      </w:r>
      <w:r>
        <w:rPr>
          <w:b/>
          <w:sz w:val="25"/>
        </w:rPr>
        <w:t>markets in economic growth: An empirical investigation for low-income countries </w:t>
      </w:r>
      <w:r>
        <w:rPr>
          <w:sz w:val="25"/>
        </w:rPr>
        <w:t>and emerging markets. </w:t>
      </w:r>
      <w:r>
        <w:rPr>
          <w:i/>
          <w:sz w:val="25"/>
        </w:rPr>
        <w:t>IMF Staff Papers</w:t>
      </w:r>
      <w:r>
        <w:rPr>
          <w:sz w:val="25"/>
        </w:rPr>
        <w:t>, 57(1): 209-255.</w:t>
      </w:r>
    </w:p>
    <w:p>
      <w:pPr>
        <w:pStyle w:val="BodyText"/>
        <w:spacing w:before="239"/>
        <w:ind w:left="170" w:right="690"/>
        <w:jc w:val="center"/>
      </w:pPr>
      <w:r>
        <w:rPr/>
        <w:t>Abdulaziz,</w:t>
      </w:r>
      <w:r>
        <w:rPr>
          <w:spacing w:val="53"/>
        </w:rPr>
        <w:t> </w:t>
      </w:r>
      <w:r>
        <w:rPr/>
        <w:t>A.H.</w:t>
      </w:r>
      <w:r>
        <w:rPr>
          <w:spacing w:val="51"/>
        </w:rPr>
        <w:t> </w:t>
      </w:r>
      <w:r>
        <w:rPr/>
        <w:t>(2020).</w:t>
      </w:r>
      <w:r>
        <w:rPr>
          <w:spacing w:val="52"/>
        </w:rPr>
        <w:t> </w:t>
      </w:r>
      <w:r>
        <w:rPr/>
        <w:t>Impact</w:t>
      </w:r>
      <w:r>
        <w:rPr>
          <w:spacing w:val="51"/>
        </w:rPr>
        <w:t> </w:t>
      </w:r>
      <w:r>
        <w:rPr/>
        <w:t>of</w:t>
      </w:r>
      <w:r>
        <w:rPr>
          <w:spacing w:val="51"/>
        </w:rPr>
        <w:t> </w:t>
      </w:r>
      <w:r>
        <w:rPr/>
        <w:t>financial</w:t>
      </w:r>
      <w:r>
        <w:rPr>
          <w:spacing w:val="54"/>
        </w:rPr>
        <w:t> </w:t>
      </w:r>
      <w:r>
        <w:rPr/>
        <w:t>integration</w:t>
      </w:r>
      <w:r>
        <w:rPr>
          <w:spacing w:val="52"/>
        </w:rPr>
        <w:t> </w:t>
      </w:r>
      <w:r>
        <w:rPr/>
        <w:t>on</w:t>
      </w:r>
      <w:r>
        <w:rPr>
          <w:spacing w:val="55"/>
        </w:rPr>
        <w:t> </w:t>
      </w:r>
      <w:r>
        <w:rPr/>
        <w:t>Ethiopian</w:t>
      </w:r>
      <w:r>
        <w:rPr>
          <w:spacing w:val="52"/>
        </w:rPr>
        <w:t> </w:t>
      </w:r>
      <w:r>
        <w:rPr/>
        <w:t>economic</w:t>
      </w:r>
      <w:r>
        <w:rPr>
          <w:spacing w:val="54"/>
        </w:rPr>
        <w:t> </w:t>
      </w:r>
      <w:r>
        <w:rPr>
          <w:spacing w:val="-2"/>
        </w:rPr>
        <w:t>growth.</w:t>
      </w:r>
    </w:p>
    <w:p>
      <w:pPr>
        <w:spacing w:before="1"/>
        <w:ind w:left="940" w:right="0" w:firstLine="0"/>
        <w:jc w:val="left"/>
        <w:rPr>
          <w:sz w:val="25"/>
        </w:rPr>
      </w:pPr>
      <w:r>
        <w:rPr/>
        <mc:AlternateContent>
          <mc:Choice Requires="wps">
            <w:drawing>
              <wp:anchor distT="0" distB="0" distL="0" distR="0" allowOverlap="1" layoutInCell="1" locked="0" behindDoc="1" simplePos="0" relativeHeight="478111232">
                <wp:simplePos x="0" y="0"/>
                <wp:positionH relativeFrom="page">
                  <wp:posOffset>950112</wp:posOffset>
                </wp:positionH>
                <wp:positionV relativeFrom="paragraph">
                  <wp:posOffset>66053</wp:posOffset>
                </wp:positionV>
                <wp:extent cx="5505450" cy="5661025"/>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5.201074pt;width:433.5pt;height:445.75pt;mso-position-horizontal-relative:page;mso-position-vertical-relative:paragraph;z-index:-25205248" id="docshape217" coordorigin="1496,104" coordsize="8670,8915" path="m2562,8824l1691,7953,1496,8148,2367,9019,2562,8824xm3154,8148l3153,8108,3148,8065,3139,8022,3125,7978,3106,7934,3083,7891,3055,7849,3025,7807,2991,7767,2954,7728,2435,7209,2241,7403,2772,7935,2805,7971,2829,8006,2846,8041,2856,8075,2858,8108,2851,8138,2837,8167,2816,8193,2790,8215,2761,8229,2730,8235,2697,8232,2663,8223,2628,8206,2593,8182,2557,8150,2026,7618,1831,7812,2351,8332,2385,8364,2424,8396,2468,8429,2516,8461,2548,8480,2583,8496,2620,8509,2658,8520,2697,8528,2733,8531,2767,8532,2800,8528,2831,8521,2863,8510,2895,8493,2926,8473,2957,8450,2985,8427,3011,8404,3035,8381,3071,8341,3102,8300,3125,8258,3142,8216,3150,8184,3154,8148xm3882,7364l3876,7300,3860,7235,3834,7168,3806,7114,3771,7058,3728,7000,3678,6941,3661,6922,3621,6881,3597,6858,3597,7352,3592,7393,3577,7429,3551,7462,3518,7488,3481,7503,3441,7507,3396,7501,3347,7483,3294,7451,3235,7406,3171,7347,3112,7283,3066,7224,3035,7170,3016,7121,3010,7076,3014,7036,3029,7000,3053,6968,3086,6943,3122,6927,3163,6922,3207,6927,3255,6945,3307,6975,3363,7017,3423,7072,3488,7142,3538,7204,3572,7260,3591,7309,3597,7352,3597,6858,3551,6816,3482,6761,3413,6715,3344,6680,3276,6654,3209,6638,3130,6633,3055,6643,2983,6668,2914,6709,2850,6764,2796,6828,2756,6895,2732,6967,2723,7043,2729,7122,2746,7191,2772,7260,2808,7329,2854,7399,2910,7470,2976,7541,3036,7598,3096,7647,3156,7689,3215,7724,3273,7751,3344,7776,3411,7789,3475,7793,3535,7787,3593,7770,3649,7743,3705,7705,3758,7657,3805,7604,3841,7547,3858,7507,3866,7489,3879,7427,3882,7364xm4153,6785l3966,6598,3712,6852,3899,7039,4153,6785xm4664,6722l3793,5851,3598,6046,4469,6917,4664,6722xm4998,6388l4675,6065,4781,5958,4832,5898,4837,5888,4866,5837,4883,5773,4882,5709,4866,5643,4843,5592,4836,5577,4792,5511,4733,5445,4670,5388,4607,5345,4598,5341,4598,5734,4597,5760,4587,5786,4570,5813,4546,5841,4498,5888,4304,5694,4359,5638,4386,5615,4412,5600,4438,5592,4462,5593,4486,5599,4509,5610,4531,5624,4552,5642,4570,5664,4584,5686,4593,5710,4598,5734,4598,5341,4544,5316,4483,5300,4423,5299,4365,5313,4309,5344,4255,5389,3931,5712,4803,6583,4998,6388xm5788,5598l5132,4942,5330,4744,5115,4529,4524,5120,4739,5335,4937,5137,5593,5793,5788,5598xm6423,4963l5767,4307,5966,4108,5751,3893,5159,4485,5374,4700,5573,4501,6229,5157,6423,4963xm7157,4090l7151,4025,7135,3960,7109,3893,7081,3839,7046,3783,7003,3725,6953,3666,6935,3647,6896,3606,6872,3584,6872,4077,6867,4118,6851,4154,6825,4188,6793,4213,6756,4228,6716,4232,6671,4226,6622,4208,6569,4176,6510,4131,6446,4072,6387,4008,6341,3949,6309,3895,6291,3846,6285,3801,6289,3761,6304,3725,6328,3694,6361,3668,6397,3653,6438,3647,6482,3653,6530,3670,6582,3700,6638,3742,6698,3797,6763,3867,6813,3929,6847,3985,6866,4034,6872,4077,6872,3584,6826,3541,6756,3486,6687,3441,6619,3405,6551,3380,6483,3364,6405,3358,6329,3368,6258,3393,6189,3434,6125,3489,6071,3553,6031,3621,6007,3692,5998,3768,6004,3848,6021,3916,6047,3985,6083,4054,6129,4124,6184,4195,6250,4266,6311,4323,6371,4372,6431,4415,6490,4449,6548,4477,6619,4501,6686,4515,6750,4518,6810,4512,6868,4496,6924,4468,6979,4431,7033,4383,7080,4329,7116,4273,7133,4232,7141,4214,7154,4153,7157,4090xm8170,3094l8165,3045,8153,2995,8134,2942,8109,2888,8079,2832,8041,2775,7980,2799,7799,2874,7831,2920,7855,2963,7873,3004,7884,3041,7887,3076,7881,3109,7866,3140,7843,3169,7812,3193,7778,3207,7740,3211,7700,3205,7653,3186,7600,3152,7538,3103,7469,3038,7417,2982,7375,2930,7344,2883,7324,2840,7311,2788,7312,2742,7325,2701,7352,2665,7367,2652,7384,2641,7402,2633,7422,2629,7442,2627,7464,2627,7486,2630,7509,2636,7524,2642,7542,2650,7563,2661,7586,2676,7705,2451,7622,2405,7543,2373,7469,2354,7400,2347,7333,2355,7269,2378,7206,2416,7146,2468,7092,2531,7054,2597,7030,2667,7021,2741,7027,2819,7044,2886,7070,2954,7106,3023,7153,3093,7209,3163,7276,3235,7341,3296,7404,3348,7467,3391,7529,3427,7590,3454,7662,3478,7730,3491,7791,3494,7847,3487,7900,3470,7952,3443,8004,3406,8056,3360,8094,3317,8125,3274,8147,3231,8161,3186,8169,3141,8170,3094xm8868,2379l8861,2315,8846,2249,8820,2182,8792,2128,8757,2072,8714,2014,8664,1955,8646,1937,8607,1895,8583,1873,8583,2367,8578,2407,8562,2444,8536,2477,8504,2502,8467,2517,8427,2522,8382,2515,8333,2497,8279,2466,8221,2420,8157,2361,8098,2297,8052,2238,8020,2184,8002,2135,7996,2091,8000,2050,8014,2014,8039,1983,8071,1957,8108,1942,8149,1937,8193,1942,8241,1959,8293,1989,8349,2031,8409,2086,8474,2156,8524,2219,8558,2274,8577,2323,8583,2367,8583,1873,8537,1830,8467,1775,8398,1730,8330,1694,8262,1669,8194,1653,8116,1647,8040,1657,7968,1683,7900,1723,7835,1779,7781,1842,7742,1910,7718,1981,7709,2057,7715,2137,7731,2205,7758,2274,7794,2344,7839,2414,7895,2484,7961,2555,8022,2612,8082,2662,8142,2704,8201,2738,8259,2766,8329,2790,8397,2804,8461,2807,8521,2801,8579,2785,8635,2758,8690,2720,8744,2672,8791,2618,8827,2562,8844,2522,8852,2503,8865,2442,8868,2379xm9348,2038l9025,1714,9132,1608,9182,1548,9188,1538,9216,1486,9233,1423,9233,1358,9217,1293,9194,1242,9187,1227,9142,1161,9084,1095,9020,1038,8957,995,8948,991,8948,1384,8947,1409,8938,1436,8921,1463,8896,1490,8849,1538,8654,1344,8710,1288,8737,1265,8763,1249,8788,1242,8812,1242,8836,1249,8859,1259,8881,1274,8902,1292,8920,1314,8934,1336,8943,1360,8948,1384,8948,991,8895,965,8833,949,8773,948,8715,963,8659,993,8605,1038,8282,1362,9153,2233,9348,2038xm10166,1220l9801,855,9748,705,9593,254,9540,104,9325,319,9353,389,9436,600,9492,741,9422,712,9211,629,9071,573,8854,789,9005,842,9456,998,9606,1050,9971,1415,10166,1220xe" filled="true" fillcolor="#c0c0c0" stroked="false">
                <v:path arrowok="t"/>
                <v:fill opacity="32896f" type="solid"/>
                <w10:wrap type="none"/>
              </v:shape>
            </w:pict>
          </mc:Fallback>
        </mc:AlternateContent>
      </w:r>
      <w:r>
        <w:rPr>
          <w:i/>
          <w:sz w:val="25"/>
        </w:rPr>
        <w:t>Business</w:t>
      </w:r>
      <w:r>
        <w:rPr>
          <w:i/>
          <w:spacing w:val="-6"/>
          <w:sz w:val="25"/>
        </w:rPr>
        <w:t> </w:t>
      </w:r>
      <w:r>
        <w:rPr>
          <w:i/>
          <w:sz w:val="25"/>
        </w:rPr>
        <w:t>and</w:t>
      </w:r>
      <w:r>
        <w:rPr>
          <w:i/>
          <w:spacing w:val="-7"/>
          <w:sz w:val="25"/>
        </w:rPr>
        <w:t> </w:t>
      </w:r>
      <w:r>
        <w:rPr>
          <w:i/>
          <w:sz w:val="25"/>
        </w:rPr>
        <w:t>Economic</w:t>
      </w:r>
      <w:r>
        <w:rPr>
          <w:i/>
          <w:spacing w:val="-6"/>
          <w:sz w:val="25"/>
        </w:rPr>
        <w:t> </w:t>
      </w:r>
      <w:r>
        <w:rPr>
          <w:i/>
          <w:sz w:val="25"/>
        </w:rPr>
        <w:t>Research</w:t>
      </w:r>
      <w:r>
        <w:rPr>
          <w:sz w:val="25"/>
        </w:rPr>
        <w:t>,</w:t>
      </w:r>
      <w:r>
        <w:rPr>
          <w:spacing w:val="-7"/>
          <w:sz w:val="25"/>
        </w:rPr>
        <w:t> </w:t>
      </w:r>
      <w:r>
        <w:rPr>
          <w:sz w:val="25"/>
        </w:rPr>
        <w:t>10(1),</w:t>
      </w:r>
      <w:r>
        <w:rPr>
          <w:spacing w:val="-6"/>
          <w:sz w:val="25"/>
        </w:rPr>
        <w:t> </w:t>
      </w:r>
      <w:r>
        <w:rPr>
          <w:sz w:val="25"/>
        </w:rPr>
        <w:t>55</w:t>
      </w:r>
      <w:r>
        <w:rPr>
          <w:spacing w:val="-6"/>
          <w:sz w:val="25"/>
        </w:rPr>
        <w:t> </w:t>
      </w:r>
      <w:r>
        <w:rPr>
          <w:sz w:val="25"/>
        </w:rPr>
        <w:t>–</w:t>
      </w:r>
      <w:r>
        <w:rPr>
          <w:spacing w:val="-7"/>
          <w:sz w:val="25"/>
        </w:rPr>
        <w:t> </w:t>
      </w:r>
      <w:r>
        <w:rPr>
          <w:spacing w:val="-5"/>
          <w:sz w:val="25"/>
        </w:rPr>
        <w:t>76.</w:t>
      </w:r>
    </w:p>
    <w:p>
      <w:pPr>
        <w:pStyle w:val="BodyText"/>
        <w:spacing w:before="238"/>
        <w:ind w:left="940" w:right="736" w:hanging="720"/>
        <w:jc w:val="both"/>
      </w:pPr>
      <w:r>
        <w:rPr/>
        <w:t>Abida, Z. &amp; Sghaier, I. M. (2014). Remittances, financial development and economic</w:t>
      </w:r>
      <w:r>
        <w:rPr>
          <w:spacing w:val="40"/>
        </w:rPr>
        <w:t> </w:t>
      </w:r>
      <w:r>
        <w:rPr/>
        <w:t>growth: the case of North African countries. </w:t>
      </w:r>
      <w:r>
        <w:rPr>
          <w:i/>
        </w:rPr>
        <w:t>Romanian Economic Journal, </w:t>
      </w:r>
      <w:r>
        <w:rPr/>
        <w:t>17(51): </w:t>
      </w:r>
      <w:r>
        <w:rPr>
          <w:spacing w:val="-2"/>
        </w:rPr>
        <w:t>137-169.</w:t>
      </w:r>
    </w:p>
    <w:p>
      <w:pPr>
        <w:pStyle w:val="BodyText"/>
        <w:spacing w:before="242"/>
        <w:ind w:left="940" w:right="742" w:hanging="720"/>
        <w:jc w:val="both"/>
      </w:pPr>
      <w:r>
        <w:rPr/>
        <w:t>Adarkwa, M. A. (2015). Impact of remittances on economic growth: Evidence from selected West African countries (Cameroon, Cape Verde, Nigeria and Senegal). African Humane Mobility Review, 1(2), 177-200.</w:t>
      </w:r>
    </w:p>
    <w:p>
      <w:pPr>
        <w:pStyle w:val="BodyText"/>
        <w:spacing w:before="239"/>
        <w:ind w:left="171" w:right="688"/>
        <w:jc w:val="center"/>
      </w:pPr>
      <w:r>
        <w:rPr/>
        <w:t>Addison,</w:t>
      </w:r>
      <w:r>
        <w:rPr>
          <w:spacing w:val="38"/>
        </w:rPr>
        <w:t> </w:t>
      </w:r>
      <w:r>
        <w:rPr/>
        <w:t>T.,</w:t>
      </w:r>
      <w:r>
        <w:rPr>
          <w:spacing w:val="39"/>
        </w:rPr>
        <w:t> </w:t>
      </w:r>
      <w:r>
        <w:rPr/>
        <w:t>&amp;</w:t>
      </w:r>
      <w:r>
        <w:rPr>
          <w:spacing w:val="39"/>
        </w:rPr>
        <w:t> </w:t>
      </w:r>
      <w:r>
        <w:rPr/>
        <w:t>Tarp,</w:t>
      </w:r>
      <w:r>
        <w:rPr>
          <w:spacing w:val="37"/>
        </w:rPr>
        <w:t> </w:t>
      </w:r>
      <w:r>
        <w:rPr/>
        <w:t>F.</w:t>
      </w:r>
      <w:r>
        <w:rPr>
          <w:spacing w:val="40"/>
        </w:rPr>
        <w:t> </w:t>
      </w:r>
      <w:r>
        <w:rPr/>
        <w:t>(2015).</w:t>
      </w:r>
      <w:r>
        <w:rPr>
          <w:spacing w:val="38"/>
        </w:rPr>
        <w:t> </w:t>
      </w:r>
      <w:r>
        <w:rPr/>
        <w:t>Aid</w:t>
      </w:r>
      <w:r>
        <w:rPr>
          <w:spacing w:val="39"/>
        </w:rPr>
        <w:t> </w:t>
      </w:r>
      <w:r>
        <w:rPr/>
        <w:t>policy</w:t>
      </w:r>
      <w:r>
        <w:rPr>
          <w:spacing w:val="38"/>
        </w:rPr>
        <w:t> </w:t>
      </w:r>
      <w:r>
        <w:rPr/>
        <w:t>and</w:t>
      </w:r>
      <w:r>
        <w:rPr>
          <w:spacing w:val="39"/>
        </w:rPr>
        <w:t> </w:t>
      </w:r>
      <w:r>
        <w:rPr/>
        <w:t>the</w:t>
      </w:r>
      <w:r>
        <w:rPr>
          <w:spacing w:val="39"/>
        </w:rPr>
        <w:t> </w:t>
      </w:r>
      <w:r>
        <w:rPr/>
        <w:t>macroeconomic</w:t>
      </w:r>
      <w:r>
        <w:rPr>
          <w:spacing w:val="38"/>
        </w:rPr>
        <w:t> </w:t>
      </w:r>
      <w:r>
        <w:rPr/>
        <w:t>management</w:t>
      </w:r>
      <w:r>
        <w:rPr>
          <w:spacing w:val="39"/>
        </w:rPr>
        <w:t> </w:t>
      </w:r>
      <w:r>
        <w:rPr/>
        <w:t>of</w:t>
      </w:r>
      <w:r>
        <w:rPr>
          <w:spacing w:val="40"/>
        </w:rPr>
        <w:t> </w:t>
      </w:r>
      <w:r>
        <w:rPr>
          <w:spacing w:val="-4"/>
        </w:rPr>
        <w:t>aid.</w:t>
      </w:r>
    </w:p>
    <w:p>
      <w:pPr>
        <w:spacing w:before="1"/>
        <w:ind w:left="940" w:right="0" w:firstLine="0"/>
        <w:jc w:val="left"/>
        <w:rPr>
          <w:sz w:val="25"/>
        </w:rPr>
      </w:pPr>
      <w:r>
        <w:rPr>
          <w:i/>
          <w:sz w:val="25"/>
        </w:rPr>
        <w:t>World</w:t>
      </w:r>
      <w:r>
        <w:rPr>
          <w:i/>
          <w:spacing w:val="-10"/>
          <w:sz w:val="25"/>
        </w:rPr>
        <w:t> </w:t>
      </w:r>
      <w:r>
        <w:rPr>
          <w:i/>
          <w:sz w:val="25"/>
        </w:rPr>
        <w:t>Development</w:t>
      </w:r>
      <w:r>
        <w:rPr>
          <w:sz w:val="25"/>
        </w:rPr>
        <w:t>,</w:t>
      </w:r>
      <w:r>
        <w:rPr>
          <w:spacing w:val="-9"/>
          <w:sz w:val="25"/>
        </w:rPr>
        <w:t> </w:t>
      </w:r>
      <w:r>
        <w:rPr>
          <w:i/>
          <w:sz w:val="25"/>
        </w:rPr>
        <w:t>69</w:t>
      </w:r>
      <w:r>
        <w:rPr>
          <w:sz w:val="25"/>
        </w:rPr>
        <w:t>,1-5.</w:t>
      </w:r>
      <w:r>
        <w:rPr>
          <w:spacing w:val="-10"/>
          <w:sz w:val="25"/>
        </w:rPr>
        <w:t> </w:t>
      </w:r>
      <w:r>
        <w:rPr>
          <w:spacing w:val="-2"/>
          <w:sz w:val="25"/>
        </w:rPr>
        <w:t>https://doi.org/10.1016/j.worlddev.2014.02.009</w:t>
      </w:r>
    </w:p>
    <w:p>
      <w:pPr>
        <w:spacing w:before="240"/>
        <w:ind w:left="940" w:right="748" w:hanging="720"/>
        <w:jc w:val="both"/>
        <w:rPr>
          <w:sz w:val="25"/>
        </w:rPr>
      </w:pPr>
      <w:r>
        <w:rPr>
          <w:sz w:val="25"/>
        </w:rPr>
        <w:t>Adefabi, R.A. (2011). Effects of FDI and human capital on economic growth in sub Saharan Africa. </w:t>
      </w:r>
      <w:r>
        <w:rPr>
          <w:i/>
          <w:sz w:val="25"/>
        </w:rPr>
        <w:t>Pakistan Journal of Social Sciences </w:t>
      </w:r>
      <w:r>
        <w:rPr>
          <w:sz w:val="25"/>
        </w:rPr>
        <w:t>8(1), 32 - 38.</w:t>
      </w:r>
    </w:p>
    <w:p>
      <w:pPr>
        <w:spacing w:before="239"/>
        <w:ind w:left="170" w:right="694" w:firstLine="0"/>
        <w:jc w:val="center"/>
        <w:rPr>
          <w:sz w:val="25"/>
        </w:rPr>
      </w:pPr>
      <w:r>
        <w:rPr>
          <w:sz w:val="25"/>
        </w:rPr>
        <w:t>Adenutsi,</w:t>
      </w:r>
      <w:r>
        <w:rPr>
          <w:spacing w:val="80"/>
          <w:sz w:val="25"/>
        </w:rPr>
        <w:t> </w:t>
      </w:r>
      <w:r>
        <w:rPr>
          <w:sz w:val="25"/>
        </w:rPr>
        <w:t>D.E.</w:t>
      </w:r>
      <w:r>
        <w:rPr>
          <w:spacing w:val="80"/>
          <w:sz w:val="25"/>
        </w:rPr>
        <w:t> </w:t>
      </w:r>
      <w:r>
        <w:rPr>
          <w:sz w:val="25"/>
        </w:rPr>
        <w:t>(2011).</w:t>
      </w:r>
      <w:r>
        <w:rPr>
          <w:spacing w:val="80"/>
          <w:sz w:val="25"/>
        </w:rPr>
        <w:t> </w:t>
      </w:r>
      <w:r>
        <w:rPr>
          <w:sz w:val="25"/>
        </w:rPr>
        <w:t>Financial</w:t>
      </w:r>
      <w:r>
        <w:rPr>
          <w:spacing w:val="80"/>
          <w:sz w:val="25"/>
        </w:rPr>
        <w:t> </w:t>
      </w:r>
      <w:r>
        <w:rPr>
          <w:sz w:val="25"/>
        </w:rPr>
        <w:t>development,</w:t>
      </w:r>
      <w:r>
        <w:rPr>
          <w:spacing w:val="80"/>
          <w:sz w:val="25"/>
        </w:rPr>
        <w:t> </w:t>
      </w:r>
      <w:r>
        <w:rPr>
          <w:sz w:val="25"/>
        </w:rPr>
        <w:t>international</w:t>
      </w:r>
      <w:r>
        <w:rPr>
          <w:spacing w:val="80"/>
          <w:sz w:val="25"/>
        </w:rPr>
        <w:t> </w:t>
      </w:r>
      <w:r>
        <w:rPr>
          <w:sz w:val="25"/>
        </w:rPr>
        <w:t>migrant</w:t>
      </w:r>
      <w:r>
        <w:rPr>
          <w:spacing w:val="80"/>
          <w:sz w:val="25"/>
        </w:rPr>
        <w:t> </w:t>
      </w:r>
      <w:r>
        <w:rPr>
          <w:sz w:val="25"/>
        </w:rPr>
        <w:t>remittances</w:t>
      </w:r>
      <w:r>
        <w:rPr>
          <w:spacing w:val="80"/>
          <w:sz w:val="25"/>
        </w:rPr>
        <w:t> </w:t>
      </w:r>
      <w:r>
        <w:rPr>
          <w:sz w:val="25"/>
        </w:rPr>
        <w:t>and endogenous growth in Ghana. </w:t>
      </w:r>
      <w:r>
        <w:rPr>
          <w:i/>
          <w:sz w:val="25"/>
        </w:rPr>
        <w:t>Studies in Economics and Finance, </w:t>
      </w:r>
      <w:r>
        <w:rPr>
          <w:sz w:val="25"/>
        </w:rPr>
        <w:t>28(1): 68-89.</w:t>
      </w:r>
    </w:p>
    <w:p>
      <w:pPr>
        <w:pStyle w:val="BodyText"/>
        <w:spacing w:before="241"/>
        <w:ind w:left="940" w:right="736" w:hanging="720"/>
        <w:jc w:val="both"/>
      </w:pPr>
      <w:r>
        <w:rPr/>
        <w:t>Adu, S.O. (2013). Financial integration and economic growth: A case study of sub-Saharan Africa. Retrieved from </w:t>
      </w:r>
      <w:hyperlink r:id="rId7">
        <w:r>
          <w:rPr/>
          <w:t>http://197.255.68.203/handle/123456789/5421.</w:t>
        </w:r>
      </w:hyperlink>
    </w:p>
    <w:p>
      <w:pPr>
        <w:pStyle w:val="BodyText"/>
        <w:spacing w:before="239"/>
        <w:ind w:left="940" w:right="744" w:hanging="720"/>
        <w:jc w:val="both"/>
      </w:pPr>
      <w:r>
        <w:rPr/>
        <w:t>Agenor, P.R. (2013) Benefits and costs of international financial integration: Theory and facts. </w:t>
      </w:r>
      <w:r>
        <w:rPr>
          <w:i/>
        </w:rPr>
        <w:t>World Economy</w:t>
      </w:r>
      <w:r>
        <w:rPr/>
        <w:t>, 26: 1089–1118.</w:t>
      </w:r>
    </w:p>
    <w:p>
      <w:pPr>
        <w:pStyle w:val="BodyText"/>
        <w:spacing w:before="241"/>
        <w:ind w:left="940" w:right="736" w:hanging="720"/>
        <w:jc w:val="both"/>
      </w:pPr>
      <w:r>
        <w:rPr/>
        <w:t>Ahmed, A.D. (2011) International financial integration, investment and economic performance in Sub-Saharan African Countries. </w:t>
      </w:r>
      <w:r>
        <w:rPr>
          <w:i/>
        </w:rPr>
        <w:t>Global Economy Journal</w:t>
      </w:r>
      <w:r>
        <w:rPr/>
        <w:t>, 11(4), 5.</w:t>
      </w:r>
    </w:p>
    <w:p>
      <w:pPr>
        <w:spacing w:before="241"/>
        <w:ind w:left="940" w:right="739" w:hanging="720"/>
        <w:jc w:val="both"/>
        <w:rPr>
          <w:i/>
          <w:sz w:val="25"/>
        </w:rPr>
      </w:pPr>
      <w:r>
        <w:rPr>
          <w:sz w:val="25"/>
        </w:rPr>
        <w:t>Ajayi, E.O.,</w:t>
      </w:r>
      <w:r>
        <w:rPr>
          <w:spacing w:val="40"/>
          <w:sz w:val="25"/>
        </w:rPr>
        <w:t> </w:t>
      </w:r>
      <w:r>
        <w:rPr>
          <w:sz w:val="25"/>
        </w:rPr>
        <w:t>Adedeji, O. A.,</w:t>
      </w:r>
      <w:r>
        <w:rPr>
          <w:spacing w:val="40"/>
          <w:sz w:val="25"/>
        </w:rPr>
        <w:t> </w:t>
      </w:r>
      <w:r>
        <w:rPr>
          <w:sz w:val="25"/>
        </w:rPr>
        <w:t>Giwa B. A., &amp; Araoye F. E. (2017). Dynamic impact of remittance on economic growth in Nigeria: </w:t>
      </w:r>
      <w:r>
        <w:rPr>
          <w:i/>
          <w:sz w:val="25"/>
        </w:rPr>
        <w:t>Journal of Accounting and Financial Management (3),3,7</w:t>
      </w:r>
    </w:p>
    <w:p>
      <w:pPr>
        <w:spacing w:before="240"/>
        <w:ind w:left="940" w:right="744" w:hanging="720"/>
        <w:jc w:val="both"/>
        <w:rPr>
          <w:sz w:val="25"/>
        </w:rPr>
      </w:pPr>
      <w:r>
        <w:rPr>
          <w:sz w:val="25"/>
        </w:rPr>
        <w:t>Ajudua, I.E., &amp; Okonkwo, N.O. (2014). Empirical review of globalization and Nigerian economic performance. </w:t>
      </w:r>
      <w:r>
        <w:rPr>
          <w:i/>
          <w:sz w:val="25"/>
        </w:rPr>
        <w:t>European Journal of Business and Management, </w:t>
      </w:r>
      <w:r>
        <w:rPr>
          <w:sz w:val="25"/>
        </w:rPr>
        <w:t>6, 33 - 39.</w:t>
      </w:r>
    </w:p>
    <w:p>
      <w:pPr>
        <w:spacing w:before="239"/>
        <w:ind w:left="940" w:right="737" w:hanging="720"/>
        <w:jc w:val="both"/>
        <w:rPr>
          <w:sz w:val="25"/>
        </w:rPr>
      </w:pPr>
      <w:r>
        <w:rPr>
          <w:sz w:val="25"/>
        </w:rPr>
        <w:t>Akanyo, B.A. &amp; Ajie, H. A. (2015).Impact of capital flows on the Nigerian economy in a liberalized environment, 1981-2012.</w:t>
      </w:r>
      <w:r>
        <w:rPr>
          <w:i/>
          <w:sz w:val="25"/>
        </w:rPr>
        <w:t>International Journal of Business Finance and Management Research, </w:t>
      </w:r>
      <w:r>
        <w:rPr>
          <w:sz w:val="25"/>
        </w:rPr>
        <w:t>3, 6-18.</w:t>
      </w:r>
    </w:p>
    <w:p>
      <w:pPr>
        <w:spacing w:after="0"/>
        <w:jc w:val="both"/>
        <w:rPr>
          <w:sz w:val="25"/>
        </w:rPr>
        <w:sectPr>
          <w:pgSz w:w="12240" w:h="15840"/>
          <w:pgMar w:header="0" w:footer="1012" w:top="1380" w:bottom="1200" w:left="1220" w:right="700"/>
        </w:sectPr>
      </w:pPr>
    </w:p>
    <w:p>
      <w:pPr>
        <w:spacing w:line="276" w:lineRule="auto" w:before="60"/>
        <w:ind w:left="940" w:right="743" w:hanging="720"/>
        <w:jc w:val="both"/>
        <w:rPr>
          <w:sz w:val="25"/>
        </w:rPr>
      </w:pPr>
      <w:r>
        <w:rPr>
          <w:sz w:val="25"/>
        </w:rPr>
        <w:t>Akinmulegun, S. O. (2018). Capital market development and foreign portfolio investment inflow in Nigeria (1985-2016). </w:t>
      </w:r>
      <w:r>
        <w:rPr>
          <w:i/>
          <w:sz w:val="25"/>
        </w:rPr>
        <w:t>Advances in Economics and Business, </w:t>
      </w:r>
      <w:r>
        <w:rPr>
          <w:sz w:val="25"/>
        </w:rPr>
        <w:t>6(5), 299-307.</w:t>
      </w:r>
    </w:p>
    <w:p>
      <w:pPr>
        <w:spacing w:before="238"/>
        <w:ind w:left="940" w:right="743" w:hanging="720"/>
        <w:jc w:val="both"/>
        <w:rPr>
          <w:sz w:val="25"/>
        </w:rPr>
      </w:pPr>
      <w:r>
        <w:rPr>
          <w:sz w:val="25"/>
        </w:rPr>
        <w:t>Al Suqaier, F.S &amp; Al Ziyud, H.A. (2011). The effect of diversification on achieving optimal portfolio: </w:t>
      </w:r>
      <w:r>
        <w:rPr>
          <w:i/>
          <w:sz w:val="25"/>
        </w:rPr>
        <w:t>European Journal of Economics, Finance and Administrative Sciences, </w:t>
      </w:r>
      <w:r>
        <w:rPr>
          <w:spacing w:val="-2"/>
          <w:sz w:val="25"/>
        </w:rPr>
        <w:t>2(4)3-32</w:t>
      </w:r>
    </w:p>
    <w:p>
      <w:pPr>
        <w:spacing w:before="242"/>
        <w:ind w:left="940" w:right="737" w:hanging="720"/>
        <w:jc w:val="both"/>
        <w:rPr>
          <w:sz w:val="25"/>
        </w:rPr>
      </w:pPr>
      <w:r>
        <w:rPr/>
        <mc:AlternateContent>
          <mc:Choice Requires="wps">
            <w:drawing>
              <wp:anchor distT="0" distB="0" distL="0" distR="0" allowOverlap="1" layoutInCell="1" locked="0" behindDoc="1" simplePos="0" relativeHeight="478111744">
                <wp:simplePos x="0" y="0"/>
                <wp:positionH relativeFrom="page">
                  <wp:posOffset>950112</wp:posOffset>
                </wp:positionH>
                <wp:positionV relativeFrom="paragraph">
                  <wp:posOffset>164324</wp:posOffset>
                </wp:positionV>
                <wp:extent cx="5505450" cy="5661025"/>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2.93894pt;width:433.5pt;height:445.75pt;mso-position-horizontal-relative:page;mso-position-vertical-relative:paragraph;z-index:-25204736" id="docshape218" coordorigin="1496,259" coordsize="8670,8915" path="m2562,8978l1691,8107,1496,8302,2367,9173,2562,8978xm3154,8302l3153,8263,3148,8220,3139,8176,3125,8133,3106,8089,3083,8046,3055,8003,3025,7962,2991,7922,2954,7883,2435,7364,2241,7558,2772,8090,2805,8125,2829,8161,2846,8196,2856,8230,2858,8263,2851,8293,2837,8322,2816,8348,2790,8369,2761,8383,2730,8389,2697,8387,2663,8378,2628,8361,2593,8337,2557,8305,2026,7773,1831,7967,2351,8487,2385,8519,2424,8551,2468,8583,2516,8616,2548,8635,2583,8651,2620,8664,2658,8675,2697,8682,2733,8686,2767,8686,2800,8683,2831,8676,2863,8664,2895,8648,2926,8628,2957,8605,2985,8582,3011,8559,3035,8536,3071,8496,3102,8455,3125,8413,3142,8371,3150,8338,3154,8302xm3882,7519l3876,7455,3860,7390,3834,7323,3806,7268,3771,7212,3728,7155,3678,7096,3661,7077,3621,7035,3597,7013,3597,7507,3592,7547,3577,7584,3551,7617,3518,7643,3481,7658,3441,7662,3396,7656,3347,7638,3294,7606,3235,7561,3171,7502,3112,7438,3066,7379,3035,7325,3016,7276,3010,7231,3014,7191,3029,7155,3053,7123,3086,7098,3122,7082,3163,7077,3207,7082,3255,7100,3307,7129,3363,7172,3423,7227,3488,7296,3538,7359,3572,7415,3591,7464,3597,7507,3597,7013,3551,6970,3482,6915,3413,6870,3344,6835,3276,6809,3209,6793,3130,6788,3055,6798,2983,6823,2914,6864,2850,6919,2796,6983,2756,7050,2732,7122,2723,7198,2729,7277,2746,7346,2772,7414,2808,7484,2854,7554,2910,7625,2976,7695,3036,7753,3096,7802,3156,7844,3215,7879,3273,7906,3344,7931,3411,7944,3475,7948,3535,7941,3593,7925,3649,7898,3705,7860,3758,7812,3805,7758,3841,7702,3858,7662,3866,7643,3879,7582,3882,7519xm4153,6940l3966,6752,3712,7007,3899,7194,4153,6940xm4664,6877l3793,6006,3598,6201,4469,7072,4664,6877xm4998,6543l4675,6219,4781,6113,4832,6053,4837,6043,4866,5991,4883,5928,4882,5863,4866,5798,4843,5747,4836,5732,4792,5666,4733,5600,4670,5543,4607,5500,4598,5496,4598,5889,4597,5914,4587,5941,4570,5968,4546,5995,4498,6043,4304,5849,4359,5793,4386,5770,4412,5754,4438,5747,4462,5747,4486,5754,4509,5764,4531,5779,4552,5797,4570,5819,4584,5841,4593,5865,4598,5889,4598,5496,4544,5470,4483,5454,4423,5453,4365,5468,4309,5498,4255,5544,3931,5867,4803,6738,4998,6543xm5788,5753l5132,5097,5330,4898,5115,4683,4524,5275,4739,5490,4937,5292,5593,5948,5788,5753xm6423,5118l5767,4461,5966,4263,5751,4048,5159,4640,5374,4855,5573,4656,6229,5312,6423,5118xm7157,4244l7151,4180,7135,4115,7109,4048,7081,3994,7046,3938,7003,3880,6953,3821,6935,3802,6896,3761,6872,3739,6872,4232,6867,4272,6851,4309,6825,4342,6793,4368,6756,4383,6716,4387,6671,4381,6622,4363,6569,4331,6510,4286,6446,4227,6387,4163,6341,4104,6309,4050,6291,4001,6285,3956,6289,3916,6304,3880,6328,3848,6361,3823,6397,3807,6438,3802,6482,3807,6530,3825,6582,3854,6638,3897,6698,3952,6763,4021,6813,4084,6847,4140,6866,4189,6872,4232,6872,3739,6826,3696,6756,3641,6687,3595,6619,3560,6551,3534,6483,3518,6405,3513,6329,3523,6258,3548,6189,3589,6125,3644,6071,3708,6031,3775,6007,3847,5998,3923,6004,4002,6021,4071,6047,4140,6083,4209,6129,4279,6184,4350,6250,4420,6311,4478,6371,4527,6431,4569,6490,4604,6548,4631,6619,4656,6686,4669,6750,4673,6810,4667,6868,4650,6924,4623,6979,4585,7033,4537,7080,4484,7116,4427,7133,4387,7141,4369,7154,4307,7157,4244xm8170,3249l8165,3200,8153,3149,8134,3097,8109,3042,8079,2987,8041,2929,7980,2954,7799,3029,7831,3075,7855,3118,7873,3158,7884,3196,7887,3231,7881,3264,7866,3295,7843,3324,7812,3348,7778,3362,7740,3366,7700,3360,7653,3341,7600,3307,7538,3258,7469,3193,7417,3137,7375,3085,7344,3037,7324,2995,7311,2943,7312,2897,7325,2855,7352,2820,7367,2806,7384,2796,7402,2788,7422,2783,7442,2781,7464,2782,7486,2785,7509,2791,7524,2797,7542,2805,7563,2816,7586,2830,7705,2606,7622,2560,7543,2528,7469,2508,7400,2502,7333,2510,7269,2533,7206,2570,7146,2623,7092,2686,7054,2752,7030,2822,7021,2896,7027,2974,7044,3041,7070,3109,7106,3178,7153,3247,7209,3318,7276,3390,7341,3450,7404,3503,7467,3546,7529,3582,7590,3609,7662,3633,7730,3646,7791,3648,7847,3641,7900,3625,7952,3598,8004,3561,8056,3515,8094,3472,8125,3429,8147,3385,8161,3341,8169,3296,8170,3249xm8868,2533l8861,2469,8846,2404,8820,2337,8792,2283,8757,2227,8714,2169,8664,2110,8646,2091,8607,2050,8583,2027,8583,2521,8578,2562,8562,2598,8536,2631,8504,2657,8467,2672,8427,2676,8382,2670,8333,2652,8279,2620,8221,2575,8157,2516,8098,2452,8052,2393,8020,2339,8002,2290,7996,2245,8000,2205,8014,2169,8039,2138,8071,2112,8108,2097,8149,2091,8193,2096,8241,2114,8293,2143,8349,2186,8409,2241,8474,2310,8524,2373,8558,2429,8577,2478,8583,2521,8583,2027,8537,1985,8467,1930,8398,1884,8330,1849,8262,1823,8194,1807,8116,1802,8040,1812,7968,1837,7900,1878,7835,1933,7781,1997,7742,2064,7718,2136,7709,2212,7715,2292,7731,2360,7758,2429,7794,2498,7839,2568,7895,2639,7961,2710,8022,2767,8082,2816,8142,2858,8201,2893,8259,2921,8329,2945,8397,2958,8461,2962,8521,2956,8579,2939,8635,2912,8690,2875,8744,2826,8791,2773,8827,2716,8844,2676,8852,2658,8865,2596,8868,2533xm9348,2193l9025,1869,9132,1763,9182,1703,9188,1693,9216,1641,9233,1578,9233,1513,9217,1447,9194,1397,9187,1382,9142,1316,9084,1250,9020,1193,8957,1150,8948,1145,8948,1539,8947,1564,8938,1590,8921,1617,8896,1645,8849,1693,8654,1498,8710,1443,8737,1420,8763,1404,8788,1397,8812,1397,8836,1404,8859,1414,8881,1428,8902,1447,8920,1468,8934,1491,8943,1514,8948,1539,8948,1145,8895,1120,8833,1104,8773,1103,8715,1118,8659,1148,8605,1193,8282,1517,9153,2388,9348,2193xm10166,1375l9801,1010,9748,860,9593,409,9540,259,9325,474,9353,544,9436,755,9492,895,9422,867,9211,784,9071,728,8854,944,9005,997,9456,1152,9606,1205,9971,1570,10166,1375xe" filled="true" fillcolor="#c0c0c0" stroked="false">
                <v:path arrowok="t"/>
                <v:fill opacity="32896f" type="solid"/>
                <w10:wrap type="none"/>
              </v:shape>
            </w:pict>
          </mc:Fallback>
        </mc:AlternateContent>
      </w:r>
      <w:r>
        <w:rPr>
          <w:sz w:val="25"/>
        </w:rPr>
        <w:t>Amarendra, A., &amp; Anupam, P. (2013). International financial integration, capital flows and growth of Asian economies. </w:t>
      </w:r>
      <w:r>
        <w:rPr>
          <w:i/>
          <w:sz w:val="25"/>
        </w:rPr>
        <w:t>Reserve Bank of India Occasional Papers</w:t>
      </w:r>
      <w:r>
        <w:rPr>
          <w:sz w:val="25"/>
        </w:rPr>
        <w:t>, 34(1), 1 &amp; 2.</w:t>
      </w:r>
    </w:p>
    <w:p>
      <w:pPr>
        <w:spacing w:before="239"/>
        <w:ind w:left="940" w:right="737" w:hanging="720"/>
        <w:jc w:val="both"/>
        <w:rPr>
          <w:sz w:val="25"/>
        </w:rPr>
      </w:pPr>
      <w:r>
        <w:rPr>
          <w:sz w:val="25"/>
        </w:rPr>
        <w:t>Anton, K. I. (2010). The impact of nutritional status of children in Ecuador. </w:t>
      </w:r>
      <w:r>
        <w:rPr>
          <w:i/>
          <w:sz w:val="25"/>
        </w:rPr>
        <w:t>International Migration Review, </w:t>
      </w:r>
      <w:r>
        <w:rPr>
          <w:sz w:val="25"/>
        </w:rPr>
        <w:t>44, 269-299.</w:t>
      </w:r>
    </w:p>
    <w:p>
      <w:pPr>
        <w:spacing w:before="241"/>
        <w:ind w:left="940" w:right="734" w:hanging="720"/>
        <w:jc w:val="both"/>
        <w:rPr>
          <w:sz w:val="25"/>
        </w:rPr>
      </w:pPr>
      <w:r>
        <w:rPr>
          <w:sz w:val="25"/>
        </w:rPr>
        <w:t>Antwi, S., Atta Mills, E.F.E., Atta Mills, G., &amp; Xicang, Z. (2013). Impact of Foreign Direct Investment on Economic Growth: Empirical Evidence from Ghana. </w:t>
      </w:r>
      <w:r>
        <w:rPr>
          <w:i/>
          <w:sz w:val="25"/>
        </w:rPr>
        <w:t>International Journal of Academic Research in Accounting, Finance and Management Sciences, 3</w:t>
      </w:r>
      <w:r>
        <w:rPr>
          <w:sz w:val="25"/>
        </w:rPr>
        <w:t>(1) 18 – 25.</w:t>
      </w:r>
    </w:p>
    <w:p>
      <w:pPr>
        <w:spacing w:before="240"/>
        <w:ind w:left="940" w:right="742" w:hanging="720"/>
        <w:jc w:val="both"/>
        <w:rPr>
          <w:sz w:val="25"/>
        </w:rPr>
      </w:pPr>
      <w:r>
        <w:rPr>
          <w:sz w:val="25"/>
        </w:rPr>
        <w:t>Arash, K.B., &amp; Aidin, P.S. (2016). Financial development, financial integration </w:t>
      </w:r>
      <w:r>
        <w:rPr>
          <w:sz w:val="25"/>
        </w:rPr>
        <w:t>and economic growth. </w:t>
      </w:r>
      <w:r>
        <w:rPr>
          <w:i/>
          <w:sz w:val="25"/>
        </w:rPr>
        <w:t>American Journal of Business and Society</w:t>
      </w:r>
      <w:r>
        <w:rPr>
          <w:sz w:val="25"/>
        </w:rPr>
        <w:t>, 1(4), 195 – 199.</w:t>
      </w:r>
    </w:p>
    <w:p>
      <w:pPr>
        <w:pStyle w:val="BodyText"/>
        <w:spacing w:before="239"/>
        <w:ind w:left="940" w:right="740" w:hanging="720"/>
        <w:jc w:val="both"/>
      </w:pPr>
      <w:r>
        <w:rPr/>
        <w:t>Armanious, A.N.R. (2007). Globalization effect on stock exchange integration. SSRN Working Paper Retrieved from </w:t>
      </w:r>
      <w:hyperlink r:id="rId8">
        <w:r>
          <w:rPr/>
          <w:t>http://dx.doi.org/10.2139/ssrn.1929045</w:t>
        </w:r>
      </w:hyperlink>
      <w:r>
        <w:rPr/>
        <w:t> on 27th May.</w:t>
      </w:r>
    </w:p>
    <w:p>
      <w:pPr>
        <w:pStyle w:val="BodyText"/>
        <w:spacing w:before="241"/>
        <w:ind w:left="940" w:right="747" w:hanging="720"/>
        <w:jc w:val="both"/>
      </w:pPr>
      <w:r>
        <w:rPr/>
        <w:t>Arteta, C., Eichengreen, B., &amp; Wyplosz, C. (2001). When does capital account liberalization help more than it hurts? </w:t>
      </w:r>
      <w:r>
        <w:rPr>
          <w:i/>
        </w:rPr>
        <w:t>NBER Working Paper</w:t>
      </w:r>
      <w:r>
        <w:rPr/>
        <w:t>, No. 8414.</w:t>
      </w:r>
    </w:p>
    <w:p>
      <w:pPr>
        <w:pStyle w:val="BodyText"/>
        <w:spacing w:line="276" w:lineRule="auto" w:before="241"/>
        <w:ind w:left="940" w:right="744" w:hanging="720"/>
        <w:jc w:val="both"/>
      </w:pPr>
      <w:r>
        <w:rPr/>
        <w:t>Asiedu, E. (2002). On the determinants of foreign direct investment in developing countries: is Africa different? World development, 30, 107-119.</w:t>
      </w:r>
    </w:p>
    <w:p>
      <w:pPr>
        <w:pStyle w:val="BodyText"/>
        <w:spacing w:before="239"/>
      </w:pPr>
      <w:r>
        <w:rPr/>
        <w:t>Ayanwale,</w:t>
      </w:r>
      <w:r>
        <w:rPr>
          <w:spacing w:val="23"/>
        </w:rPr>
        <w:t> </w:t>
      </w:r>
      <w:r>
        <w:rPr/>
        <w:t>A.B.</w:t>
      </w:r>
      <w:r>
        <w:rPr>
          <w:spacing w:val="24"/>
        </w:rPr>
        <w:t> </w:t>
      </w:r>
      <w:r>
        <w:rPr/>
        <w:t>.&amp;</w:t>
      </w:r>
      <w:r>
        <w:rPr>
          <w:spacing w:val="25"/>
        </w:rPr>
        <w:t> </w:t>
      </w:r>
      <w:r>
        <w:rPr/>
        <w:t>Adeolu</w:t>
      </w:r>
      <w:r>
        <w:rPr>
          <w:spacing w:val="24"/>
        </w:rPr>
        <w:t> </w:t>
      </w:r>
      <w:r>
        <w:rPr/>
        <w:t>B.</w:t>
      </w:r>
      <w:r>
        <w:rPr>
          <w:spacing w:val="24"/>
        </w:rPr>
        <w:t> </w:t>
      </w:r>
      <w:r>
        <w:rPr/>
        <w:t>(2007).</w:t>
      </w:r>
      <w:r>
        <w:rPr>
          <w:spacing w:val="23"/>
        </w:rPr>
        <w:t> </w:t>
      </w:r>
      <w:r>
        <w:rPr/>
        <w:t>FDI</w:t>
      </w:r>
      <w:r>
        <w:rPr>
          <w:spacing w:val="25"/>
        </w:rPr>
        <w:t> </w:t>
      </w:r>
      <w:r>
        <w:rPr/>
        <w:t>and</w:t>
      </w:r>
      <w:r>
        <w:rPr>
          <w:spacing w:val="24"/>
        </w:rPr>
        <w:t> </w:t>
      </w:r>
      <w:r>
        <w:rPr/>
        <w:t>economic</w:t>
      </w:r>
      <w:r>
        <w:rPr>
          <w:spacing w:val="24"/>
        </w:rPr>
        <w:t> </w:t>
      </w:r>
      <w:r>
        <w:rPr/>
        <w:t>growth:</w:t>
      </w:r>
      <w:r>
        <w:rPr>
          <w:spacing w:val="25"/>
        </w:rPr>
        <w:t> </w:t>
      </w:r>
      <w:r>
        <w:rPr/>
        <w:t>Evidence</w:t>
      </w:r>
      <w:r>
        <w:rPr>
          <w:spacing w:val="22"/>
        </w:rPr>
        <w:t> </w:t>
      </w:r>
      <w:r>
        <w:rPr/>
        <w:t>from</w:t>
      </w:r>
      <w:r>
        <w:rPr>
          <w:spacing w:val="25"/>
        </w:rPr>
        <w:t> </w:t>
      </w:r>
      <w:r>
        <w:rPr>
          <w:spacing w:val="-2"/>
        </w:rPr>
        <w:t>Nigeria,</w:t>
      </w:r>
    </w:p>
    <w:p>
      <w:pPr>
        <w:spacing w:before="0"/>
        <w:ind w:left="940" w:right="0" w:firstLine="0"/>
        <w:jc w:val="left"/>
        <w:rPr>
          <w:i/>
          <w:sz w:val="25"/>
        </w:rPr>
      </w:pPr>
      <w:r>
        <w:rPr>
          <w:i/>
          <w:sz w:val="25"/>
        </w:rPr>
        <w:t>AERC</w:t>
      </w:r>
      <w:r>
        <w:rPr>
          <w:i/>
          <w:spacing w:val="-10"/>
          <w:sz w:val="25"/>
        </w:rPr>
        <w:t> </w:t>
      </w:r>
      <w:r>
        <w:rPr>
          <w:i/>
          <w:sz w:val="25"/>
        </w:rPr>
        <w:t>Research</w:t>
      </w:r>
      <w:r>
        <w:rPr>
          <w:i/>
          <w:spacing w:val="-9"/>
          <w:sz w:val="25"/>
        </w:rPr>
        <w:t> </w:t>
      </w:r>
      <w:r>
        <w:rPr>
          <w:i/>
          <w:sz w:val="25"/>
        </w:rPr>
        <w:t>6(5)</w:t>
      </w:r>
      <w:r>
        <w:rPr>
          <w:i/>
          <w:spacing w:val="-8"/>
          <w:sz w:val="25"/>
        </w:rPr>
        <w:t> </w:t>
      </w:r>
      <w:r>
        <w:rPr>
          <w:i/>
          <w:sz w:val="25"/>
        </w:rPr>
        <w:t>15-</w:t>
      </w:r>
      <w:r>
        <w:rPr>
          <w:i/>
          <w:spacing w:val="-5"/>
          <w:sz w:val="25"/>
        </w:rPr>
        <w:t>35</w:t>
      </w:r>
    </w:p>
    <w:p>
      <w:pPr>
        <w:pStyle w:val="BodyText"/>
        <w:spacing w:before="241"/>
        <w:ind w:left="940" w:right="740" w:hanging="720"/>
        <w:jc w:val="both"/>
        <w:rPr>
          <w:i/>
        </w:rPr>
      </w:pPr>
      <w:r>
        <w:rPr/>
        <mc:AlternateContent>
          <mc:Choice Requires="wps">
            <w:drawing>
              <wp:anchor distT="0" distB="0" distL="0" distR="0" allowOverlap="1" layoutInCell="1" locked="0" behindDoc="1" simplePos="0" relativeHeight="478112256">
                <wp:simplePos x="0" y="0"/>
                <wp:positionH relativeFrom="page">
                  <wp:posOffset>896416</wp:posOffset>
                </wp:positionH>
                <wp:positionV relativeFrom="paragraph">
                  <wp:posOffset>153527</wp:posOffset>
                </wp:positionV>
                <wp:extent cx="5981065" cy="54737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5981065" cy="547370"/>
                        </a:xfrm>
                        <a:custGeom>
                          <a:avLst/>
                          <a:gdLst/>
                          <a:ahLst/>
                          <a:cxnLst/>
                          <a:rect l="l" t="t" r="r" b="b"/>
                          <a:pathLst>
                            <a:path w="5981065" h="547370">
                              <a:moveTo>
                                <a:pt x="5981065" y="0"/>
                              </a:moveTo>
                              <a:lnTo>
                                <a:pt x="0" y="0"/>
                              </a:lnTo>
                              <a:lnTo>
                                <a:pt x="0" y="182880"/>
                              </a:lnTo>
                              <a:lnTo>
                                <a:pt x="0" y="364236"/>
                              </a:lnTo>
                              <a:lnTo>
                                <a:pt x="0" y="547116"/>
                              </a:lnTo>
                              <a:lnTo>
                                <a:pt x="5981065" y="547116"/>
                              </a:lnTo>
                              <a:lnTo>
                                <a:pt x="5981065" y="364236"/>
                              </a:lnTo>
                              <a:lnTo>
                                <a:pt x="5981065" y="182880"/>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2.088797pt;width:470.95pt;height:43.1pt;mso-position-horizontal-relative:page;mso-position-vertical-relative:paragraph;z-index:-25204224" id="docshape219" coordorigin="1412,242" coordsize="9419,862" path="m10831,242l1412,242,1412,530,1412,815,1412,1103,10831,1103,10831,815,10831,530,10831,242xe" filled="true" fillcolor="#ffffff" stroked="false">
                <v:path arrowok="t"/>
                <v:fill type="solid"/>
                <w10:wrap type="none"/>
              </v:shape>
            </w:pict>
          </mc:Fallback>
        </mc:AlternateContent>
      </w:r>
      <w:r>
        <w:rPr/>
        <w:t>Ayres,</w:t>
      </w:r>
      <w:r>
        <w:rPr>
          <w:spacing w:val="-4"/>
        </w:rPr>
        <w:t> </w:t>
      </w:r>
      <w:r>
        <w:rPr/>
        <w:t>R.</w:t>
      </w:r>
      <w:r>
        <w:rPr>
          <w:spacing w:val="-1"/>
        </w:rPr>
        <w:t> </w:t>
      </w:r>
      <w:r>
        <w:rPr/>
        <w:t>U.,</w:t>
      </w:r>
      <w:r>
        <w:rPr>
          <w:spacing w:val="-4"/>
        </w:rPr>
        <w:t> </w:t>
      </w:r>
      <w:r>
        <w:rPr/>
        <w:t>&amp;</w:t>
      </w:r>
      <w:r>
        <w:rPr>
          <w:spacing w:val="-1"/>
        </w:rPr>
        <w:t> </w:t>
      </w:r>
      <w:r>
        <w:rPr/>
        <w:t>Warr,</w:t>
      </w:r>
      <w:r>
        <w:rPr>
          <w:spacing w:val="-1"/>
        </w:rPr>
        <w:t> </w:t>
      </w:r>
      <w:r>
        <w:rPr/>
        <w:t>B.</w:t>
      </w:r>
      <w:r>
        <w:rPr>
          <w:spacing w:val="-4"/>
        </w:rPr>
        <w:t> </w:t>
      </w:r>
      <w:r>
        <w:rPr/>
        <w:t>(2006).</w:t>
      </w:r>
      <w:r>
        <w:rPr>
          <w:spacing w:val="-1"/>
        </w:rPr>
        <w:t> </w:t>
      </w:r>
      <w:r>
        <w:rPr/>
        <w:t>Economic</w:t>
      </w:r>
      <w:r>
        <w:rPr>
          <w:spacing w:val="-2"/>
        </w:rPr>
        <w:t> </w:t>
      </w:r>
      <w:r>
        <w:rPr/>
        <w:t>growth,</w:t>
      </w:r>
      <w:r>
        <w:rPr>
          <w:spacing w:val="-4"/>
        </w:rPr>
        <w:t> </w:t>
      </w:r>
      <w:r>
        <w:rPr/>
        <w:t>technological</w:t>
      </w:r>
      <w:r>
        <w:rPr>
          <w:spacing w:val="-2"/>
        </w:rPr>
        <w:t> </w:t>
      </w:r>
      <w:r>
        <w:rPr/>
        <w:t>progress</w:t>
      </w:r>
      <w:r>
        <w:rPr>
          <w:spacing w:val="-3"/>
        </w:rPr>
        <w:t> </w:t>
      </w:r>
      <w:r>
        <w:rPr/>
        <w:t>and</w:t>
      </w:r>
      <w:r>
        <w:rPr>
          <w:spacing w:val="-4"/>
        </w:rPr>
        <w:t> </w:t>
      </w:r>
      <w:r>
        <w:rPr/>
        <w:t>energy</w:t>
      </w:r>
      <w:r>
        <w:rPr>
          <w:spacing w:val="-1"/>
        </w:rPr>
        <w:t> </w:t>
      </w:r>
      <w:r>
        <w:rPr/>
        <w:t>use</w:t>
      </w:r>
      <w:r>
        <w:rPr>
          <w:spacing w:val="-4"/>
        </w:rPr>
        <w:t> </w:t>
      </w:r>
      <w:r>
        <w:rPr/>
        <w:t>in the U.S. over the last century: Identifying common trends and structural change in macroeconomic time series, </w:t>
      </w:r>
      <w:r>
        <w:rPr>
          <w:i/>
        </w:rPr>
        <w:t>INSEAD.</w:t>
      </w:r>
    </w:p>
    <w:p>
      <w:pPr>
        <w:spacing w:line="276" w:lineRule="auto" w:before="240"/>
        <w:ind w:left="940" w:right="737" w:hanging="720"/>
        <w:jc w:val="both"/>
        <w:rPr>
          <w:i/>
          <w:sz w:val="25"/>
        </w:rPr>
      </w:pPr>
      <w:r>
        <w:rPr>
          <w:sz w:val="25"/>
        </w:rPr>
        <w:t>Bada, O .T. (2017). Empirical evaluation of the effect of foreign portfolio investment on Nigerian economic growth. </w:t>
      </w:r>
      <w:r>
        <w:rPr>
          <w:i/>
          <w:sz w:val="25"/>
        </w:rPr>
        <w:t>International Journal of Comparative Studies in International Relations and Development, 4(1), 161-174.</w:t>
      </w:r>
    </w:p>
    <w:p>
      <w:pPr>
        <w:pStyle w:val="BodyText"/>
        <w:spacing w:before="239"/>
        <w:ind w:left="940" w:right="733" w:hanging="720"/>
        <w:jc w:val="both"/>
      </w:pPr>
      <w:r>
        <w:rPr/>
        <w:t>Baele, L., Ferrando, A., Hordahl, P. Krylova, E., &amp; Monnet, C. (2004). Measuring financial integration in the Euro Area. Occasional Paper Series, No. 14.</w:t>
      </w:r>
    </w:p>
    <w:p>
      <w:pPr>
        <w:spacing w:after="0"/>
        <w:jc w:val="both"/>
        <w:sectPr>
          <w:pgSz w:w="12240" w:h="15840"/>
          <w:pgMar w:header="0" w:footer="1012" w:top="1380" w:bottom="1200" w:left="1220" w:right="700"/>
        </w:sectPr>
      </w:pPr>
    </w:p>
    <w:p>
      <w:pPr>
        <w:spacing w:before="60"/>
        <w:ind w:left="940" w:right="741" w:hanging="720"/>
        <w:jc w:val="both"/>
        <w:rPr>
          <w:sz w:val="25"/>
        </w:rPr>
      </w:pPr>
      <w:r>
        <w:rPr>
          <w:sz w:val="25"/>
        </w:rPr>
        <w:t>Baele, L., Ferrando, A., Hördahl, P., Krylova, E., &amp; Monnet, C. (2014) Measuring Financial Integration in the Euro Area. </w:t>
      </w:r>
      <w:r>
        <w:rPr>
          <w:i/>
          <w:sz w:val="25"/>
        </w:rPr>
        <w:t>European Central Bank Occasional Paper Series No.</w:t>
      </w:r>
      <w:r>
        <w:rPr>
          <w:i/>
          <w:spacing w:val="40"/>
          <w:sz w:val="25"/>
        </w:rPr>
        <w:t> </w:t>
      </w:r>
      <w:r>
        <w:rPr>
          <w:i/>
          <w:spacing w:val="-4"/>
          <w:sz w:val="25"/>
        </w:rPr>
        <w:t>14</w:t>
      </w:r>
      <w:r>
        <w:rPr>
          <w:spacing w:val="-4"/>
          <w:sz w:val="25"/>
        </w:rPr>
        <w:t>.</w:t>
      </w:r>
    </w:p>
    <w:p>
      <w:pPr>
        <w:spacing w:line="276" w:lineRule="auto" w:before="239"/>
        <w:ind w:left="940" w:right="736" w:hanging="720"/>
        <w:jc w:val="both"/>
        <w:rPr>
          <w:sz w:val="25"/>
        </w:rPr>
      </w:pPr>
      <w:r>
        <w:rPr/>
        <mc:AlternateContent>
          <mc:Choice Requires="wps">
            <w:drawing>
              <wp:anchor distT="0" distB="0" distL="0" distR="0" allowOverlap="1" layoutInCell="1" locked="0" behindDoc="1" simplePos="0" relativeHeight="478112768">
                <wp:simplePos x="0" y="0"/>
                <wp:positionH relativeFrom="page">
                  <wp:posOffset>950112</wp:posOffset>
                </wp:positionH>
                <wp:positionV relativeFrom="paragraph">
                  <wp:posOffset>735312</wp:posOffset>
                </wp:positionV>
                <wp:extent cx="5505450" cy="5661025"/>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57.898632pt;width:433.5pt;height:445.75pt;mso-position-horizontal-relative:page;mso-position-vertical-relative:paragraph;z-index:-25203712" id="docshape220" coordorigin="1496,1158" coordsize="8670,8915" path="m2562,9878l1691,9007,1496,9202,2367,10073,2562,9878xm3154,9202l3153,9162,3148,9119,3139,9076,3125,9032,3106,8988,3083,8945,3055,8902,3025,8861,2991,8821,2954,8782,2435,8263,2241,8457,2772,8989,2805,9025,2829,9060,2846,9095,2856,9129,2858,9162,2851,9192,2837,9221,2816,9247,2790,9269,2761,9283,2730,9288,2697,9286,2663,9277,2628,9260,2593,9236,2557,9204,2026,8672,1831,8866,2351,9386,2385,9418,2424,9450,2468,9483,2516,9515,2548,9534,2583,9550,2620,9563,2658,9574,2697,9582,2733,9585,2767,9586,2800,9582,2831,9575,2863,9563,2895,9547,2926,9527,2957,9504,2985,9481,3011,9458,3035,9435,3071,9395,3102,9354,3125,9312,3142,9270,3150,9238,3154,9202xm3882,8418l3876,8354,3860,8289,3834,8222,3806,8168,3771,8112,3728,8054,3678,7995,3661,7976,3621,7935,3597,7912,3597,8406,3592,8446,3577,8483,3551,8516,3518,8542,3481,8557,3441,8561,3396,8555,3347,8537,3294,8505,3235,8460,3171,8401,3112,8337,3066,8278,3035,8224,3016,8175,3010,8130,3014,8090,3029,8054,3053,8022,3086,7997,3122,7981,3163,7976,3207,7981,3255,7999,3307,8028,3363,8071,3423,8126,3488,8195,3538,8258,3572,8314,3591,8363,3597,8406,3597,7912,3551,7870,3482,7814,3413,7769,3344,7734,3276,7708,3209,7692,3130,7687,3055,7697,2983,7722,2914,7763,2850,7818,2796,7882,2756,7949,2732,8021,2723,8097,2729,8176,2746,8245,2772,8314,2808,8383,2854,8453,2910,8524,2976,8595,3036,8652,3096,8701,3156,8743,3215,8778,3273,8805,3344,8830,3411,8843,3475,8847,3535,8841,3593,8824,3649,8797,3705,8759,3758,8711,3805,8658,3841,8601,3858,8561,3866,8543,3879,8481,3882,8418xm4153,7839l3966,7652,3712,7906,3899,8093,4153,7839xm4664,7776l3793,6905,3598,7100,4469,7971,4664,7776xm4998,7442l4675,7119,4781,7012,4832,6952,4837,6942,4866,6891,4883,6827,4882,6763,4866,6697,4843,6646,4836,6631,4792,6565,4733,6499,4670,6442,4607,6399,4598,6395,4598,6788,4597,6814,4587,6840,4570,6867,4546,6895,4498,6942,4304,6748,4359,6692,4386,6669,4412,6654,4438,6646,4462,6647,4486,6653,4509,6663,4531,6678,4552,6696,4570,6718,4584,6740,4593,6764,4598,6788,4598,6395,4544,6370,4483,6354,4423,6353,4365,6367,4309,6397,4255,6443,3931,6766,4803,7637,4998,7442xm5788,6652l5132,5996,5330,5798,5115,5583,4524,6174,4739,6389,4937,6191,5593,6847,5788,6652xm6423,6017l5767,5361,5966,5162,5751,4947,5159,5539,5374,5754,5573,5555,6229,6211,6423,6017xm7157,5144l7151,5079,7135,5014,7109,4947,7081,4893,7046,4837,7003,4779,6953,4720,6935,4701,6896,4660,6872,4638,6872,5131,6867,5172,6851,5208,6825,5242,6793,5267,6756,5282,6716,5286,6671,5280,6622,5262,6569,5230,6510,5185,6446,5126,6387,5062,6341,5003,6309,4949,6291,4900,6285,4855,6289,4815,6304,4779,6328,4748,6361,4722,6397,4707,6438,4701,6482,4707,6530,4724,6582,4754,6638,4796,6698,4851,6763,4921,6813,4983,6847,5039,6866,5088,6872,5131,6872,4638,6826,4595,6756,4540,6687,4495,6619,4459,6551,4434,6483,4418,6405,4412,6329,4422,6258,4447,6189,4488,6125,4543,6071,4607,6031,4674,6007,4746,5998,4822,6004,4902,6021,4970,6047,5039,6083,5108,6129,5178,6184,5249,6250,5320,6311,5377,6371,5426,6431,5468,6490,5503,6548,5531,6619,5555,6686,5569,6750,5572,6810,5566,6868,5549,6924,5522,6979,5485,7033,5437,7080,5383,7116,5326,7133,5286,7141,5268,7154,5207,7157,5144xm8170,4148l8165,4099,8153,4049,8134,3996,8109,3942,8079,3886,8041,3829,7980,3853,7799,3928,7831,3974,7855,4017,7873,4058,7884,4095,7887,4130,7881,4163,7866,4194,7843,4223,7812,4247,7778,4261,7740,4265,7700,4259,7653,4240,7600,4206,7538,4157,7469,4092,7417,4036,7375,3984,7344,3937,7324,3894,7311,3842,7312,3796,7325,3755,7352,3719,7367,3706,7384,3695,7402,3687,7422,3683,7442,3681,7464,3681,7486,3684,7509,3690,7524,3696,7542,3704,7563,3715,7586,3730,7705,3505,7622,3459,7543,3427,7469,3408,7400,3401,7333,3409,7269,3432,7206,3470,7146,3522,7092,3585,7054,3651,7030,3721,7021,3795,7027,3873,7044,3940,7070,4008,7106,4077,7153,4147,7209,4217,7276,4289,7341,4350,7404,4402,7467,4445,7529,4481,7590,4508,7662,4532,7730,4545,7791,4547,7847,4541,7900,4524,7952,4497,8004,4460,8056,4414,8094,4371,8125,4328,8147,4285,8161,4240,8169,4195,8170,4148xm8868,3433l8861,3369,8846,3303,8820,3236,8792,3182,8757,3126,8714,3068,8664,3009,8646,2990,8607,2949,8583,2927,8583,3421,8578,3461,8562,3497,8536,3531,8504,3556,8467,3571,8427,3575,8382,3569,8333,3551,8279,3520,8221,3474,8157,3415,8098,3351,8052,3292,8020,3238,8002,3189,7996,3144,8000,3104,8014,3068,8039,3037,8071,3011,8108,2996,8149,2990,8193,2996,8241,3013,8293,3043,8349,3085,8409,3140,8474,3210,8524,3273,8558,3328,8577,3377,8583,3421,8583,2927,8537,2884,8467,2829,8398,2784,8330,2748,8262,2723,8194,2707,8116,2701,8040,2711,7968,2737,7900,2777,7835,2833,7781,2896,7742,2964,7718,3035,7709,3111,7715,3191,7731,3259,7758,3328,7794,3398,7839,3468,7895,3538,7961,3609,8022,3666,8082,3716,8142,3758,8201,3792,8259,3820,8329,3844,8397,3858,8461,3861,8521,3855,8579,3839,8635,3811,8690,3774,8744,3726,8791,3672,8827,3616,8844,3575,8852,3557,8865,3496,8868,3433xm9348,3092l9025,2768,9132,2662,9182,2602,9188,2592,9216,2540,9233,2477,9233,2412,9217,2347,9194,2296,9187,2281,9142,2215,9084,2149,9020,2092,8957,2049,8948,2045,8948,2438,8947,2463,8938,2490,8921,2517,8896,2544,8849,2592,8654,2398,8710,2342,8737,2319,8763,2303,8788,2296,8812,2296,8836,2303,8859,2313,8881,2328,8902,2346,8920,2368,8934,2390,8943,2414,8948,2438,8948,2045,8895,2019,8833,2003,8773,2002,8715,2017,8659,2047,8605,2092,8282,2416,9153,3287,9348,3092xm10166,2274l9801,1909,9748,1759,9593,1308,9540,1158,9325,1373,9353,1443,9436,1654,9492,1795,9422,1766,9211,1683,9071,1627,8854,1843,9005,1896,9456,2051,9606,2104,9971,2469,10166,2274xe" filled="true" fillcolor="#c0c0c0" stroked="false">
                <v:path arrowok="t"/>
                <v:fill opacity="32896f" type="solid"/>
                <w10:wrap type="none"/>
              </v:shape>
            </w:pict>
          </mc:Fallback>
        </mc:AlternateContent>
      </w:r>
      <w:r>
        <w:rPr>
          <w:sz w:val="25"/>
        </w:rPr>
        <w:t>Baghebo, M. &amp; Apere, T. O. (2014). Foreign portfolio investment and economic growth in Nigeria (1986-2011). </w:t>
      </w:r>
      <w:r>
        <w:rPr>
          <w:i/>
          <w:sz w:val="25"/>
        </w:rPr>
        <w:t>International Journal of Business and Social Science, </w:t>
      </w:r>
      <w:r>
        <w:rPr>
          <w:sz w:val="25"/>
        </w:rPr>
        <w:t>5(11), 108- 115.</w:t>
      </w:r>
    </w:p>
    <w:p>
      <w:pPr>
        <w:spacing w:line="276" w:lineRule="auto" w:before="241"/>
        <w:ind w:left="940" w:right="734" w:hanging="720"/>
        <w:jc w:val="both"/>
        <w:rPr>
          <w:sz w:val="25"/>
        </w:rPr>
      </w:pPr>
      <w:r>
        <w:rPr>
          <w:sz w:val="25"/>
        </w:rPr>
        <w:t>Baghebo, M., &amp; Apere, T. O. (2014). Foreign portfolio investment and economic growth in Nigeria</w:t>
      </w:r>
      <w:r>
        <w:rPr>
          <w:spacing w:val="-2"/>
          <w:sz w:val="25"/>
        </w:rPr>
        <w:t> </w:t>
      </w:r>
      <w:r>
        <w:rPr>
          <w:sz w:val="25"/>
        </w:rPr>
        <w:t>(1986-2011).</w:t>
      </w:r>
      <w:r>
        <w:rPr>
          <w:spacing w:val="-1"/>
          <w:sz w:val="25"/>
        </w:rPr>
        <w:t> </w:t>
      </w:r>
      <w:r>
        <w:rPr>
          <w:i/>
          <w:sz w:val="25"/>
        </w:rPr>
        <w:t>International</w:t>
      </w:r>
      <w:r>
        <w:rPr>
          <w:i/>
          <w:spacing w:val="-2"/>
          <w:sz w:val="25"/>
        </w:rPr>
        <w:t> </w:t>
      </w:r>
      <w:r>
        <w:rPr>
          <w:i/>
          <w:sz w:val="25"/>
        </w:rPr>
        <w:t>Journal</w:t>
      </w:r>
      <w:r>
        <w:rPr>
          <w:i/>
          <w:spacing w:val="-2"/>
          <w:sz w:val="25"/>
        </w:rPr>
        <w:t> </w:t>
      </w:r>
      <w:r>
        <w:rPr>
          <w:i/>
          <w:sz w:val="25"/>
        </w:rPr>
        <w:t>of</w:t>
      </w:r>
      <w:r>
        <w:rPr>
          <w:i/>
          <w:spacing w:val="-2"/>
          <w:sz w:val="25"/>
        </w:rPr>
        <w:t> </w:t>
      </w:r>
      <w:r>
        <w:rPr>
          <w:i/>
          <w:sz w:val="25"/>
        </w:rPr>
        <w:t>Business</w:t>
      </w:r>
      <w:r>
        <w:rPr>
          <w:i/>
          <w:spacing w:val="-1"/>
          <w:sz w:val="25"/>
        </w:rPr>
        <w:t> </w:t>
      </w:r>
      <w:r>
        <w:rPr>
          <w:i/>
          <w:sz w:val="25"/>
        </w:rPr>
        <w:t>and</w:t>
      </w:r>
      <w:r>
        <w:rPr>
          <w:i/>
          <w:spacing w:val="-2"/>
          <w:sz w:val="25"/>
        </w:rPr>
        <w:t> </w:t>
      </w:r>
      <w:r>
        <w:rPr>
          <w:i/>
          <w:sz w:val="25"/>
        </w:rPr>
        <w:t>Social</w:t>
      </w:r>
      <w:r>
        <w:rPr>
          <w:i/>
          <w:spacing w:val="-2"/>
          <w:sz w:val="25"/>
        </w:rPr>
        <w:t> </w:t>
      </w:r>
      <w:r>
        <w:rPr>
          <w:i/>
          <w:sz w:val="25"/>
        </w:rPr>
        <w:t>Science, </w:t>
      </w:r>
      <w:r>
        <w:rPr>
          <w:sz w:val="25"/>
        </w:rPr>
        <w:t>5(1),</w:t>
      </w:r>
      <w:r>
        <w:rPr>
          <w:spacing w:val="-2"/>
          <w:sz w:val="25"/>
        </w:rPr>
        <w:t> </w:t>
      </w:r>
      <w:r>
        <w:rPr>
          <w:sz w:val="25"/>
        </w:rPr>
        <w:t>108- </w:t>
      </w:r>
      <w:r>
        <w:rPr>
          <w:spacing w:val="-4"/>
          <w:sz w:val="25"/>
        </w:rPr>
        <w:t>115.</w:t>
      </w:r>
    </w:p>
    <w:p>
      <w:pPr>
        <w:pStyle w:val="BodyText"/>
        <w:spacing w:before="240"/>
        <w:ind w:left="940" w:right="736" w:hanging="720"/>
        <w:jc w:val="both"/>
      </w:pPr>
      <w:r>
        <w:rPr/>
        <w:t>Baltzer, M., Cappiello, L., De Santis, R.A., &amp; Manganelli, S. (2018). Measuring financial integration in new EU member states. European Central Bank Occasional Paper</w:t>
      </w:r>
      <w:r>
        <w:rPr>
          <w:spacing w:val="40"/>
        </w:rPr>
        <w:t> </w:t>
      </w:r>
      <w:r>
        <w:rPr/>
        <w:t>Series No. 81.</w:t>
      </w:r>
    </w:p>
    <w:p>
      <w:pPr>
        <w:spacing w:before="240"/>
        <w:ind w:left="220" w:right="0" w:firstLine="0"/>
        <w:jc w:val="left"/>
        <w:rPr>
          <w:sz w:val="25"/>
        </w:rPr>
      </w:pPr>
      <w:r>
        <w:rPr>
          <w:sz w:val="25"/>
        </w:rPr>
        <w:t>Barro,</w:t>
      </w:r>
      <w:r>
        <w:rPr>
          <w:spacing w:val="-8"/>
          <w:sz w:val="25"/>
        </w:rPr>
        <w:t> </w:t>
      </w:r>
      <w:r>
        <w:rPr>
          <w:sz w:val="25"/>
        </w:rPr>
        <w:t>R</w:t>
      </w:r>
      <w:r>
        <w:rPr>
          <w:spacing w:val="-9"/>
          <w:sz w:val="25"/>
        </w:rPr>
        <w:t> </w:t>
      </w:r>
      <w:r>
        <w:rPr>
          <w:sz w:val="25"/>
        </w:rPr>
        <w:t>&amp;</w:t>
      </w:r>
      <w:r>
        <w:rPr>
          <w:spacing w:val="-7"/>
          <w:sz w:val="25"/>
        </w:rPr>
        <w:t> </w:t>
      </w:r>
      <w:r>
        <w:rPr>
          <w:sz w:val="25"/>
        </w:rPr>
        <w:t>Salai-i-Martin,</w:t>
      </w:r>
      <w:r>
        <w:rPr>
          <w:spacing w:val="-8"/>
          <w:sz w:val="25"/>
        </w:rPr>
        <w:t> </w:t>
      </w:r>
      <w:r>
        <w:rPr>
          <w:sz w:val="25"/>
        </w:rPr>
        <w:t>X.</w:t>
      </w:r>
      <w:r>
        <w:rPr>
          <w:spacing w:val="-8"/>
          <w:sz w:val="25"/>
        </w:rPr>
        <w:t> </w:t>
      </w:r>
      <w:r>
        <w:rPr>
          <w:sz w:val="25"/>
        </w:rPr>
        <w:t>(1995).</w:t>
      </w:r>
      <w:r>
        <w:rPr>
          <w:spacing w:val="-6"/>
          <w:sz w:val="25"/>
        </w:rPr>
        <w:t> </w:t>
      </w:r>
      <w:r>
        <w:rPr>
          <w:i/>
          <w:sz w:val="25"/>
        </w:rPr>
        <w:t>Economic</w:t>
      </w:r>
      <w:r>
        <w:rPr>
          <w:i/>
          <w:spacing w:val="-6"/>
          <w:sz w:val="25"/>
        </w:rPr>
        <w:t> </w:t>
      </w:r>
      <w:r>
        <w:rPr>
          <w:i/>
          <w:sz w:val="25"/>
        </w:rPr>
        <w:t>growth.</w:t>
      </w:r>
      <w:r>
        <w:rPr>
          <w:i/>
          <w:spacing w:val="-5"/>
          <w:sz w:val="25"/>
        </w:rPr>
        <w:t> </w:t>
      </w:r>
      <w:r>
        <w:rPr>
          <w:sz w:val="25"/>
        </w:rPr>
        <w:t>New</w:t>
      </w:r>
      <w:r>
        <w:rPr>
          <w:spacing w:val="-8"/>
          <w:sz w:val="25"/>
        </w:rPr>
        <w:t> </w:t>
      </w:r>
      <w:r>
        <w:rPr>
          <w:sz w:val="25"/>
        </w:rPr>
        <w:t>York:</w:t>
      </w:r>
      <w:r>
        <w:rPr>
          <w:spacing w:val="-7"/>
          <w:sz w:val="25"/>
        </w:rPr>
        <w:t> </w:t>
      </w:r>
      <w:r>
        <w:rPr>
          <w:sz w:val="25"/>
        </w:rPr>
        <w:t>McGraw-</w:t>
      </w:r>
      <w:r>
        <w:rPr>
          <w:spacing w:val="-2"/>
          <w:sz w:val="25"/>
        </w:rPr>
        <w:t>Hill.</w:t>
      </w:r>
    </w:p>
    <w:p>
      <w:pPr>
        <w:spacing w:before="240"/>
        <w:ind w:left="940" w:right="733" w:hanging="720"/>
        <w:jc w:val="both"/>
        <w:rPr>
          <w:sz w:val="25"/>
        </w:rPr>
      </w:pPr>
      <w:r>
        <w:rPr>
          <w:sz w:val="25"/>
        </w:rPr>
        <w:t>Bashir, O.K. (2013). Foreign assistance and economic growth in Nigeria: The two gap-gap model framework. </w:t>
      </w:r>
      <w:r>
        <w:rPr>
          <w:i/>
          <w:sz w:val="25"/>
        </w:rPr>
        <w:t>American journal of contemporary research, </w:t>
      </w:r>
      <w:r>
        <w:rPr>
          <w:sz w:val="25"/>
        </w:rPr>
        <w:t>3(10), 153 – 160.</w:t>
      </w:r>
    </w:p>
    <w:p>
      <w:pPr>
        <w:pStyle w:val="BodyText"/>
        <w:spacing w:before="239"/>
      </w:pPr>
      <w:r>
        <w:rPr/>
        <w:t>Bekaert,</w:t>
      </w:r>
      <w:r>
        <w:rPr>
          <w:spacing w:val="48"/>
        </w:rPr>
        <w:t> </w:t>
      </w:r>
      <w:r>
        <w:rPr/>
        <w:t>G.,</w:t>
      </w:r>
      <w:r>
        <w:rPr>
          <w:spacing w:val="48"/>
        </w:rPr>
        <w:t> </w:t>
      </w:r>
      <w:r>
        <w:rPr/>
        <w:t>Harvey,</w:t>
      </w:r>
      <w:r>
        <w:rPr>
          <w:spacing w:val="49"/>
        </w:rPr>
        <w:t> </w:t>
      </w:r>
      <w:r>
        <w:rPr/>
        <w:t>C.R.</w:t>
      </w:r>
      <w:r>
        <w:rPr>
          <w:spacing w:val="48"/>
        </w:rPr>
        <w:t> </w:t>
      </w:r>
      <w:r>
        <w:rPr/>
        <w:t>&amp;</w:t>
      </w:r>
      <w:r>
        <w:rPr>
          <w:spacing w:val="48"/>
        </w:rPr>
        <w:t> </w:t>
      </w:r>
      <w:r>
        <w:rPr/>
        <w:t>Lundblad,</w:t>
      </w:r>
      <w:r>
        <w:rPr>
          <w:spacing w:val="49"/>
        </w:rPr>
        <w:t> </w:t>
      </w:r>
      <w:r>
        <w:rPr/>
        <w:t>C.</w:t>
      </w:r>
      <w:r>
        <w:rPr>
          <w:spacing w:val="48"/>
        </w:rPr>
        <w:t> </w:t>
      </w:r>
      <w:r>
        <w:rPr/>
        <w:t>(2011).</w:t>
      </w:r>
      <w:r>
        <w:rPr>
          <w:spacing w:val="52"/>
        </w:rPr>
        <w:t> </w:t>
      </w:r>
      <w:r>
        <w:rPr/>
        <w:t>Financial</w:t>
      </w:r>
      <w:r>
        <w:rPr>
          <w:spacing w:val="47"/>
        </w:rPr>
        <w:t> </w:t>
      </w:r>
      <w:r>
        <w:rPr/>
        <w:t>openness</w:t>
      </w:r>
      <w:r>
        <w:rPr>
          <w:spacing w:val="49"/>
        </w:rPr>
        <w:t> </w:t>
      </w:r>
      <w:r>
        <w:rPr/>
        <w:t>and</w:t>
      </w:r>
      <w:r>
        <w:rPr>
          <w:spacing w:val="47"/>
        </w:rPr>
        <w:t> </w:t>
      </w:r>
      <w:r>
        <w:rPr>
          <w:spacing w:val="-2"/>
        </w:rPr>
        <w:t>productivity.</w:t>
      </w:r>
    </w:p>
    <w:p>
      <w:pPr>
        <w:spacing w:before="0"/>
        <w:ind w:left="940" w:right="0" w:firstLine="0"/>
        <w:jc w:val="left"/>
        <w:rPr>
          <w:sz w:val="25"/>
        </w:rPr>
      </w:pPr>
      <w:r>
        <w:rPr>
          <w:i/>
          <w:sz w:val="25"/>
        </w:rPr>
        <w:t>World</w:t>
      </w:r>
      <w:r>
        <w:rPr>
          <w:i/>
          <w:spacing w:val="-7"/>
          <w:sz w:val="25"/>
        </w:rPr>
        <w:t> </w:t>
      </w:r>
      <w:r>
        <w:rPr>
          <w:i/>
          <w:sz w:val="25"/>
        </w:rPr>
        <w:t>Development,</w:t>
      </w:r>
      <w:r>
        <w:rPr>
          <w:i/>
          <w:spacing w:val="-7"/>
          <w:sz w:val="25"/>
        </w:rPr>
        <w:t> </w:t>
      </w:r>
      <w:r>
        <w:rPr>
          <w:i/>
          <w:sz w:val="25"/>
        </w:rPr>
        <w:t>Elsevier</w:t>
      </w:r>
      <w:r>
        <w:rPr>
          <w:sz w:val="25"/>
        </w:rPr>
        <w:t>,</w:t>
      </w:r>
      <w:r>
        <w:rPr>
          <w:spacing w:val="-7"/>
          <w:sz w:val="25"/>
        </w:rPr>
        <w:t> </w:t>
      </w:r>
      <w:r>
        <w:rPr>
          <w:sz w:val="25"/>
        </w:rPr>
        <w:t>39(1),</w:t>
      </w:r>
      <w:r>
        <w:rPr>
          <w:spacing w:val="-7"/>
          <w:sz w:val="25"/>
        </w:rPr>
        <w:t> </w:t>
      </w:r>
      <w:r>
        <w:rPr>
          <w:sz w:val="25"/>
        </w:rPr>
        <w:t>1</w:t>
      </w:r>
      <w:r>
        <w:rPr>
          <w:spacing w:val="-6"/>
          <w:sz w:val="25"/>
        </w:rPr>
        <w:t> </w:t>
      </w:r>
      <w:r>
        <w:rPr>
          <w:sz w:val="25"/>
        </w:rPr>
        <w:t>–</w:t>
      </w:r>
      <w:r>
        <w:rPr>
          <w:spacing w:val="-7"/>
          <w:sz w:val="25"/>
        </w:rPr>
        <w:t> </w:t>
      </w:r>
      <w:r>
        <w:rPr>
          <w:spacing w:val="-5"/>
          <w:sz w:val="25"/>
        </w:rPr>
        <w:t>19.</w:t>
      </w:r>
    </w:p>
    <w:p>
      <w:pPr>
        <w:pStyle w:val="BodyText"/>
        <w:spacing w:before="241"/>
        <w:ind w:left="940" w:right="739" w:hanging="720"/>
        <w:jc w:val="both"/>
      </w:pPr>
      <w:r>
        <w:rPr/>
        <w:t>Biplab, K.G., &amp; Inder, S.Y. (2021). Financial integration in Asia: A macroeconomic perspective. </w:t>
      </w:r>
      <w:r>
        <w:rPr>
          <w:i/>
        </w:rPr>
        <w:t>The Developing Economics</w:t>
      </w:r>
      <w:r>
        <w:rPr/>
        <w:t>, 59(1), 64 – 101.</w:t>
      </w:r>
    </w:p>
    <w:p>
      <w:pPr>
        <w:pStyle w:val="BodyText"/>
        <w:spacing w:before="239"/>
      </w:pPr>
      <w:r>
        <w:rPr/>
        <w:t>Bloch,</w:t>
      </w:r>
      <w:r>
        <w:rPr>
          <w:spacing w:val="26"/>
        </w:rPr>
        <w:t> </w:t>
      </w:r>
      <w:r>
        <w:rPr/>
        <w:t>H.</w:t>
      </w:r>
      <w:r>
        <w:rPr>
          <w:spacing w:val="27"/>
        </w:rPr>
        <w:t> </w:t>
      </w:r>
      <w:r>
        <w:rPr/>
        <w:t>&amp;</w:t>
      </w:r>
      <w:r>
        <w:rPr>
          <w:spacing w:val="27"/>
        </w:rPr>
        <w:t> </w:t>
      </w:r>
      <w:r>
        <w:rPr/>
        <w:t>S.</w:t>
      </w:r>
      <w:r>
        <w:rPr>
          <w:spacing w:val="28"/>
        </w:rPr>
        <w:t> </w:t>
      </w:r>
      <w:r>
        <w:rPr/>
        <w:t>H.K.</w:t>
      </w:r>
      <w:r>
        <w:rPr>
          <w:spacing w:val="27"/>
        </w:rPr>
        <w:t> </w:t>
      </w:r>
      <w:r>
        <w:rPr/>
        <w:t>Tang</w:t>
      </w:r>
      <w:r>
        <w:rPr>
          <w:spacing w:val="26"/>
        </w:rPr>
        <w:t> </w:t>
      </w:r>
      <w:r>
        <w:rPr/>
        <w:t>(2003).The</w:t>
      </w:r>
      <w:r>
        <w:rPr>
          <w:spacing w:val="27"/>
        </w:rPr>
        <w:t> </w:t>
      </w:r>
      <w:r>
        <w:rPr/>
        <w:t>role</w:t>
      </w:r>
      <w:r>
        <w:rPr>
          <w:spacing w:val="27"/>
        </w:rPr>
        <w:t> </w:t>
      </w:r>
      <w:r>
        <w:rPr/>
        <w:t>of</w:t>
      </w:r>
      <w:r>
        <w:rPr>
          <w:spacing w:val="28"/>
        </w:rPr>
        <w:t> </w:t>
      </w:r>
      <w:r>
        <w:rPr/>
        <w:t>financial</w:t>
      </w:r>
      <w:r>
        <w:rPr>
          <w:spacing w:val="27"/>
        </w:rPr>
        <w:t> </w:t>
      </w:r>
      <w:r>
        <w:rPr/>
        <w:t>development</w:t>
      </w:r>
      <w:r>
        <w:rPr>
          <w:spacing w:val="29"/>
        </w:rPr>
        <w:t> </w:t>
      </w:r>
      <w:r>
        <w:rPr/>
        <w:t>in</w:t>
      </w:r>
      <w:r>
        <w:rPr>
          <w:spacing w:val="27"/>
        </w:rPr>
        <w:t> </w:t>
      </w:r>
      <w:r>
        <w:rPr/>
        <w:t>economic</w:t>
      </w:r>
      <w:r>
        <w:rPr>
          <w:spacing w:val="27"/>
        </w:rPr>
        <w:t> </w:t>
      </w:r>
      <w:r>
        <w:rPr>
          <w:spacing w:val="-2"/>
        </w:rPr>
        <w:t>growth.</w:t>
      </w:r>
    </w:p>
    <w:p>
      <w:pPr>
        <w:spacing w:before="0"/>
        <w:ind w:left="940" w:right="0" w:firstLine="0"/>
        <w:jc w:val="left"/>
        <w:rPr>
          <w:sz w:val="25"/>
        </w:rPr>
      </w:pPr>
      <w:r>
        <w:rPr>
          <w:i/>
          <w:sz w:val="25"/>
        </w:rPr>
        <w:t>Progress</w:t>
      </w:r>
      <w:r>
        <w:rPr>
          <w:i/>
          <w:spacing w:val="-8"/>
          <w:sz w:val="25"/>
        </w:rPr>
        <w:t> </w:t>
      </w:r>
      <w:r>
        <w:rPr>
          <w:i/>
          <w:sz w:val="25"/>
        </w:rPr>
        <w:t>in</w:t>
      </w:r>
      <w:r>
        <w:rPr>
          <w:i/>
          <w:spacing w:val="-9"/>
          <w:sz w:val="25"/>
        </w:rPr>
        <w:t> </w:t>
      </w:r>
      <w:r>
        <w:rPr>
          <w:i/>
          <w:sz w:val="25"/>
        </w:rPr>
        <w:t>Development</w:t>
      </w:r>
      <w:r>
        <w:rPr>
          <w:i/>
          <w:spacing w:val="-9"/>
          <w:sz w:val="25"/>
        </w:rPr>
        <w:t> </w:t>
      </w:r>
      <w:r>
        <w:rPr>
          <w:i/>
          <w:sz w:val="25"/>
        </w:rPr>
        <w:t>Studies</w:t>
      </w:r>
      <w:r>
        <w:rPr>
          <w:sz w:val="25"/>
        </w:rPr>
        <w:t>,</w:t>
      </w:r>
      <w:r>
        <w:rPr>
          <w:spacing w:val="-8"/>
          <w:sz w:val="25"/>
        </w:rPr>
        <w:t> </w:t>
      </w:r>
      <w:r>
        <w:rPr>
          <w:sz w:val="25"/>
        </w:rPr>
        <w:t>3(3),</w:t>
      </w:r>
      <w:r>
        <w:rPr>
          <w:spacing w:val="-9"/>
          <w:sz w:val="25"/>
        </w:rPr>
        <w:t> </w:t>
      </w:r>
      <w:r>
        <w:rPr>
          <w:sz w:val="25"/>
        </w:rPr>
        <w:t>243-</w:t>
      </w:r>
      <w:r>
        <w:rPr>
          <w:spacing w:val="-4"/>
          <w:sz w:val="25"/>
        </w:rPr>
        <w:t>251.</w:t>
      </w:r>
    </w:p>
    <w:p>
      <w:pPr>
        <w:pStyle w:val="BodyText"/>
        <w:spacing w:before="241"/>
      </w:pPr>
      <w:r>
        <w:rPr/>
        <w:t>Blomstrom,</w:t>
      </w:r>
      <w:r>
        <w:rPr>
          <w:spacing w:val="14"/>
        </w:rPr>
        <w:t> </w:t>
      </w:r>
      <w:r>
        <w:rPr/>
        <w:t>M.</w:t>
      </w:r>
      <w:r>
        <w:rPr>
          <w:spacing w:val="14"/>
        </w:rPr>
        <w:t> </w:t>
      </w:r>
      <w:r>
        <w:rPr/>
        <w:t>(1986).</w:t>
      </w:r>
      <w:r>
        <w:rPr>
          <w:spacing w:val="14"/>
        </w:rPr>
        <w:t> </w:t>
      </w:r>
      <w:r>
        <w:rPr/>
        <w:t>Foreign</w:t>
      </w:r>
      <w:r>
        <w:rPr>
          <w:spacing w:val="15"/>
        </w:rPr>
        <w:t> </w:t>
      </w:r>
      <w:r>
        <w:rPr/>
        <w:t>investment</w:t>
      </w:r>
      <w:r>
        <w:rPr>
          <w:spacing w:val="14"/>
        </w:rPr>
        <w:t> </w:t>
      </w:r>
      <w:r>
        <w:rPr/>
        <w:t>and</w:t>
      </w:r>
      <w:r>
        <w:rPr>
          <w:spacing w:val="16"/>
        </w:rPr>
        <w:t> </w:t>
      </w:r>
      <w:r>
        <w:rPr/>
        <w:t>productive</w:t>
      </w:r>
      <w:r>
        <w:rPr>
          <w:spacing w:val="14"/>
        </w:rPr>
        <w:t> </w:t>
      </w:r>
      <w:r>
        <w:rPr/>
        <w:t>efficiency:</w:t>
      </w:r>
      <w:r>
        <w:rPr>
          <w:spacing w:val="18"/>
        </w:rPr>
        <w:t> </w:t>
      </w:r>
      <w:r>
        <w:rPr/>
        <w:t>The</w:t>
      </w:r>
      <w:r>
        <w:rPr>
          <w:spacing w:val="13"/>
        </w:rPr>
        <w:t> </w:t>
      </w:r>
      <w:r>
        <w:rPr/>
        <w:t>case</w:t>
      </w:r>
      <w:r>
        <w:rPr>
          <w:spacing w:val="13"/>
        </w:rPr>
        <w:t> </w:t>
      </w:r>
      <w:r>
        <w:rPr/>
        <w:t>of</w:t>
      </w:r>
      <w:r>
        <w:rPr>
          <w:spacing w:val="15"/>
        </w:rPr>
        <w:t> </w:t>
      </w:r>
      <w:r>
        <w:rPr>
          <w:spacing w:val="-2"/>
        </w:rPr>
        <w:t>Mexico.</w:t>
      </w:r>
    </w:p>
    <w:p>
      <w:pPr>
        <w:spacing w:before="44"/>
        <w:ind w:left="940" w:right="0" w:firstLine="0"/>
        <w:jc w:val="left"/>
        <w:rPr>
          <w:sz w:val="25"/>
        </w:rPr>
      </w:pPr>
      <w:r>
        <w:rPr>
          <w:i/>
          <w:sz w:val="25"/>
        </w:rPr>
        <w:t>Journal</w:t>
      </w:r>
      <w:r>
        <w:rPr>
          <w:i/>
          <w:spacing w:val="-9"/>
          <w:sz w:val="25"/>
        </w:rPr>
        <w:t> </w:t>
      </w:r>
      <w:r>
        <w:rPr>
          <w:i/>
          <w:sz w:val="25"/>
        </w:rPr>
        <w:t>of</w:t>
      </w:r>
      <w:r>
        <w:rPr>
          <w:i/>
          <w:spacing w:val="-9"/>
          <w:sz w:val="25"/>
        </w:rPr>
        <w:t> </w:t>
      </w:r>
      <w:r>
        <w:rPr>
          <w:i/>
          <w:sz w:val="25"/>
        </w:rPr>
        <w:t>Industrial</w:t>
      </w:r>
      <w:r>
        <w:rPr>
          <w:i/>
          <w:spacing w:val="-8"/>
          <w:sz w:val="25"/>
        </w:rPr>
        <w:t> </w:t>
      </w:r>
      <w:r>
        <w:rPr>
          <w:i/>
          <w:sz w:val="25"/>
        </w:rPr>
        <w:t>Economics</w:t>
      </w:r>
      <w:r>
        <w:rPr>
          <w:sz w:val="25"/>
        </w:rPr>
        <w:t>,</w:t>
      </w:r>
      <w:r>
        <w:rPr>
          <w:spacing w:val="-9"/>
          <w:sz w:val="25"/>
        </w:rPr>
        <w:t> </w:t>
      </w:r>
      <w:r>
        <w:rPr>
          <w:sz w:val="25"/>
        </w:rPr>
        <w:t>15(1),</w:t>
      </w:r>
      <w:r>
        <w:rPr>
          <w:spacing w:val="-8"/>
          <w:sz w:val="25"/>
        </w:rPr>
        <w:t> </w:t>
      </w:r>
      <w:r>
        <w:rPr>
          <w:sz w:val="25"/>
        </w:rPr>
        <w:t>97-</w:t>
      </w:r>
      <w:r>
        <w:rPr>
          <w:spacing w:val="-4"/>
          <w:sz w:val="25"/>
        </w:rPr>
        <w:t>110.</w:t>
      </w:r>
    </w:p>
    <w:p>
      <w:pPr>
        <w:spacing w:before="281"/>
        <w:ind w:left="940" w:right="736" w:hanging="720"/>
        <w:jc w:val="both"/>
        <w:rPr>
          <w:sz w:val="25"/>
        </w:rPr>
      </w:pPr>
      <w:r>
        <w:rPr>
          <w:sz w:val="25"/>
        </w:rPr>
        <w:t>Bonfiglioli, A. (2008). Financial integration, productivity and capital accumulation. </w:t>
      </w:r>
      <w:r>
        <w:rPr>
          <w:i/>
          <w:sz w:val="25"/>
        </w:rPr>
        <w:t>Journal of International Economics</w:t>
      </w:r>
      <w:r>
        <w:rPr>
          <w:sz w:val="25"/>
        </w:rPr>
        <w:t>, 76, 337 - 355.</w:t>
      </w:r>
    </w:p>
    <w:p>
      <w:pPr>
        <w:pStyle w:val="BodyText"/>
        <w:spacing w:before="242"/>
        <w:ind w:left="940" w:right="737" w:hanging="720"/>
        <w:jc w:val="both"/>
      </w:pPr>
      <w:r>
        <w:rPr/>
        <w:t>Boyd, J.H., &amp; Smith, B.D. (1992). Intermediation and the equilibrium allocation of investment capital: Implications for economic development. </w:t>
      </w:r>
      <w:r>
        <w:rPr>
          <w:i/>
        </w:rPr>
        <w:t>Journal of Monetary Economics</w:t>
      </w:r>
      <w:r>
        <w:rPr/>
        <w:t>, 30, 409-32.</w:t>
      </w:r>
    </w:p>
    <w:p>
      <w:pPr>
        <w:spacing w:before="239"/>
        <w:ind w:left="940" w:right="743" w:hanging="720"/>
        <w:jc w:val="both"/>
        <w:rPr>
          <w:sz w:val="25"/>
        </w:rPr>
      </w:pPr>
      <w:r>
        <w:rPr>
          <w:sz w:val="25"/>
        </w:rPr>
        <w:t>Brouwer, G. (2015). Monetary and financial integration in Asia: Empirical Evidence and Issues.</w:t>
      </w:r>
      <w:r>
        <w:rPr>
          <w:spacing w:val="-4"/>
          <w:sz w:val="25"/>
        </w:rPr>
        <w:t> </w:t>
      </w:r>
      <w:r>
        <w:rPr>
          <w:i/>
          <w:sz w:val="25"/>
        </w:rPr>
        <w:t>Asia</w:t>
      </w:r>
      <w:r>
        <w:rPr>
          <w:i/>
          <w:spacing w:val="-5"/>
          <w:sz w:val="25"/>
        </w:rPr>
        <w:t> </w:t>
      </w:r>
      <w:r>
        <w:rPr>
          <w:i/>
          <w:sz w:val="25"/>
        </w:rPr>
        <w:t>Economic</w:t>
      </w:r>
      <w:r>
        <w:rPr>
          <w:i/>
          <w:spacing w:val="-3"/>
          <w:sz w:val="25"/>
        </w:rPr>
        <w:t> </w:t>
      </w:r>
      <w:r>
        <w:rPr>
          <w:i/>
          <w:sz w:val="25"/>
        </w:rPr>
        <w:t>Cooperation</w:t>
      </w:r>
      <w:r>
        <w:rPr>
          <w:i/>
          <w:spacing w:val="-5"/>
          <w:sz w:val="25"/>
        </w:rPr>
        <w:t> </w:t>
      </w:r>
      <w:r>
        <w:rPr>
          <w:i/>
          <w:sz w:val="25"/>
        </w:rPr>
        <w:t>and</w:t>
      </w:r>
      <w:r>
        <w:rPr>
          <w:i/>
          <w:spacing w:val="-2"/>
          <w:sz w:val="25"/>
        </w:rPr>
        <w:t> </w:t>
      </w:r>
      <w:r>
        <w:rPr>
          <w:i/>
          <w:sz w:val="25"/>
        </w:rPr>
        <w:t>Integration,</w:t>
      </w:r>
      <w:r>
        <w:rPr>
          <w:i/>
          <w:spacing w:val="-5"/>
          <w:sz w:val="25"/>
        </w:rPr>
        <w:t> </w:t>
      </w:r>
      <w:r>
        <w:rPr>
          <w:i/>
          <w:sz w:val="25"/>
        </w:rPr>
        <w:t>Asia</w:t>
      </w:r>
      <w:r>
        <w:rPr>
          <w:i/>
          <w:spacing w:val="-5"/>
          <w:sz w:val="25"/>
        </w:rPr>
        <w:t> </w:t>
      </w:r>
      <w:r>
        <w:rPr>
          <w:i/>
          <w:sz w:val="25"/>
        </w:rPr>
        <w:t>Development</w:t>
      </w:r>
      <w:r>
        <w:rPr>
          <w:i/>
          <w:spacing w:val="-5"/>
          <w:sz w:val="25"/>
        </w:rPr>
        <w:t> </w:t>
      </w:r>
      <w:r>
        <w:rPr>
          <w:i/>
          <w:sz w:val="25"/>
        </w:rPr>
        <w:t>Bank,</w:t>
      </w:r>
      <w:r>
        <w:rPr>
          <w:i/>
          <w:spacing w:val="-5"/>
          <w:sz w:val="25"/>
        </w:rPr>
        <w:t> </w:t>
      </w:r>
      <w:r>
        <w:rPr>
          <w:i/>
          <w:sz w:val="25"/>
        </w:rPr>
        <w:t>Manila, the Philippines</w:t>
      </w:r>
      <w:r>
        <w:rPr>
          <w:sz w:val="25"/>
        </w:rPr>
        <w:t>, 269-293.</w:t>
      </w:r>
    </w:p>
    <w:p>
      <w:pPr>
        <w:pStyle w:val="BodyText"/>
        <w:spacing w:before="241"/>
        <w:ind w:left="940" w:right="740" w:hanging="720"/>
        <w:jc w:val="both"/>
      </w:pPr>
      <w:r>
        <w:rPr/>
        <w:t>Bussiere, M., Fratzscher, M., &amp; Muller, G. (2004). Current account dynamics in OECD and EU Acceding Countries - An Intertemporal Approach. ECB Working Paper, No. 311.</w:t>
      </w:r>
    </w:p>
    <w:p>
      <w:pPr>
        <w:spacing w:after="0"/>
        <w:jc w:val="both"/>
        <w:sectPr>
          <w:pgSz w:w="12240" w:h="15840"/>
          <w:pgMar w:header="0" w:footer="1012" w:top="1380" w:bottom="1200" w:left="1220" w:right="700"/>
        </w:sectPr>
      </w:pPr>
    </w:p>
    <w:p>
      <w:pPr>
        <w:spacing w:before="60"/>
        <w:ind w:left="940" w:right="741" w:hanging="720"/>
        <w:jc w:val="both"/>
        <w:rPr>
          <w:i/>
          <w:sz w:val="25"/>
        </w:rPr>
      </w:pPr>
      <w:r>
        <w:rPr>
          <w:sz w:val="25"/>
        </w:rPr>
        <w:t>Carkovic, M, &amp; R.Levine, (2002). Does foreign private investment accelerate economic Growth? </w:t>
      </w:r>
      <w:r>
        <w:rPr>
          <w:i/>
          <w:sz w:val="25"/>
        </w:rPr>
        <w:t>University of Minnesota Working Paper, Minneapolis, available at: </w:t>
      </w:r>
      <w:hyperlink r:id="rId9">
        <w:r>
          <w:rPr>
            <w:i/>
            <w:spacing w:val="-2"/>
            <w:sz w:val="25"/>
          </w:rPr>
          <w:t>www.worldbank.org/research/conferences/financial-globalization/FPI.</w:t>
        </w:r>
      </w:hyperlink>
    </w:p>
    <w:p>
      <w:pPr>
        <w:spacing w:before="239"/>
        <w:ind w:left="940" w:right="736" w:hanging="720"/>
        <w:jc w:val="both"/>
        <w:rPr>
          <w:sz w:val="25"/>
        </w:rPr>
      </w:pPr>
      <w:r>
        <w:rPr/>
        <mc:AlternateContent>
          <mc:Choice Requires="wps">
            <w:drawing>
              <wp:anchor distT="0" distB="0" distL="0" distR="0" allowOverlap="1" layoutInCell="1" locked="0" behindDoc="1" simplePos="0" relativeHeight="478113280">
                <wp:simplePos x="0" y="0"/>
                <wp:positionH relativeFrom="page">
                  <wp:posOffset>950112</wp:posOffset>
                </wp:positionH>
                <wp:positionV relativeFrom="paragraph">
                  <wp:posOffset>735312</wp:posOffset>
                </wp:positionV>
                <wp:extent cx="5505450" cy="5661025"/>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57.898632pt;width:433.5pt;height:445.75pt;mso-position-horizontal-relative:page;mso-position-vertical-relative:paragraph;z-index:-25203200" id="docshape221" coordorigin="1496,1158" coordsize="8670,8915" path="m2562,9878l1691,9007,1496,9202,2367,10073,2562,9878xm3154,9202l3153,9162,3148,9119,3139,9076,3125,9032,3106,8988,3083,8945,3055,8902,3025,8861,2991,8821,2954,8782,2435,8263,2241,8457,2772,8989,2805,9025,2829,9060,2846,9095,2856,9129,2858,9162,2851,9192,2837,9221,2816,9247,2790,9269,2761,9283,2730,9288,2697,9286,2663,9277,2628,9260,2593,9236,2557,9204,2026,8672,1831,8866,2351,9386,2385,9418,2424,9450,2468,9483,2516,9515,2548,9534,2583,9550,2620,9563,2658,9574,2697,9582,2733,9585,2767,9586,2800,9582,2831,9575,2863,9563,2895,9547,2926,9527,2957,9504,2985,9481,3011,9458,3035,9435,3071,9395,3102,9354,3125,9312,3142,9270,3150,9238,3154,9202xm3882,8418l3876,8354,3860,8289,3834,8222,3806,8168,3771,8112,3728,8054,3678,7995,3661,7976,3621,7935,3597,7912,3597,8406,3592,8446,3577,8483,3551,8516,3518,8542,3481,8557,3441,8561,3396,8555,3347,8537,3294,8505,3235,8460,3171,8401,3112,8337,3066,8278,3035,8224,3016,8175,3010,8130,3014,8090,3029,8054,3053,8022,3086,7997,3122,7981,3163,7976,3207,7981,3255,7999,3307,8028,3363,8071,3423,8126,3488,8195,3538,8258,3572,8314,3591,8363,3597,8406,3597,7912,3551,7870,3482,7814,3413,7769,3344,7734,3276,7708,3209,7692,3130,7687,3055,7697,2983,7722,2914,7763,2850,7818,2796,7882,2756,7949,2732,8021,2723,8097,2729,8176,2746,8245,2772,8314,2808,8383,2854,8453,2910,8524,2976,8595,3036,8652,3096,8701,3156,8743,3215,8778,3273,8805,3344,8830,3411,8843,3475,8847,3535,8841,3593,8824,3649,8797,3705,8759,3758,8711,3805,8658,3841,8601,3858,8561,3866,8543,3879,8481,3882,8418xm4153,7839l3966,7652,3712,7906,3899,8093,4153,7839xm4664,7776l3793,6905,3598,7100,4469,7971,4664,7776xm4998,7442l4675,7119,4781,7012,4832,6952,4837,6942,4866,6891,4883,6827,4882,6763,4866,6697,4843,6646,4836,6631,4792,6565,4733,6499,4670,6442,4607,6399,4598,6395,4598,6788,4597,6814,4587,6840,4570,6867,4546,6895,4498,6942,4304,6748,4359,6692,4386,6669,4412,6654,4438,6646,4462,6647,4486,6653,4509,6663,4531,6678,4552,6696,4570,6718,4584,6740,4593,6764,4598,6788,4598,6395,4544,6370,4483,6354,4423,6353,4365,6367,4309,6397,4255,6443,3931,6766,4803,7637,4998,7442xm5788,6652l5132,5996,5330,5798,5115,5583,4524,6174,4739,6389,4937,6191,5593,6847,5788,6652xm6423,6017l5767,5361,5966,5162,5751,4947,5159,5539,5374,5754,5573,5555,6229,6211,6423,6017xm7157,5144l7151,5079,7135,5014,7109,4947,7081,4893,7046,4837,7003,4779,6953,4720,6935,4701,6896,4660,6872,4638,6872,5131,6867,5172,6851,5208,6825,5242,6793,5267,6756,5282,6716,5286,6671,5280,6622,5262,6569,5230,6510,5185,6446,5126,6387,5062,6341,5003,6309,4949,6291,4900,6285,4855,6289,4815,6304,4779,6328,4748,6361,4722,6397,4707,6438,4701,6482,4707,6530,4724,6582,4754,6638,4796,6698,4851,6763,4921,6813,4983,6847,5039,6866,5088,6872,5131,6872,4638,6826,4595,6756,4540,6687,4495,6619,4459,6551,4434,6483,4418,6405,4412,6329,4422,6258,4447,6189,4488,6125,4543,6071,4607,6031,4674,6007,4746,5998,4822,6004,4902,6021,4970,6047,5039,6083,5108,6129,5178,6184,5249,6250,5320,6311,5377,6371,5426,6431,5468,6490,5503,6548,5531,6619,5555,6686,5569,6750,5572,6810,5566,6868,5549,6924,5522,6979,5485,7033,5437,7080,5383,7116,5326,7133,5286,7141,5268,7154,5207,7157,5144xm8170,4148l8165,4099,8153,4049,8134,3996,8109,3942,8079,3886,8041,3829,7980,3853,7799,3928,7831,3974,7855,4017,7873,4058,7884,4095,7887,4130,7881,4163,7866,4194,7843,4223,7812,4247,7778,4261,7740,4265,7700,4259,7653,4240,7600,4206,7538,4157,7469,4092,7417,4036,7375,3984,7344,3937,7324,3894,7311,3842,7312,3796,7325,3755,7352,3719,7367,3706,7384,3695,7402,3687,7422,3683,7442,3681,7464,3681,7486,3684,7509,3690,7524,3696,7542,3704,7563,3715,7586,3730,7705,3505,7622,3459,7543,3427,7469,3408,7400,3401,7333,3409,7269,3432,7206,3470,7146,3522,7092,3585,7054,3651,7030,3721,7021,3795,7027,3873,7044,3940,7070,4008,7106,4077,7153,4147,7209,4217,7276,4289,7341,4350,7404,4402,7467,4445,7529,4481,7590,4508,7662,4532,7730,4545,7791,4547,7847,4541,7900,4524,7952,4497,8004,4460,8056,4414,8094,4371,8125,4328,8147,4285,8161,4240,8169,4195,8170,4148xm8868,3433l8861,3369,8846,3303,8820,3236,8792,3182,8757,3126,8714,3068,8664,3009,8646,2990,8607,2949,8583,2927,8583,3421,8578,3461,8562,3497,8536,3531,8504,3556,8467,3571,8427,3575,8382,3569,8333,3551,8279,3520,8221,3474,8157,3415,8098,3351,8052,3292,8020,3238,8002,3189,7996,3144,8000,3104,8014,3068,8039,3037,8071,3011,8108,2996,8149,2990,8193,2996,8241,3013,8293,3043,8349,3085,8409,3140,8474,3210,8524,3273,8558,3328,8577,3377,8583,3421,8583,2927,8537,2884,8467,2829,8398,2784,8330,2748,8262,2723,8194,2707,8116,2701,8040,2711,7968,2737,7900,2777,7835,2833,7781,2896,7742,2964,7718,3035,7709,3111,7715,3191,7731,3259,7758,3328,7794,3398,7839,3468,7895,3538,7961,3609,8022,3666,8082,3716,8142,3758,8201,3792,8259,3820,8329,3844,8397,3858,8461,3861,8521,3855,8579,3839,8635,3811,8690,3774,8744,3726,8791,3672,8827,3616,8844,3575,8852,3557,8865,3496,8868,3433xm9348,3092l9025,2768,9132,2662,9182,2602,9188,2592,9216,2540,9233,2477,9233,2412,9217,2347,9194,2296,9187,2281,9142,2215,9084,2149,9020,2092,8957,2049,8948,2045,8948,2438,8947,2463,8938,2490,8921,2517,8896,2544,8849,2592,8654,2398,8710,2342,8737,2319,8763,2303,8788,2296,8812,2296,8836,2303,8859,2313,8881,2328,8902,2346,8920,2368,8934,2390,8943,2414,8948,2438,8948,2045,8895,2019,8833,2003,8773,2002,8715,2017,8659,2047,8605,2092,8282,2416,9153,3287,9348,3092xm10166,2274l9801,1909,9748,1759,9593,1308,9540,1158,9325,1373,9353,1443,9436,1654,9492,1795,9422,1766,9211,1683,9071,1627,8854,1843,9005,1896,9456,2051,9606,2104,9971,2469,10166,2274xe" filled="true" fillcolor="#c0c0c0" stroked="false">
                <v:path arrowok="t"/>
                <v:fill opacity="32896f" type="solid"/>
                <w10:wrap type="none"/>
              </v:shape>
            </w:pict>
          </mc:Fallback>
        </mc:AlternateContent>
      </w:r>
      <w:r>
        <w:rPr>
          <w:sz w:val="25"/>
        </w:rPr>
        <w:t>Chigbu, E. E., Ubah, C. P. &amp; Chigbu, U. S. (2015). Impact of capital inflows on economic growth of developing countries.</w:t>
      </w:r>
      <w:r>
        <w:rPr>
          <w:i/>
          <w:sz w:val="25"/>
        </w:rPr>
        <w:t>International Journal of Management Science and Business Administration, </w:t>
      </w:r>
      <w:r>
        <w:rPr>
          <w:sz w:val="25"/>
        </w:rPr>
        <w:t>1(7), 7-21.</w:t>
      </w:r>
    </w:p>
    <w:p>
      <w:pPr>
        <w:pStyle w:val="BodyText"/>
        <w:spacing w:before="239"/>
        <w:ind w:left="940" w:right="742" w:hanging="720"/>
        <w:jc w:val="both"/>
      </w:pPr>
      <w:r>
        <w:rPr/>
        <w:t>Chinwuba, O. &amp; Amos, O. (2011). Stimulating economic development through the capital market: the Nigerian experience. </w:t>
      </w:r>
      <w:r>
        <w:rPr>
          <w:i/>
        </w:rPr>
        <w:t>Jorind</w:t>
      </w:r>
      <w:r>
        <w:rPr/>
        <w:t>, 9(2).</w:t>
      </w:r>
    </w:p>
    <w:p>
      <w:pPr>
        <w:spacing w:before="241"/>
        <w:ind w:left="940" w:right="741" w:hanging="720"/>
        <w:jc w:val="both"/>
        <w:rPr>
          <w:sz w:val="25"/>
        </w:rPr>
      </w:pPr>
      <w:r>
        <w:rPr>
          <w:sz w:val="25"/>
        </w:rPr>
        <w:t>Chipote, P., Mgxekwa, B. &amp; Godza, P. (2014). Impact of financial liberalization on</w:t>
      </w:r>
      <w:r>
        <w:rPr>
          <w:spacing w:val="40"/>
          <w:sz w:val="25"/>
        </w:rPr>
        <w:t> </w:t>
      </w:r>
      <w:r>
        <w:rPr>
          <w:sz w:val="25"/>
        </w:rPr>
        <w:t>economic growth: A case study of South Africa. </w:t>
      </w:r>
      <w:r>
        <w:rPr>
          <w:i/>
          <w:sz w:val="25"/>
        </w:rPr>
        <w:t>Mediterranean Journal of Social Science, </w:t>
      </w:r>
      <w:r>
        <w:rPr>
          <w:sz w:val="25"/>
        </w:rPr>
        <w:t>5(23) 238 – 245.</w:t>
      </w:r>
    </w:p>
    <w:p>
      <w:pPr>
        <w:spacing w:before="240"/>
        <w:ind w:left="940" w:right="734" w:hanging="720"/>
        <w:jc w:val="both"/>
        <w:rPr>
          <w:sz w:val="25"/>
        </w:rPr>
      </w:pPr>
      <w:r>
        <w:rPr>
          <w:sz w:val="25"/>
        </w:rPr>
        <w:t>Chowdhury, M. (2016). Financial development, remittances and economic growth: evidence using dynamic panel estimation. </w:t>
      </w:r>
      <w:r>
        <w:rPr>
          <w:i/>
          <w:sz w:val="25"/>
        </w:rPr>
        <w:t>The Journal of Applied Economic Research, </w:t>
      </w:r>
      <w:r>
        <w:rPr>
          <w:sz w:val="25"/>
        </w:rPr>
        <w:t>10(1): </w:t>
      </w:r>
      <w:r>
        <w:rPr>
          <w:spacing w:val="-2"/>
          <w:sz w:val="25"/>
        </w:rPr>
        <w:t>35-54.</w:t>
      </w:r>
    </w:p>
    <w:p>
      <w:pPr>
        <w:pStyle w:val="BodyText"/>
        <w:spacing w:line="276" w:lineRule="auto" w:before="241"/>
        <w:ind w:left="940" w:right="744" w:hanging="720"/>
        <w:jc w:val="both"/>
      </w:pPr>
      <w:r>
        <w:rPr/>
        <w:t>Cobham, A. (2001). Capital account liberalization and impact on the poor. Being paper produced for Oxfam and Bretton Woods project.</w:t>
      </w:r>
    </w:p>
    <w:p>
      <w:pPr>
        <w:pStyle w:val="BodyText"/>
        <w:spacing w:before="239"/>
        <w:ind w:left="940" w:right="745" w:hanging="720"/>
        <w:jc w:val="both"/>
      </w:pPr>
      <w:r>
        <w:rPr/>
        <w:t>Conchesta, N.K. (2008). Foreign aid and economic growth: The case of Tanzania (unpublished material).</w:t>
      </w:r>
    </w:p>
    <w:p>
      <w:pPr>
        <w:spacing w:before="241"/>
        <w:ind w:left="940" w:right="741" w:hanging="720"/>
        <w:jc w:val="both"/>
        <w:rPr>
          <w:sz w:val="25"/>
        </w:rPr>
      </w:pPr>
      <w:r>
        <w:rPr>
          <w:sz w:val="25"/>
        </w:rPr>
        <w:t>Derrick, T., Caroline, G., Rosle, M. &amp; Vivin, V. (2011).</w:t>
      </w:r>
      <w:r>
        <w:rPr>
          <w:spacing w:val="40"/>
          <w:sz w:val="25"/>
        </w:rPr>
        <w:t> </w:t>
      </w:r>
      <w:r>
        <w:rPr>
          <w:sz w:val="25"/>
        </w:rPr>
        <w:t>The relationship between economic growth and foreign direct investment in Malaysia: Analysis based on location advantage theory. </w:t>
      </w:r>
      <w:r>
        <w:rPr>
          <w:i/>
          <w:sz w:val="25"/>
        </w:rPr>
        <w:t>International Journal of Economics and Management Sciences, 1</w:t>
      </w:r>
      <w:r>
        <w:rPr>
          <w:sz w:val="25"/>
        </w:rPr>
        <w:t>(2) 24 – 31.</w:t>
      </w:r>
    </w:p>
    <w:p>
      <w:pPr>
        <w:pStyle w:val="BodyText"/>
        <w:spacing w:before="240"/>
        <w:ind w:left="940" w:right="733" w:hanging="720"/>
        <w:jc w:val="both"/>
      </w:pPr>
      <w:r>
        <w:rPr/>
        <w:t>DramaBédi, G.H. (2016). Financial integration, foreign direct investment and growth: panel data analysis for West African economic monetary union countries (WAEMU). </w:t>
      </w:r>
      <w:r>
        <w:rPr>
          <w:i/>
        </w:rPr>
        <w:t>Applied Economics and Finance</w:t>
      </w:r>
      <w:r>
        <w:rPr/>
        <w:t>, 3(4), 48 – 56.</w:t>
      </w:r>
    </w:p>
    <w:p>
      <w:pPr>
        <w:pStyle w:val="BodyText"/>
        <w:spacing w:before="239"/>
        <w:ind w:left="940" w:right="739" w:hanging="708"/>
        <w:jc w:val="both"/>
      </w:pPr>
      <w:r>
        <w:rPr/>
        <w:t>Duc, H.V., Anh, T.V., &amp; Chi, M.H. (2020). Does financial integration enhance economic growth in China? </w:t>
      </w:r>
      <w:r>
        <w:rPr>
          <w:i/>
        </w:rPr>
        <w:t>Economics, </w:t>
      </w:r>
      <w:r>
        <w:rPr/>
        <w:t>8(65), 1 – 18.</w:t>
      </w:r>
    </w:p>
    <w:p>
      <w:pPr>
        <w:pStyle w:val="BodyText"/>
        <w:spacing w:before="242"/>
        <w:ind w:left="940" w:right="743" w:hanging="720"/>
        <w:jc w:val="both"/>
      </w:pPr>
      <w:r>
        <w:rPr/>
        <w:t>Durusu-Ciftci, D., Ispir, M.S. &amp; Yetkiner, H. (2017). Financial development and economic growth: some theory and more evidence. </w:t>
      </w:r>
      <w:r>
        <w:rPr>
          <w:i/>
        </w:rPr>
        <w:t>Journal of Policy Modeling, </w:t>
      </w:r>
      <w:r>
        <w:rPr/>
        <w:t>39, 290-306.</w:t>
      </w:r>
    </w:p>
    <w:p>
      <w:pPr>
        <w:spacing w:line="528" w:lineRule="exact" w:before="50"/>
        <w:ind w:left="220" w:right="505" w:firstLine="0"/>
        <w:jc w:val="left"/>
        <w:rPr>
          <w:i/>
          <w:sz w:val="25"/>
        </w:rPr>
      </w:pPr>
      <w:r>
        <w:rPr>
          <w:sz w:val="25"/>
        </w:rPr>
        <w:t>ECB (2010) </w:t>
      </w:r>
      <w:r>
        <w:rPr>
          <w:i/>
          <w:sz w:val="25"/>
        </w:rPr>
        <w:t>Financial integration in Europe, </w:t>
      </w:r>
      <w:r>
        <w:rPr>
          <w:sz w:val="25"/>
        </w:rPr>
        <w:t>Frankfurt am Main: European Central Bank. Economic</w:t>
      </w:r>
      <w:r>
        <w:rPr>
          <w:spacing w:val="62"/>
          <w:sz w:val="25"/>
        </w:rPr>
        <w:t> </w:t>
      </w:r>
      <w:r>
        <w:rPr>
          <w:sz w:val="25"/>
        </w:rPr>
        <w:t>Commission</w:t>
      </w:r>
      <w:r>
        <w:rPr>
          <w:spacing w:val="66"/>
          <w:sz w:val="25"/>
        </w:rPr>
        <w:t> </w:t>
      </w:r>
      <w:r>
        <w:rPr>
          <w:sz w:val="25"/>
        </w:rPr>
        <w:t>for</w:t>
      </w:r>
      <w:r>
        <w:rPr>
          <w:spacing w:val="64"/>
          <w:sz w:val="25"/>
        </w:rPr>
        <w:t> </w:t>
      </w:r>
      <w:r>
        <w:rPr>
          <w:sz w:val="25"/>
        </w:rPr>
        <w:t>Africa</w:t>
      </w:r>
      <w:r>
        <w:rPr>
          <w:spacing w:val="63"/>
          <w:sz w:val="25"/>
        </w:rPr>
        <w:t> </w:t>
      </w:r>
      <w:r>
        <w:rPr>
          <w:sz w:val="25"/>
        </w:rPr>
        <w:t>(2008)</w:t>
      </w:r>
      <w:r>
        <w:rPr>
          <w:spacing w:val="69"/>
          <w:sz w:val="25"/>
        </w:rPr>
        <w:t> </w:t>
      </w:r>
      <w:r>
        <w:rPr>
          <w:i/>
          <w:sz w:val="25"/>
        </w:rPr>
        <w:t>Assessing</w:t>
      </w:r>
      <w:r>
        <w:rPr>
          <w:i/>
          <w:spacing w:val="64"/>
          <w:sz w:val="25"/>
        </w:rPr>
        <w:t> </w:t>
      </w:r>
      <w:r>
        <w:rPr>
          <w:i/>
          <w:sz w:val="25"/>
        </w:rPr>
        <w:t>Regional</w:t>
      </w:r>
      <w:r>
        <w:rPr>
          <w:i/>
          <w:spacing w:val="64"/>
          <w:sz w:val="25"/>
        </w:rPr>
        <w:t> </w:t>
      </w:r>
      <w:r>
        <w:rPr>
          <w:i/>
          <w:sz w:val="25"/>
        </w:rPr>
        <w:t>Integration</w:t>
      </w:r>
      <w:r>
        <w:rPr>
          <w:i/>
          <w:spacing w:val="64"/>
          <w:sz w:val="25"/>
        </w:rPr>
        <w:t> </w:t>
      </w:r>
      <w:r>
        <w:rPr>
          <w:i/>
          <w:sz w:val="25"/>
        </w:rPr>
        <w:t>in</w:t>
      </w:r>
      <w:r>
        <w:rPr>
          <w:i/>
          <w:spacing w:val="64"/>
          <w:sz w:val="25"/>
        </w:rPr>
        <w:t> </w:t>
      </w:r>
      <w:r>
        <w:rPr>
          <w:i/>
          <w:sz w:val="25"/>
        </w:rPr>
        <w:t>Africa</w:t>
      </w:r>
      <w:r>
        <w:rPr>
          <w:i/>
          <w:spacing w:val="64"/>
          <w:sz w:val="25"/>
        </w:rPr>
        <w:t> </w:t>
      </w:r>
      <w:r>
        <w:rPr>
          <w:i/>
          <w:spacing w:val="-4"/>
          <w:sz w:val="25"/>
        </w:rPr>
        <w:t>III.</w:t>
      </w:r>
    </w:p>
    <w:p>
      <w:pPr>
        <w:spacing w:line="236" w:lineRule="exact" w:before="0"/>
        <w:ind w:left="940" w:right="0" w:firstLine="0"/>
        <w:jc w:val="left"/>
        <w:rPr>
          <w:sz w:val="25"/>
        </w:rPr>
      </w:pPr>
      <w:r>
        <w:rPr>
          <w:i/>
          <w:sz w:val="25"/>
        </w:rPr>
        <w:t>Towards</w:t>
      </w:r>
      <w:r>
        <w:rPr>
          <w:i/>
          <w:spacing w:val="-5"/>
          <w:sz w:val="25"/>
        </w:rPr>
        <w:t> </w:t>
      </w:r>
      <w:r>
        <w:rPr>
          <w:i/>
          <w:sz w:val="25"/>
        </w:rPr>
        <w:t>Monetary</w:t>
      </w:r>
      <w:r>
        <w:rPr>
          <w:i/>
          <w:spacing w:val="-3"/>
          <w:sz w:val="25"/>
        </w:rPr>
        <w:t> </w:t>
      </w:r>
      <w:r>
        <w:rPr>
          <w:i/>
          <w:sz w:val="25"/>
        </w:rPr>
        <w:t>and</w:t>
      </w:r>
      <w:r>
        <w:rPr>
          <w:i/>
          <w:spacing w:val="-4"/>
          <w:sz w:val="25"/>
        </w:rPr>
        <w:t> </w:t>
      </w:r>
      <w:r>
        <w:rPr>
          <w:i/>
          <w:sz w:val="25"/>
        </w:rPr>
        <w:t>Financial</w:t>
      </w:r>
      <w:r>
        <w:rPr>
          <w:i/>
          <w:spacing w:val="-3"/>
          <w:sz w:val="25"/>
        </w:rPr>
        <w:t> </w:t>
      </w:r>
      <w:r>
        <w:rPr>
          <w:i/>
          <w:sz w:val="25"/>
        </w:rPr>
        <w:t>Integration</w:t>
      </w:r>
      <w:r>
        <w:rPr>
          <w:i/>
          <w:spacing w:val="-3"/>
          <w:sz w:val="25"/>
        </w:rPr>
        <w:t> </w:t>
      </w:r>
      <w:r>
        <w:rPr>
          <w:i/>
          <w:sz w:val="25"/>
        </w:rPr>
        <w:t>in</w:t>
      </w:r>
      <w:r>
        <w:rPr>
          <w:i/>
          <w:spacing w:val="-5"/>
          <w:sz w:val="25"/>
        </w:rPr>
        <w:t> </w:t>
      </w:r>
      <w:r>
        <w:rPr>
          <w:i/>
          <w:sz w:val="25"/>
        </w:rPr>
        <w:t>Africa</w:t>
      </w:r>
      <w:r>
        <w:rPr>
          <w:sz w:val="25"/>
        </w:rPr>
        <w:t>,</w:t>
      </w:r>
      <w:r>
        <w:rPr>
          <w:spacing w:val="-3"/>
          <w:sz w:val="25"/>
        </w:rPr>
        <w:t> </w:t>
      </w:r>
      <w:r>
        <w:rPr>
          <w:sz w:val="25"/>
        </w:rPr>
        <w:t>Addis</w:t>
      </w:r>
      <w:r>
        <w:rPr>
          <w:spacing w:val="-2"/>
          <w:sz w:val="25"/>
        </w:rPr>
        <w:t> </w:t>
      </w:r>
      <w:r>
        <w:rPr>
          <w:sz w:val="25"/>
        </w:rPr>
        <w:t>Ababa:</w:t>
      </w:r>
      <w:r>
        <w:rPr>
          <w:spacing w:val="-3"/>
          <w:sz w:val="25"/>
        </w:rPr>
        <w:t> </w:t>
      </w:r>
      <w:r>
        <w:rPr>
          <w:sz w:val="25"/>
        </w:rPr>
        <w:t>United</w:t>
      </w:r>
      <w:r>
        <w:rPr>
          <w:spacing w:val="-3"/>
          <w:sz w:val="25"/>
        </w:rPr>
        <w:t> </w:t>
      </w:r>
      <w:r>
        <w:rPr>
          <w:spacing w:val="-2"/>
          <w:sz w:val="25"/>
        </w:rPr>
        <w:t>Nations</w:t>
      </w:r>
    </w:p>
    <w:p>
      <w:pPr>
        <w:pStyle w:val="BodyText"/>
        <w:ind w:left="940"/>
      </w:pPr>
      <w:r>
        <w:rPr/>
        <w:t>Economic</w:t>
      </w:r>
      <w:r>
        <w:rPr>
          <w:spacing w:val="-10"/>
        </w:rPr>
        <w:t> </w:t>
      </w:r>
      <w:r>
        <w:rPr/>
        <w:t>Commission</w:t>
      </w:r>
      <w:r>
        <w:rPr>
          <w:spacing w:val="-10"/>
        </w:rPr>
        <w:t> </w:t>
      </w:r>
      <w:r>
        <w:rPr/>
        <w:t>for</w:t>
      </w:r>
      <w:r>
        <w:rPr>
          <w:spacing w:val="-8"/>
        </w:rPr>
        <w:t> </w:t>
      </w:r>
      <w:r>
        <w:rPr>
          <w:spacing w:val="-2"/>
        </w:rPr>
        <w:t>Africa.</w:t>
      </w:r>
    </w:p>
    <w:p>
      <w:pPr>
        <w:spacing w:after="0"/>
        <w:sectPr>
          <w:pgSz w:w="12240" w:h="15840"/>
          <w:pgMar w:header="0" w:footer="1012" w:top="1380" w:bottom="1200" w:left="1220" w:right="700"/>
        </w:sectPr>
      </w:pPr>
    </w:p>
    <w:p>
      <w:pPr>
        <w:spacing w:before="60"/>
        <w:ind w:left="940" w:right="744" w:hanging="720"/>
        <w:jc w:val="both"/>
        <w:rPr>
          <w:sz w:val="25"/>
        </w:rPr>
      </w:pPr>
      <w:r>
        <w:rPr>
          <w:sz w:val="25"/>
        </w:rPr>
        <w:t>Edison, H., Levine, R., Ricci, L., &amp; Slok, T. (2002). International Financial integration and economic growth. </w:t>
      </w:r>
      <w:r>
        <w:rPr>
          <w:i/>
          <w:sz w:val="25"/>
        </w:rPr>
        <w:t>Journal of International Money and Finance</w:t>
      </w:r>
      <w:r>
        <w:rPr>
          <w:sz w:val="25"/>
        </w:rPr>
        <w:t>, 21(6), 749 - 776.</w:t>
      </w:r>
    </w:p>
    <w:p>
      <w:pPr>
        <w:spacing w:before="238"/>
        <w:ind w:left="940" w:right="739" w:hanging="720"/>
        <w:jc w:val="both"/>
        <w:rPr>
          <w:sz w:val="25"/>
        </w:rPr>
      </w:pPr>
      <w:r>
        <w:rPr>
          <w:sz w:val="25"/>
        </w:rPr>
        <w:t>Edison, H.J., Levine, R., Ricci, L., &amp; Slok, T. (2012). International Financial Integration and Economic Growth. </w:t>
      </w:r>
      <w:r>
        <w:rPr>
          <w:i/>
          <w:sz w:val="25"/>
        </w:rPr>
        <w:t>Journal of International Money and Finance</w:t>
      </w:r>
      <w:r>
        <w:rPr>
          <w:sz w:val="25"/>
        </w:rPr>
        <w:t>, 21: 749–76.</w:t>
      </w:r>
    </w:p>
    <w:p>
      <w:pPr>
        <w:spacing w:before="241"/>
        <w:ind w:left="940" w:right="744" w:hanging="720"/>
        <w:jc w:val="both"/>
        <w:rPr>
          <w:sz w:val="25"/>
        </w:rPr>
      </w:pPr>
      <w:r>
        <w:rPr/>
        <mc:AlternateContent>
          <mc:Choice Requires="wps">
            <w:drawing>
              <wp:anchor distT="0" distB="0" distL="0" distR="0" allowOverlap="1" layoutInCell="1" locked="0" behindDoc="1" simplePos="0" relativeHeight="478113792">
                <wp:simplePos x="0" y="0"/>
                <wp:positionH relativeFrom="page">
                  <wp:posOffset>950112</wp:posOffset>
                </wp:positionH>
                <wp:positionV relativeFrom="paragraph">
                  <wp:posOffset>401635</wp:posOffset>
                </wp:positionV>
                <wp:extent cx="5505450" cy="5661025"/>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31.624853pt;width:433.5pt;height:445.75pt;mso-position-horizontal-relative:page;mso-position-vertical-relative:paragraph;z-index:-25202688" id="docshape222" coordorigin="1496,632" coordsize="8670,8915" path="m2562,9352l1691,8481,1496,8676,2367,9547,2562,9352xm3154,8676l3153,8637,3148,8594,3139,8550,3125,8506,3106,8463,3083,8419,3055,8377,3025,8336,2991,8296,2954,8257,2435,7737,2241,7931,2772,8463,2805,8499,2829,8535,2846,8569,2856,8603,2858,8636,2851,8667,2837,8695,2816,8721,2790,8743,2761,8757,2730,8763,2697,8761,2663,8751,2628,8735,2593,8710,2557,8678,2026,8147,1831,8341,2351,8860,2385,8892,2424,8925,2468,8957,2516,8990,2548,9009,2583,9024,2620,9037,2658,9048,2697,9056,2733,9060,2767,9060,2800,9057,2831,9050,2863,9038,2895,9022,2926,9001,2957,8978,2985,8955,3011,8932,3035,8909,3071,8869,3102,8829,3125,8787,3142,8745,3150,8712,3154,8676xm3882,7893l3876,7829,3860,7763,3834,7696,3806,7642,3771,7586,3728,7529,3678,7470,3661,7451,3621,7409,3597,7387,3597,7881,3592,7921,3577,7958,3551,7991,3518,8016,3481,8031,3441,8036,3396,8029,3347,8011,3294,7980,3235,7935,3171,7876,3112,7812,3066,7753,3035,7698,3016,7649,3010,7605,3014,7564,3029,7529,3053,7497,3086,7471,3122,7456,3163,7451,3207,7456,3255,7473,3307,7503,3363,7545,3423,7600,3488,7670,3538,7733,3572,7789,3591,7837,3597,7881,3597,7387,3551,7344,3482,7289,3413,7244,3344,7208,3276,7183,3209,7167,3130,7161,3055,7171,2983,7197,2914,7237,2850,7293,2796,7356,2756,7424,2732,7496,2723,7571,2729,7651,2746,7719,2772,7788,2808,7858,2854,7928,2910,7998,2976,8069,3036,8126,3096,8176,3156,8218,3215,8253,3273,8280,3344,8304,3411,8318,3475,8321,3535,8315,3593,8299,3649,8272,3705,8234,3758,8186,3805,8132,3841,8076,3858,8036,3866,8017,3879,7956,3882,7893xm4153,7313l3966,7126,3712,7380,3899,7567,4153,7313xm4664,7251l3793,6379,3598,6574,4469,7446,4664,7251xm4998,6916l4675,6593,4781,6486,4832,6427,4837,6417,4866,6365,4883,6302,4882,6237,4866,6171,4843,6121,4836,6106,4792,6040,4733,5974,4670,5917,4607,5874,4598,5869,4598,6262,4597,6288,4587,6314,4570,6341,4546,6369,4498,6417,4304,6222,4359,6167,4386,6143,4412,6128,4438,6121,4462,6121,4486,6128,4509,6138,4531,6152,4552,6171,4570,6192,4584,6215,4593,6238,4598,6262,4598,5869,4544,5844,4483,5828,4423,5827,4365,5842,4309,5872,4255,5917,3931,6241,4803,7112,4998,6916xm5788,6127l5132,5471,5330,5272,5115,5057,4524,5649,4739,5864,4937,5665,5593,6321,5788,6127xm6423,5491l5767,4835,5966,4637,5751,4422,5159,5013,5374,5228,5573,5030,6229,5686,6423,5491xm7157,4618l7151,4554,7135,4488,7109,4421,7081,4367,7046,4311,7003,4254,6953,4195,6935,4176,6896,4134,6872,4112,6872,4606,6867,4646,6851,4683,6825,4716,6793,4742,6756,4756,6716,4761,6671,4754,6622,4736,6569,4705,6510,4660,6446,4601,6387,4537,6341,4478,6309,4423,6291,4374,6285,4330,6289,4290,6304,4254,6328,4222,6361,4197,6397,4181,6438,4176,6482,4181,6530,4198,6582,4228,6638,4270,6698,4325,6763,4395,6813,4458,6847,4514,6866,4562,6872,4606,6872,4112,6826,4069,6756,4014,6687,3969,6619,3934,6551,3908,6483,3892,6405,3887,6329,3897,6258,3922,6189,3962,6125,4018,6071,4081,6031,4149,6007,4221,5998,4296,6004,4376,6021,4444,6047,4513,6083,4583,6129,4653,6184,4723,6250,4794,6311,4851,6371,4901,6431,4943,6490,4978,6548,5005,6619,5029,6686,5043,6750,5047,6810,5040,6868,5024,6924,4997,6979,4959,7033,4911,7080,4857,7116,4801,7133,4761,7141,4742,7154,4681,7157,4618xm8170,3623l8165,3574,8153,3523,8134,3470,8109,3416,8079,3360,8041,3303,7980,3328,7799,3402,7831,3449,7855,3492,7873,3532,7884,3569,7887,3605,7881,3638,7866,3669,7843,3698,7812,3722,7778,3736,7740,3740,7700,3733,7653,3715,7600,3681,7538,3631,7469,3567,7417,3510,7375,3458,7344,3411,7324,3368,7311,3317,7312,3270,7325,3229,7352,3193,7367,3180,7384,3170,7402,3162,7422,3157,7442,3155,7464,3155,7486,3159,7509,3165,7524,3171,7542,3179,7563,3190,7586,3204,7705,2979,7622,2933,7543,2901,7469,2882,7400,2876,7333,2883,7269,2906,7206,2944,7146,2996,7092,3059,7054,3126,7030,3196,7021,3270,7027,3347,7044,3414,7070,3482,7106,3551,7153,3621,7209,3692,7276,3763,7341,3824,7404,3876,7467,3920,7529,3955,7590,3983,7662,4006,7730,4019,7791,4022,7847,4015,7900,3998,7952,3972,8004,3935,8056,3888,8094,3846,8125,3803,8147,3759,8161,3715,8169,3670,8170,3623xm8868,2907l8861,2843,8846,2778,8820,2711,8792,2656,8757,2600,8714,2543,8664,2484,8646,2465,8607,2423,8583,2401,8583,2895,8578,2935,8562,2972,8536,3005,8504,3031,8467,3046,8427,3050,8382,3044,8333,3026,8279,2994,8221,2949,8157,2890,8098,2826,8052,2767,8020,2713,8002,2664,7996,2619,8000,2579,8014,2543,8039,2511,8071,2486,8108,2470,8149,2465,8193,2470,8241,2487,8293,2517,8349,2559,8409,2614,8474,2684,8524,2747,8558,2803,8577,2852,8583,2895,8583,2401,8537,2358,8467,2303,8398,2258,8330,2223,8262,2197,8194,2181,8116,2176,8040,2186,7968,2211,7900,2252,7835,2307,7781,2371,7742,2438,7718,2510,7709,2586,7715,2665,7731,2734,7758,2803,7794,2872,7839,2942,7895,3012,7961,3083,8022,3140,8082,3190,8142,3232,8201,3267,8259,3294,8329,3319,8397,3332,8461,3336,8521,3329,8579,3313,8635,3286,8690,3248,8744,3200,8791,3146,8827,3090,8844,3050,8852,3031,8865,2970,8868,2907xm9348,2566l9025,2243,9132,2136,9182,2076,9188,2066,9216,2015,9233,1952,9233,1887,9217,1821,9194,1770,9187,1755,9142,1689,9084,1623,9020,1566,8957,1523,8948,1519,8948,1912,8947,1938,8938,1964,8921,1991,8896,2019,8849,2066,8654,1872,8710,1817,8737,1793,8763,1778,8788,1770,8812,1771,8836,1777,8859,1788,8881,1802,8902,1821,8920,1842,8934,1865,8943,1888,8948,1912,8948,1519,8895,1494,8833,1478,8773,1477,8715,1492,8659,1522,8605,1567,8282,1890,9153,2762,9348,2566xm10166,1748l9801,1384,9748,1234,9593,782,9540,632,9325,848,9353,918,9436,1129,9492,1269,9422,1241,9211,1158,9071,1102,8854,1318,9005,1371,9456,1526,9606,1579,9971,1943,10166,1748xe" filled="true" fillcolor="#c0c0c0" stroked="false">
                <v:path arrowok="t"/>
                <v:fill opacity="32896f" type="solid"/>
                <w10:wrap type="none"/>
              </v:shape>
            </w:pict>
          </mc:Fallback>
        </mc:AlternateContent>
      </w:r>
      <w:r>
        <w:rPr>
          <w:sz w:val="25"/>
        </w:rPr>
        <w:t>Edwards, S. (2001). Capital mobility and economic performance: Are emerging economies different? </w:t>
      </w:r>
      <w:r>
        <w:rPr>
          <w:i/>
          <w:sz w:val="25"/>
        </w:rPr>
        <w:t>NBER Working Paper No. 8076 </w:t>
      </w:r>
      <w:r>
        <w:rPr>
          <w:sz w:val="25"/>
        </w:rPr>
        <w:t>(January).</w:t>
      </w:r>
    </w:p>
    <w:p>
      <w:pPr>
        <w:spacing w:before="239"/>
        <w:ind w:left="940" w:right="736" w:hanging="720"/>
        <w:jc w:val="both"/>
        <w:rPr>
          <w:sz w:val="25"/>
        </w:rPr>
      </w:pPr>
      <w:r>
        <w:rPr>
          <w:sz w:val="25"/>
        </w:rPr>
        <w:t>Egbetunde, T., &amp; Akinlo, A.E. (2014). Financial integration and economic growth in Sub- Saharan Africa. </w:t>
      </w:r>
      <w:r>
        <w:rPr>
          <w:i/>
          <w:sz w:val="25"/>
        </w:rPr>
        <w:t>Journal of Sustainable Development in Africa</w:t>
      </w:r>
      <w:r>
        <w:rPr>
          <w:sz w:val="25"/>
        </w:rPr>
        <w:t>, 16(6), 83 – 96.</w:t>
      </w:r>
    </w:p>
    <w:p>
      <w:pPr>
        <w:spacing w:before="241"/>
        <w:ind w:left="940" w:right="736" w:hanging="720"/>
        <w:jc w:val="both"/>
        <w:rPr>
          <w:i/>
          <w:sz w:val="25"/>
        </w:rPr>
      </w:pPr>
      <w:r>
        <w:rPr>
          <w:sz w:val="25"/>
        </w:rPr>
        <w:t>Egbo O. (2010). An analysis of foreign direct investment inflow and economic growth in Nigeria: </w:t>
      </w:r>
      <w:r>
        <w:rPr>
          <w:i/>
          <w:sz w:val="25"/>
        </w:rPr>
        <w:t>PhD Theses, University of Nigeria Enugu Campus.</w:t>
      </w:r>
    </w:p>
    <w:p>
      <w:pPr>
        <w:spacing w:before="242"/>
        <w:ind w:left="940" w:right="741" w:hanging="720"/>
        <w:jc w:val="both"/>
        <w:rPr>
          <w:sz w:val="25"/>
        </w:rPr>
      </w:pPr>
      <w:r>
        <w:rPr>
          <w:sz w:val="25"/>
        </w:rPr>
        <w:t>Ehigiamusoe, K. U., &amp; Hooi, H.L. (2018). Do economic and financial integration stimulate economic growth: A Critical Sirvey. </w:t>
      </w:r>
      <w:r>
        <w:rPr>
          <w:i/>
          <w:sz w:val="25"/>
        </w:rPr>
        <w:t>Economics Discussion Papers No. 2018-51</w:t>
      </w:r>
      <w:r>
        <w:rPr>
          <w:sz w:val="25"/>
        </w:rPr>
        <w:t>.</w:t>
      </w:r>
    </w:p>
    <w:p>
      <w:pPr>
        <w:pStyle w:val="BodyText"/>
        <w:spacing w:before="238"/>
      </w:pPr>
      <w:r>
        <w:rPr/>
        <w:t>Eichengreen,</w:t>
      </w:r>
      <w:r>
        <w:rPr>
          <w:spacing w:val="-7"/>
        </w:rPr>
        <w:t> </w:t>
      </w:r>
      <w:r>
        <w:rPr/>
        <w:t>B.</w:t>
      </w:r>
      <w:r>
        <w:rPr>
          <w:spacing w:val="-6"/>
        </w:rPr>
        <w:t> </w:t>
      </w:r>
      <w:r>
        <w:rPr/>
        <w:t>(2011).</w:t>
      </w:r>
      <w:r>
        <w:rPr>
          <w:spacing w:val="-3"/>
        </w:rPr>
        <w:t> </w:t>
      </w:r>
      <w:r>
        <w:rPr/>
        <w:t>Capital</w:t>
      </w:r>
      <w:r>
        <w:rPr>
          <w:spacing w:val="-7"/>
        </w:rPr>
        <w:t> </w:t>
      </w:r>
      <w:r>
        <w:rPr/>
        <w:t>account</w:t>
      </w:r>
      <w:r>
        <w:rPr>
          <w:spacing w:val="-6"/>
        </w:rPr>
        <w:t> </w:t>
      </w:r>
      <w:r>
        <w:rPr/>
        <w:t>liberalization:</w:t>
      </w:r>
      <w:r>
        <w:rPr>
          <w:spacing w:val="-6"/>
        </w:rPr>
        <w:t> </w:t>
      </w:r>
      <w:r>
        <w:rPr/>
        <w:t>What</w:t>
      </w:r>
      <w:r>
        <w:rPr>
          <w:spacing w:val="-6"/>
        </w:rPr>
        <w:t> </w:t>
      </w:r>
      <w:r>
        <w:rPr/>
        <w:t>do</w:t>
      </w:r>
      <w:r>
        <w:rPr>
          <w:spacing w:val="-5"/>
        </w:rPr>
        <w:t> </w:t>
      </w:r>
      <w:r>
        <w:rPr/>
        <w:t>cross-country</w:t>
      </w:r>
      <w:r>
        <w:rPr>
          <w:spacing w:val="-6"/>
        </w:rPr>
        <w:t> </w:t>
      </w:r>
      <w:r>
        <w:rPr/>
        <w:t>studies</w:t>
      </w:r>
      <w:r>
        <w:rPr>
          <w:spacing w:val="-4"/>
        </w:rPr>
        <w:t> </w:t>
      </w:r>
      <w:r>
        <w:rPr/>
        <w:t>tell</w:t>
      </w:r>
      <w:r>
        <w:rPr>
          <w:spacing w:val="-9"/>
        </w:rPr>
        <w:t> </w:t>
      </w:r>
      <w:r>
        <w:rPr>
          <w:spacing w:val="-5"/>
        </w:rPr>
        <w:t>us?</w:t>
      </w:r>
    </w:p>
    <w:p>
      <w:pPr>
        <w:spacing w:before="1"/>
        <w:ind w:left="940" w:right="0" w:firstLine="0"/>
        <w:jc w:val="left"/>
        <w:rPr>
          <w:sz w:val="25"/>
        </w:rPr>
      </w:pPr>
      <w:r>
        <w:rPr>
          <w:i/>
          <w:sz w:val="25"/>
        </w:rPr>
        <w:t>The</w:t>
      </w:r>
      <w:r>
        <w:rPr>
          <w:i/>
          <w:spacing w:val="-8"/>
          <w:sz w:val="25"/>
        </w:rPr>
        <w:t> </w:t>
      </w:r>
      <w:r>
        <w:rPr>
          <w:i/>
          <w:sz w:val="25"/>
        </w:rPr>
        <w:t>World</w:t>
      </w:r>
      <w:r>
        <w:rPr>
          <w:i/>
          <w:spacing w:val="-8"/>
          <w:sz w:val="25"/>
        </w:rPr>
        <w:t> </w:t>
      </w:r>
      <w:r>
        <w:rPr>
          <w:i/>
          <w:sz w:val="25"/>
        </w:rPr>
        <w:t>Bank</w:t>
      </w:r>
      <w:r>
        <w:rPr>
          <w:i/>
          <w:spacing w:val="-7"/>
          <w:sz w:val="25"/>
        </w:rPr>
        <w:t> </w:t>
      </w:r>
      <w:r>
        <w:rPr>
          <w:i/>
          <w:sz w:val="25"/>
        </w:rPr>
        <w:t>Economic</w:t>
      </w:r>
      <w:r>
        <w:rPr>
          <w:i/>
          <w:spacing w:val="-8"/>
          <w:sz w:val="25"/>
        </w:rPr>
        <w:t> </w:t>
      </w:r>
      <w:r>
        <w:rPr>
          <w:i/>
          <w:sz w:val="25"/>
        </w:rPr>
        <w:t>Review</w:t>
      </w:r>
      <w:r>
        <w:rPr>
          <w:sz w:val="25"/>
        </w:rPr>
        <w:t>,</w:t>
      </w:r>
      <w:r>
        <w:rPr>
          <w:spacing w:val="-7"/>
          <w:sz w:val="25"/>
        </w:rPr>
        <w:t> </w:t>
      </w:r>
      <w:r>
        <w:rPr>
          <w:sz w:val="25"/>
        </w:rPr>
        <w:t>15:</w:t>
      </w:r>
      <w:r>
        <w:rPr>
          <w:spacing w:val="-5"/>
          <w:sz w:val="25"/>
        </w:rPr>
        <w:t> </w:t>
      </w:r>
      <w:r>
        <w:rPr>
          <w:sz w:val="25"/>
        </w:rPr>
        <w:t>341-</w:t>
      </w:r>
      <w:r>
        <w:rPr>
          <w:spacing w:val="-5"/>
          <w:sz w:val="25"/>
        </w:rPr>
        <w:t>65.</w:t>
      </w:r>
    </w:p>
    <w:p>
      <w:pPr>
        <w:spacing w:before="240"/>
        <w:ind w:left="940" w:right="738" w:hanging="720"/>
        <w:jc w:val="both"/>
        <w:rPr>
          <w:sz w:val="25"/>
        </w:rPr>
      </w:pPr>
      <w:r>
        <w:rPr>
          <w:sz w:val="25"/>
        </w:rPr>
        <w:t>Ekwe, M. C.&amp;Inyiama, O. I. (2014). Foreign capital flows and growth of the Nigeria economy: An empirical review. </w:t>
      </w:r>
      <w:r>
        <w:rPr>
          <w:i/>
          <w:sz w:val="25"/>
        </w:rPr>
        <w:t>International Journal of Economics and Finance</w:t>
      </w:r>
      <w:r>
        <w:rPr>
          <w:sz w:val="25"/>
        </w:rPr>
        <w:t>, 6(4), 103 – 109. doi:10.5539/ijef.v6n4p103.</w:t>
      </w:r>
    </w:p>
    <w:p>
      <w:pPr>
        <w:pStyle w:val="BodyText"/>
        <w:spacing w:before="240"/>
      </w:pPr>
      <w:r>
        <w:rPr/>
        <w:t>Epaulard,</w:t>
      </w:r>
      <w:r>
        <w:rPr>
          <w:spacing w:val="64"/>
          <w:w w:val="150"/>
        </w:rPr>
        <w:t> </w:t>
      </w:r>
      <w:r>
        <w:rPr/>
        <w:t>A.,</w:t>
      </w:r>
      <w:r>
        <w:rPr>
          <w:spacing w:val="65"/>
          <w:w w:val="150"/>
        </w:rPr>
        <w:t> </w:t>
      </w:r>
      <w:r>
        <w:rPr/>
        <w:t>&amp;</w:t>
      </w:r>
      <w:r>
        <w:rPr>
          <w:spacing w:val="64"/>
          <w:w w:val="150"/>
        </w:rPr>
        <w:t> </w:t>
      </w:r>
      <w:r>
        <w:rPr/>
        <w:t>Pommeret,</w:t>
      </w:r>
      <w:r>
        <w:rPr>
          <w:spacing w:val="66"/>
          <w:w w:val="150"/>
        </w:rPr>
        <w:t> </w:t>
      </w:r>
      <w:r>
        <w:rPr/>
        <w:t>A.</w:t>
      </w:r>
      <w:r>
        <w:rPr>
          <w:spacing w:val="64"/>
          <w:w w:val="150"/>
        </w:rPr>
        <w:t> </w:t>
      </w:r>
      <w:r>
        <w:rPr/>
        <w:t>(2005).</w:t>
      </w:r>
      <w:r>
        <w:rPr>
          <w:spacing w:val="69"/>
          <w:w w:val="150"/>
        </w:rPr>
        <w:t> </w:t>
      </w:r>
      <w:r>
        <w:rPr/>
        <w:t>Financial</w:t>
      </w:r>
      <w:r>
        <w:rPr>
          <w:spacing w:val="64"/>
          <w:w w:val="150"/>
        </w:rPr>
        <w:t> </w:t>
      </w:r>
      <w:r>
        <w:rPr/>
        <w:t>integration,</w:t>
      </w:r>
      <w:r>
        <w:rPr>
          <w:spacing w:val="65"/>
          <w:w w:val="150"/>
        </w:rPr>
        <w:t> </w:t>
      </w:r>
      <w:r>
        <w:rPr/>
        <w:t>growth,</w:t>
      </w:r>
      <w:r>
        <w:rPr>
          <w:spacing w:val="64"/>
          <w:w w:val="150"/>
        </w:rPr>
        <w:t> </w:t>
      </w:r>
      <w:r>
        <w:rPr/>
        <w:t>and</w:t>
      </w:r>
      <w:r>
        <w:rPr>
          <w:spacing w:val="65"/>
          <w:w w:val="150"/>
        </w:rPr>
        <w:t> </w:t>
      </w:r>
      <w:r>
        <w:rPr>
          <w:spacing w:val="-2"/>
        </w:rPr>
        <w:t>volatility.</w:t>
      </w:r>
    </w:p>
    <w:p>
      <w:pPr>
        <w:spacing w:before="0"/>
        <w:ind w:left="940" w:right="0" w:firstLine="0"/>
        <w:jc w:val="left"/>
        <w:rPr>
          <w:sz w:val="25"/>
        </w:rPr>
      </w:pPr>
      <w:r>
        <w:rPr>
          <w:i/>
          <w:sz w:val="25"/>
        </w:rPr>
        <w:t>International</w:t>
      </w:r>
      <w:r>
        <w:rPr>
          <w:i/>
          <w:spacing w:val="-7"/>
          <w:sz w:val="25"/>
        </w:rPr>
        <w:t> </w:t>
      </w:r>
      <w:r>
        <w:rPr>
          <w:i/>
          <w:sz w:val="25"/>
        </w:rPr>
        <w:t>Monetary</w:t>
      </w:r>
      <w:r>
        <w:rPr>
          <w:i/>
          <w:spacing w:val="-6"/>
          <w:sz w:val="25"/>
        </w:rPr>
        <w:t> </w:t>
      </w:r>
      <w:r>
        <w:rPr>
          <w:i/>
          <w:sz w:val="25"/>
        </w:rPr>
        <w:t>Fund</w:t>
      </w:r>
      <w:r>
        <w:rPr>
          <w:i/>
          <w:spacing w:val="-7"/>
          <w:sz w:val="25"/>
        </w:rPr>
        <w:t> </w:t>
      </w:r>
      <w:r>
        <w:rPr>
          <w:i/>
          <w:sz w:val="25"/>
        </w:rPr>
        <w:t>Working</w:t>
      </w:r>
      <w:r>
        <w:rPr>
          <w:i/>
          <w:spacing w:val="-6"/>
          <w:sz w:val="25"/>
        </w:rPr>
        <w:t> </w:t>
      </w:r>
      <w:r>
        <w:rPr>
          <w:i/>
          <w:sz w:val="25"/>
        </w:rPr>
        <w:t>Paper</w:t>
      </w:r>
      <w:r>
        <w:rPr>
          <w:sz w:val="25"/>
        </w:rPr>
        <w:t>,</w:t>
      </w:r>
      <w:r>
        <w:rPr>
          <w:spacing w:val="-7"/>
          <w:sz w:val="25"/>
        </w:rPr>
        <w:t> </w:t>
      </w:r>
      <w:r>
        <w:rPr>
          <w:sz w:val="25"/>
        </w:rPr>
        <w:t>1(5),</w:t>
      </w:r>
      <w:r>
        <w:rPr>
          <w:spacing w:val="-6"/>
          <w:sz w:val="25"/>
        </w:rPr>
        <w:t> </w:t>
      </w:r>
      <w:r>
        <w:rPr>
          <w:sz w:val="25"/>
        </w:rPr>
        <w:t>1</w:t>
      </w:r>
      <w:r>
        <w:rPr>
          <w:spacing w:val="-5"/>
          <w:sz w:val="25"/>
        </w:rPr>
        <w:t> </w:t>
      </w:r>
      <w:r>
        <w:rPr>
          <w:sz w:val="25"/>
        </w:rPr>
        <w:t>-</w:t>
      </w:r>
      <w:r>
        <w:rPr>
          <w:spacing w:val="-6"/>
          <w:sz w:val="25"/>
        </w:rPr>
        <w:t> </w:t>
      </w:r>
      <w:r>
        <w:rPr>
          <w:spacing w:val="-5"/>
          <w:sz w:val="25"/>
        </w:rPr>
        <w:t>38.</w:t>
      </w:r>
    </w:p>
    <w:p>
      <w:pPr>
        <w:spacing w:before="241"/>
        <w:ind w:left="940" w:right="741" w:hanging="720"/>
        <w:jc w:val="both"/>
        <w:rPr>
          <w:sz w:val="25"/>
        </w:rPr>
      </w:pPr>
      <w:r>
        <w:rPr>
          <w:sz w:val="25"/>
        </w:rPr>
        <w:t>Evans, M. D., &amp; Hnatkovska, V. (2007). Financial integration, macroeconomic volatility and welfare. </w:t>
      </w:r>
      <w:r>
        <w:rPr>
          <w:i/>
          <w:sz w:val="25"/>
        </w:rPr>
        <w:t>Journal of the European Economic Association, 5</w:t>
      </w:r>
      <w:r>
        <w:rPr>
          <w:sz w:val="25"/>
        </w:rPr>
        <w:t>(2-3), 500–508.</w:t>
      </w:r>
    </w:p>
    <w:p>
      <w:pPr>
        <w:spacing w:before="239"/>
        <w:ind w:left="940" w:right="740" w:hanging="720"/>
        <w:jc w:val="both"/>
        <w:rPr>
          <w:b/>
          <w:sz w:val="25"/>
        </w:rPr>
      </w:pPr>
      <w:r>
        <w:rPr>
          <w:sz w:val="25"/>
        </w:rPr>
        <w:t>Ezeaku, H.C., Anyalechi, K.C., Onwumere, J.U.J., &amp; Okereke</w:t>
      </w:r>
      <w:r>
        <w:rPr>
          <w:b/>
          <w:sz w:val="25"/>
        </w:rPr>
        <w:t>, </w:t>
      </w:r>
      <w:r>
        <w:rPr>
          <w:sz w:val="25"/>
        </w:rPr>
        <w:t>E. J. (2018). The drivers of international</w:t>
      </w:r>
      <w:r>
        <w:rPr>
          <w:spacing w:val="-4"/>
          <w:sz w:val="25"/>
        </w:rPr>
        <w:t> </w:t>
      </w:r>
      <w:r>
        <w:rPr>
          <w:sz w:val="25"/>
        </w:rPr>
        <w:t>financial</w:t>
      </w:r>
      <w:r>
        <w:rPr>
          <w:spacing w:val="-3"/>
          <w:sz w:val="25"/>
        </w:rPr>
        <w:t> </w:t>
      </w:r>
      <w:r>
        <w:rPr>
          <w:sz w:val="25"/>
        </w:rPr>
        <w:t>integration</w:t>
      </w:r>
      <w:r>
        <w:rPr>
          <w:spacing w:val="-3"/>
          <w:sz w:val="25"/>
        </w:rPr>
        <w:t> </w:t>
      </w:r>
      <w:r>
        <w:rPr>
          <w:sz w:val="25"/>
        </w:rPr>
        <w:t>and</w:t>
      </w:r>
      <w:r>
        <w:rPr>
          <w:spacing w:val="-4"/>
          <w:sz w:val="25"/>
        </w:rPr>
        <w:t> </w:t>
      </w:r>
      <w:r>
        <w:rPr>
          <w:sz w:val="25"/>
        </w:rPr>
        <w:t>their</w:t>
      </w:r>
      <w:r>
        <w:rPr>
          <w:spacing w:val="-3"/>
          <w:sz w:val="25"/>
        </w:rPr>
        <w:t> </w:t>
      </w:r>
      <w:r>
        <w:rPr>
          <w:sz w:val="25"/>
        </w:rPr>
        <w:t>implications</w:t>
      </w:r>
      <w:r>
        <w:rPr>
          <w:spacing w:val="-2"/>
          <w:sz w:val="25"/>
        </w:rPr>
        <w:t> </w:t>
      </w:r>
      <w:r>
        <w:rPr>
          <w:sz w:val="25"/>
        </w:rPr>
        <w:t>on</w:t>
      </w:r>
      <w:r>
        <w:rPr>
          <w:spacing w:val="-3"/>
          <w:sz w:val="25"/>
        </w:rPr>
        <w:t> </w:t>
      </w:r>
      <w:r>
        <w:rPr>
          <w:sz w:val="25"/>
        </w:rPr>
        <w:t>the</w:t>
      </w:r>
      <w:r>
        <w:rPr>
          <w:spacing w:val="-4"/>
          <w:sz w:val="25"/>
        </w:rPr>
        <w:t> </w:t>
      </w:r>
      <w:r>
        <w:rPr>
          <w:sz w:val="25"/>
        </w:rPr>
        <w:t>Nigerian</w:t>
      </w:r>
      <w:r>
        <w:rPr>
          <w:spacing w:val="-3"/>
          <w:sz w:val="25"/>
        </w:rPr>
        <w:t> </w:t>
      </w:r>
      <w:r>
        <w:rPr>
          <w:sz w:val="25"/>
        </w:rPr>
        <w:t>economy:</w:t>
      </w:r>
      <w:r>
        <w:rPr>
          <w:spacing w:val="-3"/>
          <w:sz w:val="25"/>
        </w:rPr>
        <w:t> </w:t>
      </w:r>
      <w:r>
        <w:rPr>
          <w:sz w:val="25"/>
        </w:rPr>
        <w:t>An error</w:t>
      </w:r>
      <w:r>
        <w:rPr>
          <w:spacing w:val="-3"/>
          <w:sz w:val="25"/>
        </w:rPr>
        <w:t> </w:t>
      </w:r>
      <w:r>
        <w:rPr>
          <w:sz w:val="25"/>
        </w:rPr>
        <w:t>correction</w:t>
      </w:r>
      <w:r>
        <w:rPr>
          <w:spacing w:val="-3"/>
          <w:sz w:val="25"/>
        </w:rPr>
        <w:t> </w:t>
      </w:r>
      <w:r>
        <w:rPr>
          <w:sz w:val="25"/>
        </w:rPr>
        <w:t>model</w:t>
      </w:r>
      <w:r>
        <w:rPr>
          <w:spacing w:val="-3"/>
          <w:sz w:val="25"/>
        </w:rPr>
        <w:t> </w:t>
      </w:r>
      <w:r>
        <w:rPr>
          <w:sz w:val="25"/>
        </w:rPr>
        <w:t>approach. </w:t>
      </w:r>
      <w:r>
        <w:rPr>
          <w:b/>
          <w:i/>
          <w:sz w:val="25"/>
        </w:rPr>
        <w:t>International Journal</w:t>
      </w:r>
      <w:r>
        <w:rPr>
          <w:b/>
          <w:i/>
          <w:spacing w:val="-3"/>
          <w:sz w:val="25"/>
        </w:rPr>
        <w:t> </w:t>
      </w:r>
      <w:r>
        <w:rPr>
          <w:b/>
          <w:i/>
          <w:sz w:val="25"/>
        </w:rPr>
        <w:t>of</w:t>
      </w:r>
      <w:r>
        <w:rPr>
          <w:b/>
          <w:i/>
          <w:spacing w:val="-3"/>
          <w:sz w:val="25"/>
        </w:rPr>
        <w:t> </w:t>
      </w:r>
      <w:r>
        <w:rPr>
          <w:b/>
          <w:i/>
          <w:sz w:val="25"/>
        </w:rPr>
        <w:t>Economics and</w:t>
      </w:r>
      <w:r>
        <w:rPr>
          <w:b/>
          <w:i/>
          <w:spacing w:val="-3"/>
          <w:sz w:val="25"/>
        </w:rPr>
        <w:t> </w:t>
      </w:r>
      <w:r>
        <w:rPr>
          <w:b/>
          <w:i/>
          <w:sz w:val="25"/>
        </w:rPr>
        <w:t>Financial Issues</w:t>
      </w:r>
      <w:r>
        <w:rPr>
          <w:b/>
          <w:sz w:val="25"/>
        </w:rPr>
        <w:t>, 8(6), 30-34.</w:t>
      </w:r>
    </w:p>
    <w:p>
      <w:pPr>
        <w:pStyle w:val="BodyText"/>
        <w:spacing w:before="239"/>
        <w:ind w:left="940" w:right="741" w:hanging="720"/>
        <w:jc w:val="both"/>
      </w:pPr>
      <w:r>
        <w:rPr/>
        <w:t>Ezeanyeji, C.I. &amp; Ifeako M. (2019). Foreign Portfolio Investment on Economic Growth of Nigeria:</w:t>
      </w:r>
      <w:r>
        <w:rPr>
          <w:spacing w:val="-5"/>
        </w:rPr>
        <w:t> </w:t>
      </w:r>
      <w:r>
        <w:rPr/>
        <w:t>An</w:t>
      </w:r>
      <w:r>
        <w:rPr>
          <w:spacing w:val="-5"/>
        </w:rPr>
        <w:t> </w:t>
      </w:r>
      <w:r>
        <w:rPr/>
        <w:t>Impact</w:t>
      </w:r>
      <w:r>
        <w:rPr>
          <w:spacing w:val="-3"/>
        </w:rPr>
        <w:t> </w:t>
      </w:r>
      <w:r>
        <w:rPr/>
        <w:t>Analysis.</w:t>
      </w:r>
      <w:r>
        <w:rPr>
          <w:spacing w:val="-5"/>
        </w:rPr>
        <w:t> </w:t>
      </w:r>
      <w:r>
        <w:rPr/>
        <w:t>International</w:t>
      </w:r>
      <w:r>
        <w:rPr>
          <w:spacing w:val="-5"/>
        </w:rPr>
        <w:t> </w:t>
      </w:r>
      <w:r>
        <w:rPr/>
        <w:t>Journal</w:t>
      </w:r>
      <w:r>
        <w:rPr>
          <w:spacing w:val="-5"/>
        </w:rPr>
        <w:t> </w:t>
      </w:r>
      <w:r>
        <w:rPr/>
        <w:t>of</w:t>
      </w:r>
      <w:r>
        <w:rPr>
          <w:spacing w:val="-5"/>
        </w:rPr>
        <w:t> </w:t>
      </w:r>
      <w:r>
        <w:rPr/>
        <w:t>Academic</w:t>
      </w:r>
      <w:r>
        <w:rPr>
          <w:spacing w:val="-5"/>
        </w:rPr>
        <w:t> </w:t>
      </w:r>
      <w:r>
        <w:rPr/>
        <w:t>Management</w:t>
      </w:r>
      <w:r>
        <w:rPr>
          <w:spacing w:val="-5"/>
        </w:rPr>
        <w:t> </w:t>
      </w:r>
      <w:r>
        <w:rPr/>
        <w:t>Science Research, (3)3, 24-36</w:t>
      </w:r>
    </w:p>
    <w:p>
      <w:pPr>
        <w:spacing w:before="242"/>
        <w:ind w:left="940" w:right="734" w:hanging="720"/>
        <w:jc w:val="both"/>
        <w:rPr>
          <w:sz w:val="25"/>
        </w:rPr>
      </w:pPr>
      <w:r>
        <w:rPr>
          <w:sz w:val="25"/>
        </w:rPr>
        <w:t>Feeny, S., Iamsiraroj, S. &amp; McGillivray, M. (2014). Remittances and Economic Growth: Larger Impacts in Smaller Countries? </w:t>
      </w:r>
      <w:r>
        <w:rPr>
          <w:i/>
          <w:sz w:val="25"/>
        </w:rPr>
        <w:t>The Journal of Development Studies, </w:t>
      </w:r>
      <w:r>
        <w:rPr>
          <w:sz w:val="25"/>
        </w:rPr>
        <w:t>50(8): </w:t>
      </w:r>
      <w:r>
        <w:rPr>
          <w:spacing w:val="-2"/>
          <w:sz w:val="25"/>
        </w:rPr>
        <w:t>1055-1066.</w:t>
      </w:r>
    </w:p>
    <w:p>
      <w:pPr>
        <w:pStyle w:val="BodyText"/>
        <w:spacing w:before="240"/>
      </w:pPr>
      <w:r>
        <w:rPr/>
        <w:t>Fosu,</w:t>
      </w:r>
      <w:r>
        <w:rPr>
          <w:spacing w:val="-2"/>
        </w:rPr>
        <w:t> </w:t>
      </w:r>
      <w:r>
        <w:rPr/>
        <w:t>A.K.</w:t>
      </w:r>
      <w:r>
        <w:rPr>
          <w:spacing w:val="-1"/>
        </w:rPr>
        <w:t> </w:t>
      </w:r>
      <w:r>
        <w:rPr/>
        <w:t>(1996).</w:t>
      </w:r>
      <w:r>
        <w:rPr>
          <w:spacing w:val="-2"/>
        </w:rPr>
        <w:t> </w:t>
      </w:r>
      <w:r>
        <w:rPr/>
        <w:t>The</w:t>
      </w:r>
      <w:r>
        <w:rPr>
          <w:spacing w:val="-4"/>
        </w:rPr>
        <w:t> </w:t>
      </w:r>
      <w:r>
        <w:rPr/>
        <w:t>impact</w:t>
      </w:r>
      <w:r>
        <w:rPr>
          <w:spacing w:val="-1"/>
        </w:rPr>
        <w:t> </w:t>
      </w:r>
      <w:r>
        <w:rPr/>
        <w:t>of</w:t>
      </w:r>
      <w:r>
        <w:rPr>
          <w:spacing w:val="-1"/>
        </w:rPr>
        <w:t> </w:t>
      </w:r>
      <w:r>
        <w:rPr/>
        <w:t>external</w:t>
      </w:r>
      <w:r>
        <w:rPr>
          <w:spacing w:val="-1"/>
        </w:rPr>
        <w:t> </w:t>
      </w:r>
      <w:r>
        <w:rPr/>
        <w:t>debt</w:t>
      </w:r>
      <w:r>
        <w:rPr>
          <w:spacing w:val="-2"/>
        </w:rPr>
        <w:t> </w:t>
      </w:r>
      <w:r>
        <w:rPr/>
        <w:t>on</w:t>
      </w:r>
      <w:r>
        <w:rPr>
          <w:spacing w:val="-1"/>
        </w:rPr>
        <w:t> </w:t>
      </w:r>
      <w:r>
        <w:rPr/>
        <w:t>economic</w:t>
      </w:r>
      <w:r>
        <w:rPr>
          <w:spacing w:val="-2"/>
        </w:rPr>
        <w:t> </w:t>
      </w:r>
      <w:r>
        <w:rPr/>
        <w:t>growth</w:t>
      </w:r>
      <w:r>
        <w:rPr>
          <w:spacing w:val="-1"/>
        </w:rPr>
        <w:t> </w:t>
      </w:r>
      <w:r>
        <w:rPr/>
        <w:t>in</w:t>
      </w:r>
      <w:r>
        <w:rPr>
          <w:spacing w:val="-2"/>
        </w:rPr>
        <w:t> </w:t>
      </w:r>
      <w:r>
        <w:rPr/>
        <w:t>Sub</w:t>
      </w:r>
      <w:r>
        <w:rPr>
          <w:spacing w:val="-1"/>
        </w:rPr>
        <w:t> </w:t>
      </w:r>
      <w:r>
        <w:rPr/>
        <w:t>Saharan</w:t>
      </w:r>
      <w:r>
        <w:rPr>
          <w:spacing w:val="-1"/>
        </w:rPr>
        <w:t> </w:t>
      </w:r>
      <w:r>
        <w:rPr>
          <w:spacing w:val="-2"/>
        </w:rPr>
        <w:t>African:</w:t>
      </w:r>
    </w:p>
    <w:p>
      <w:pPr>
        <w:spacing w:before="0"/>
        <w:ind w:left="940" w:right="0" w:firstLine="0"/>
        <w:jc w:val="left"/>
        <w:rPr>
          <w:sz w:val="25"/>
        </w:rPr>
      </w:pPr>
      <w:r>
        <w:rPr>
          <w:i/>
          <w:sz w:val="25"/>
        </w:rPr>
        <w:t>Journal</w:t>
      </w:r>
      <w:r>
        <w:rPr>
          <w:i/>
          <w:spacing w:val="-10"/>
          <w:sz w:val="25"/>
        </w:rPr>
        <w:t> </w:t>
      </w:r>
      <w:r>
        <w:rPr>
          <w:i/>
          <w:sz w:val="25"/>
        </w:rPr>
        <w:t>of</w:t>
      </w:r>
      <w:r>
        <w:rPr>
          <w:i/>
          <w:spacing w:val="-9"/>
          <w:sz w:val="25"/>
        </w:rPr>
        <w:t> </w:t>
      </w:r>
      <w:r>
        <w:rPr>
          <w:i/>
          <w:sz w:val="25"/>
        </w:rPr>
        <w:t>Economic</w:t>
      </w:r>
      <w:r>
        <w:rPr>
          <w:i/>
          <w:spacing w:val="-9"/>
          <w:sz w:val="25"/>
        </w:rPr>
        <w:t> </w:t>
      </w:r>
      <w:r>
        <w:rPr>
          <w:i/>
          <w:sz w:val="25"/>
        </w:rPr>
        <w:t>Development,</w:t>
      </w:r>
      <w:r>
        <w:rPr>
          <w:i/>
          <w:spacing w:val="-9"/>
          <w:sz w:val="25"/>
        </w:rPr>
        <w:t> </w:t>
      </w:r>
      <w:r>
        <w:rPr>
          <w:i/>
          <w:sz w:val="25"/>
        </w:rPr>
        <w:t>21(1),</w:t>
      </w:r>
      <w:r>
        <w:rPr>
          <w:i/>
          <w:spacing w:val="-6"/>
          <w:sz w:val="25"/>
        </w:rPr>
        <w:t> </w:t>
      </w:r>
      <w:r>
        <w:rPr>
          <w:sz w:val="25"/>
        </w:rPr>
        <w:t>93-</w:t>
      </w:r>
      <w:r>
        <w:rPr>
          <w:spacing w:val="-5"/>
          <w:sz w:val="25"/>
        </w:rPr>
        <w:t>118</w:t>
      </w:r>
    </w:p>
    <w:p>
      <w:pPr>
        <w:spacing w:after="0"/>
        <w:jc w:val="left"/>
        <w:rPr>
          <w:sz w:val="25"/>
        </w:rPr>
        <w:sectPr>
          <w:pgSz w:w="12240" w:h="15840"/>
          <w:pgMar w:header="0" w:footer="1012" w:top="1380" w:bottom="1200" w:left="1220" w:right="700"/>
        </w:sectPr>
      </w:pPr>
    </w:p>
    <w:p>
      <w:pPr>
        <w:spacing w:before="60"/>
        <w:ind w:left="940" w:right="736" w:hanging="720"/>
        <w:jc w:val="both"/>
        <w:rPr>
          <w:sz w:val="25"/>
        </w:rPr>
      </w:pPr>
      <w:r>
        <w:rPr>
          <w:sz w:val="25"/>
        </w:rPr>
        <w:t>Fratzscher, M., &amp; Bussiere, M. (2004). Financial openness and growth: Short-run gain, long- run gain? </w:t>
      </w:r>
      <w:r>
        <w:rPr>
          <w:i/>
          <w:sz w:val="25"/>
        </w:rPr>
        <w:t>European Central Bank Working Paper No. 348</w:t>
      </w:r>
      <w:r>
        <w:rPr>
          <w:sz w:val="25"/>
        </w:rPr>
        <w:t>.</w:t>
      </w:r>
    </w:p>
    <w:p>
      <w:pPr>
        <w:pStyle w:val="BodyText"/>
        <w:spacing w:before="238"/>
        <w:ind w:left="940" w:right="733" w:hanging="720"/>
        <w:jc w:val="both"/>
      </w:pPr>
      <w:r>
        <w:rPr/>
        <w:t>Frey, L., &amp; Volz, U. (2011). Regional Financial Integration in Sub-Saharan Africa-An Empirical Examination of its Effects on Financial Market Development. Conference on Economic Development in Africa, St Catherine’s College, Oxford.</w:t>
      </w:r>
    </w:p>
    <w:p>
      <w:pPr>
        <w:spacing w:before="242"/>
        <w:ind w:left="940" w:right="736" w:hanging="720"/>
        <w:jc w:val="both"/>
        <w:rPr>
          <w:sz w:val="25"/>
        </w:rPr>
      </w:pPr>
      <w:r>
        <w:rPr/>
        <mc:AlternateContent>
          <mc:Choice Requires="wps">
            <w:drawing>
              <wp:anchor distT="0" distB="0" distL="0" distR="0" allowOverlap="1" layoutInCell="1" locked="0" behindDoc="1" simplePos="0" relativeHeight="478114304">
                <wp:simplePos x="0" y="0"/>
                <wp:positionH relativeFrom="page">
                  <wp:posOffset>950112</wp:posOffset>
                </wp:positionH>
                <wp:positionV relativeFrom="paragraph">
                  <wp:posOffset>219088</wp:posOffset>
                </wp:positionV>
                <wp:extent cx="5505450" cy="5661025"/>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7.251074pt;width:433.5pt;height:445.75pt;mso-position-horizontal-relative:page;mso-position-vertical-relative:paragraph;z-index:-25202176" id="docshape223" coordorigin="1496,345" coordsize="8670,8915" path="m2562,9065l1691,8194,1496,8389,2367,9260,2562,9065xm3154,8389l3153,8349,3148,8306,3139,8263,3125,8219,3106,8175,3083,8132,3055,8090,3025,8048,2991,8008,2954,7969,2435,7450,2241,7644,2772,8176,2805,8212,2829,8247,2846,8282,2856,8316,2858,8349,2851,8379,2837,8408,2816,8434,2790,8456,2761,8470,2730,8476,2697,8473,2663,8464,2628,8447,2593,8423,2557,8391,2026,7859,1831,8053,2351,8573,2385,8605,2424,8637,2468,8670,2516,8702,2548,8721,2583,8737,2620,8750,2658,8761,2697,8769,2733,8772,2767,8773,2800,8769,2831,8762,2863,8751,2895,8734,2926,8714,2957,8691,2985,8668,3011,8645,3035,8622,3071,8582,3102,8541,3125,8499,3142,8457,3150,8425,3154,8389xm3882,7605l3876,7541,3860,7476,3834,7409,3806,7355,3771,7299,3728,7241,3678,7182,3661,7163,3621,7122,3597,7099,3597,7593,3592,7634,3577,7670,3551,7703,3518,7729,3481,7744,3441,7748,3396,7742,3347,7724,3294,7692,3235,7647,3171,7588,3112,7524,3066,7465,3035,7411,3016,7362,3010,7317,3014,7277,3029,7241,3053,7209,3086,7184,3122,7168,3163,7163,3207,7168,3255,7186,3307,7216,3363,7258,3423,7313,3488,7383,3538,7445,3572,7501,3591,7550,3597,7593,3597,7099,3551,7057,3482,7002,3413,6956,3344,6921,3276,6895,3209,6879,3130,6874,3055,6884,2983,6909,2914,6950,2850,7005,2796,7069,2756,7136,2732,7208,2723,7284,2729,7363,2746,7432,2772,7501,2808,7570,2854,7640,2910,7711,2976,7782,3036,7839,3096,7888,3156,7930,3215,7965,3273,7992,3344,8017,3411,8030,3475,8034,3535,8028,3593,8011,3649,7984,3705,7946,3758,7898,3805,7845,3841,7788,3858,7748,3866,7730,3879,7668,3882,7605xm4153,7026l3966,6839,3712,7093,3899,7280,4153,7026xm4664,6963l3793,6092,3598,6287,4469,7158,4664,6963xm4998,6629l4675,6306,4781,6199,4832,6139,4837,6129,4866,6078,4883,6014,4882,5950,4866,5884,4843,5833,4836,5818,4792,5752,4733,5686,4670,5629,4607,5586,4598,5582,4598,5975,4597,6001,4587,6027,4570,6054,4546,6082,4498,6129,4304,5935,4359,5879,4386,5856,4412,5841,4438,5833,4462,5834,4486,5840,4509,5851,4531,5865,4552,5883,4570,5905,4584,5927,4593,5951,4598,5975,4598,5582,4544,5557,4483,5541,4423,5540,4365,5554,4309,5585,4255,5630,3931,5953,4803,6824,4998,6629xm5788,5839l5132,5183,5330,4985,5115,4770,4524,5361,4739,5576,4937,5378,5593,6034,5788,5839xm6423,5204l5767,4548,5966,4349,5751,4134,5159,4726,5374,4941,5573,4742,6229,5398,6423,5204xm7157,4331l7151,4266,7135,4201,7109,4134,7081,4080,7046,4024,7003,3966,6953,3907,6935,3888,6896,3847,6872,3825,6872,4318,6867,4359,6851,4395,6825,4429,6793,4454,6756,4469,6716,4473,6671,4467,6622,4449,6569,4417,6510,4372,6446,4313,6387,4249,6341,4190,6309,4136,6291,4087,6285,4042,6289,4002,6304,3966,6328,3935,6361,3909,6397,3894,6438,3888,6482,3894,6530,3911,6582,3941,6638,3983,6698,4038,6763,4108,6813,4170,6847,4226,6866,4275,6872,4318,6872,3825,6826,3782,6756,3727,6687,3682,6619,3646,6551,3621,6483,3605,6405,3599,6329,3609,6258,3634,6189,3675,6125,3730,6071,3794,6031,3862,6007,3933,5998,4009,6004,4089,6021,4157,6047,4226,6083,4295,6129,4365,6184,4436,6250,4507,6311,4564,6371,4613,6431,4656,6490,4690,6548,4718,6619,4742,6686,4756,6750,4759,6810,4753,6868,4737,6924,4709,6979,4672,7033,4624,7080,4570,7116,4514,7133,4473,7141,4455,7154,4394,7157,4331xm8170,3335l8165,3286,8153,3236,8134,3183,8109,3129,8079,3073,8041,3016,7980,3040,7799,3115,7831,3161,7855,3204,7873,3245,7884,3282,7887,3317,7881,3350,7866,3381,7843,3410,7812,3434,7778,3448,7740,3452,7700,3446,7653,3427,7600,3393,7538,3344,7469,3279,7417,3223,7375,3171,7344,3124,7324,3081,7311,3029,7312,2983,7325,2942,7352,2906,7367,2893,7384,2882,7402,2874,7422,2870,7442,2868,7464,2868,7486,2871,7509,2877,7524,2883,7542,2891,7563,2902,7586,2917,7705,2692,7622,2646,7543,2614,7469,2595,7400,2588,7333,2596,7269,2619,7206,2657,7146,2709,7092,2772,7054,2838,7030,2908,7021,2982,7027,3060,7044,3127,7070,3195,7106,3264,7153,3334,7209,3404,7276,3476,7341,3537,7404,3589,7467,3632,7529,3668,7590,3695,7662,3719,7730,3732,7791,3735,7847,3728,7900,3711,7952,3684,8004,3647,8056,3601,8094,3558,8125,3515,8147,3472,8161,3427,8169,3382,8170,3335xm8868,2620l8861,2556,8846,2490,8820,2423,8792,2369,8757,2313,8714,2255,8664,2196,8646,2178,8607,2136,8583,2114,8583,2608,8578,2648,8562,2685,8536,2718,8504,2743,8467,2758,8427,2763,8382,2756,8333,2738,8279,2707,8221,2661,8157,2602,8098,2538,8052,2479,8020,2425,8002,2376,7996,2332,8000,2291,8014,2255,8039,2224,8071,2198,8108,2183,8149,2178,8193,2183,8241,2200,8293,2230,8349,2272,8409,2327,8474,2397,8524,2460,8558,2515,8577,2564,8583,2608,8583,2114,8537,2071,8467,2016,8398,1971,8330,1935,8262,1910,8194,1894,8116,1888,8040,1898,7968,1924,7900,1964,7835,2020,7781,2083,7742,2151,7718,2222,7709,2298,7715,2378,7731,2446,7758,2515,7794,2585,7839,2655,7895,2725,7961,2796,8022,2853,8082,2903,8142,2945,8201,2979,8259,3007,8329,3031,8397,3045,8461,3048,8521,3042,8579,3026,8635,2999,8690,2961,8744,2913,8791,2859,8827,2803,8844,2763,8852,2744,8865,2683,8868,2620xm9348,2279l9025,1955,9132,1849,9182,1789,9188,1779,9216,1727,9233,1664,9233,1599,9217,1534,9194,1483,9187,1468,9142,1402,9084,1336,9020,1279,8957,1236,8948,1232,8948,1625,8947,1650,8938,1677,8921,1704,8896,1731,8849,1779,8654,1585,8710,1529,8737,1506,8763,1490,8788,1483,8812,1483,8836,1490,8859,1500,8881,1515,8902,1533,8920,1555,8934,1577,8943,1601,8948,1625,8948,1232,8895,1206,8833,1190,8773,1189,8715,1204,8659,1234,8605,1279,8282,1603,9153,2474,9348,2279xm10166,1461l9801,1096,9748,946,9593,495,9540,345,9325,560,9353,630,9436,841,9492,982,9422,953,9211,870,9071,814,8854,1030,9005,1083,9456,1239,9606,1291,9971,1656,10166,1461xe" filled="true" fillcolor="#c0c0c0" stroked="false">
                <v:path arrowok="t"/>
                <v:fill opacity="32896f" type="solid"/>
                <w10:wrap type="none"/>
              </v:shape>
            </w:pict>
          </mc:Fallback>
        </mc:AlternateContent>
      </w:r>
      <w:r>
        <w:rPr>
          <w:sz w:val="25"/>
        </w:rPr>
        <w:t>Gehringer, A. (2013). Growth, productivity and capital accumulation: The effects of</w:t>
      </w:r>
      <w:r>
        <w:rPr>
          <w:spacing w:val="40"/>
          <w:sz w:val="25"/>
        </w:rPr>
        <w:t> </w:t>
      </w:r>
      <w:r>
        <w:rPr>
          <w:sz w:val="25"/>
        </w:rPr>
        <w:t>financial liberalization in the case of European integration. </w:t>
      </w:r>
      <w:r>
        <w:rPr>
          <w:i/>
          <w:sz w:val="25"/>
        </w:rPr>
        <w:t>International Review of Economics &amp; Finance</w:t>
      </w:r>
      <w:r>
        <w:rPr>
          <w:sz w:val="25"/>
        </w:rPr>
        <w:t>, 25: 291–309.</w:t>
      </w:r>
    </w:p>
    <w:p>
      <w:pPr>
        <w:spacing w:before="239"/>
        <w:ind w:left="940" w:right="735" w:hanging="720"/>
        <w:jc w:val="both"/>
        <w:rPr>
          <w:sz w:val="25"/>
        </w:rPr>
      </w:pPr>
      <w:r>
        <w:rPr>
          <w:sz w:val="25"/>
        </w:rPr>
        <w:t>Gehringer, A.</w:t>
      </w:r>
      <w:r>
        <w:rPr>
          <w:spacing w:val="-1"/>
          <w:sz w:val="25"/>
        </w:rPr>
        <w:t> </w:t>
      </w:r>
      <w:r>
        <w:rPr>
          <w:sz w:val="25"/>
        </w:rPr>
        <w:t>(2015). Uneven effects of financial</w:t>
      </w:r>
      <w:r>
        <w:rPr>
          <w:spacing w:val="-1"/>
          <w:sz w:val="25"/>
        </w:rPr>
        <w:t> </w:t>
      </w:r>
      <w:r>
        <w:rPr>
          <w:sz w:val="25"/>
        </w:rPr>
        <w:t>liberalization on productivity growth in the EU: Evidence from a dynamic panel investigation. </w:t>
      </w:r>
      <w:r>
        <w:rPr>
          <w:i/>
          <w:sz w:val="25"/>
        </w:rPr>
        <w:t>International Journal of Production Economics</w:t>
      </w:r>
      <w:r>
        <w:rPr>
          <w:sz w:val="25"/>
        </w:rPr>
        <w:t>, 159: 334–346.</w:t>
      </w:r>
    </w:p>
    <w:p>
      <w:pPr>
        <w:spacing w:before="240"/>
        <w:ind w:left="940" w:right="740" w:hanging="720"/>
        <w:jc w:val="both"/>
        <w:rPr>
          <w:sz w:val="25"/>
        </w:rPr>
      </w:pPr>
      <w:r>
        <w:rPr>
          <w:sz w:val="25"/>
        </w:rPr>
        <w:t>Girma, H. (2015). The impact of foreign aid on economic growth: Empirical evidence from Ethiopia (1974-2011)using ARDL approach. </w:t>
      </w:r>
      <w:r>
        <w:rPr>
          <w:i/>
          <w:sz w:val="25"/>
        </w:rPr>
        <w:t>Journal of Research in Economics and International Finance, </w:t>
      </w:r>
      <w:r>
        <w:rPr>
          <w:sz w:val="25"/>
        </w:rPr>
        <w:t>4(1), 1 – 12.</w:t>
      </w:r>
    </w:p>
    <w:p>
      <w:pPr>
        <w:pStyle w:val="BodyText"/>
        <w:spacing w:before="241"/>
        <w:ind w:left="940" w:right="742" w:hanging="720"/>
        <w:jc w:val="both"/>
      </w:pPr>
      <w:r>
        <w:rPr/>
        <w:t>Goldberg, L. (2004). Financial sector FDI and host countries: New and Old Lessons. Federal Reserve Bank of New York Staff Reports No. 183.</w:t>
      </w:r>
    </w:p>
    <w:p>
      <w:pPr>
        <w:pStyle w:val="BodyText"/>
        <w:spacing w:before="239"/>
        <w:ind w:left="940" w:right="744" w:hanging="720"/>
        <w:jc w:val="both"/>
      </w:pPr>
      <w:r>
        <w:rPr/>
        <w:t>Gourinchas, P., &amp; Jeanne, O. (2003). The elusive gains from international financial integration. </w:t>
      </w:r>
      <w:r>
        <w:rPr>
          <w:i/>
        </w:rPr>
        <w:t>Working Paper 9684</w:t>
      </w:r>
      <w:r>
        <w:rPr/>
        <w:t>, National Bureau of Economic Research.</w:t>
      </w:r>
    </w:p>
    <w:p>
      <w:pPr>
        <w:pStyle w:val="BodyText"/>
        <w:spacing w:before="241"/>
      </w:pPr>
      <w:r>
        <w:rPr/>
        <w:t>Graham,</w:t>
      </w:r>
      <w:r>
        <w:rPr>
          <w:spacing w:val="47"/>
        </w:rPr>
        <w:t> </w:t>
      </w:r>
      <w:r>
        <w:rPr/>
        <w:t>E.M</w:t>
      </w:r>
      <w:r>
        <w:rPr>
          <w:spacing w:val="50"/>
        </w:rPr>
        <w:t> </w:t>
      </w:r>
      <w:r>
        <w:rPr/>
        <w:t>&amp;</w:t>
      </w:r>
      <w:r>
        <w:rPr>
          <w:spacing w:val="48"/>
        </w:rPr>
        <w:t> </w:t>
      </w:r>
      <w:r>
        <w:rPr/>
        <w:t>Krugman,</w:t>
      </w:r>
      <w:r>
        <w:rPr>
          <w:spacing w:val="47"/>
        </w:rPr>
        <w:t> </w:t>
      </w:r>
      <w:r>
        <w:rPr/>
        <w:t>P.R.</w:t>
      </w:r>
      <w:r>
        <w:rPr>
          <w:spacing w:val="47"/>
        </w:rPr>
        <w:t> </w:t>
      </w:r>
      <w:r>
        <w:rPr/>
        <w:t>(1995).</w:t>
      </w:r>
      <w:r>
        <w:rPr>
          <w:spacing w:val="48"/>
        </w:rPr>
        <w:t> </w:t>
      </w:r>
      <w:r>
        <w:rPr/>
        <w:t>Foreign</w:t>
      </w:r>
      <w:r>
        <w:rPr>
          <w:spacing w:val="48"/>
        </w:rPr>
        <w:t> </w:t>
      </w:r>
      <w:r>
        <w:rPr/>
        <w:t>direct</w:t>
      </w:r>
      <w:r>
        <w:rPr>
          <w:spacing w:val="48"/>
        </w:rPr>
        <w:t> </w:t>
      </w:r>
      <w:r>
        <w:rPr/>
        <w:t>investment</w:t>
      </w:r>
      <w:r>
        <w:rPr>
          <w:spacing w:val="51"/>
        </w:rPr>
        <w:t> </w:t>
      </w:r>
      <w:r>
        <w:rPr/>
        <w:t>in</w:t>
      </w:r>
      <w:r>
        <w:rPr>
          <w:spacing w:val="48"/>
        </w:rPr>
        <w:t> </w:t>
      </w:r>
      <w:r>
        <w:rPr/>
        <w:t>the</w:t>
      </w:r>
      <w:r>
        <w:rPr>
          <w:spacing w:val="48"/>
        </w:rPr>
        <w:t> </w:t>
      </w:r>
      <w:r>
        <w:rPr/>
        <w:t>United</w:t>
      </w:r>
      <w:r>
        <w:rPr>
          <w:spacing w:val="48"/>
        </w:rPr>
        <w:t> </w:t>
      </w:r>
      <w:r>
        <w:rPr>
          <w:spacing w:val="-2"/>
        </w:rPr>
        <w:t>States,</w:t>
      </w:r>
    </w:p>
    <w:p>
      <w:pPr>
        <w:spacing w:before="1"/>
        <w:ind w:left="940" w:right="0" w:firstLine="0"/>
        <w:jc w:val="left"/>
        <w:rPr>
          <w:i/>
          <w:sz w:val="25"/>
        </w:rPr>
      </w:pPr>
      <w:r>
        <w:rPr>
          <w:i/>
          <w:sz w:val="25"/>
        </w:rPr>
        <w:t>Institute</w:t>
      </w:r>
      <w:r>
        <w:rPr>
          <w:i/>
          <w:spacing w:val="-10"/>
          <w:sz w:val="25"/>
        </w:rPr>
        <w:t> </w:t>
      </w:r>
      <w:r>
        <w:rPr>
          <w:i/>
          <w:sz w:val="25"/>
        </w:rPr>
        <w:t>for</w:t>
      </w:r>
      <w:r>
        <w:rPr>
          <w:i/>
          <w:spacing w:val="-8"/>
          <w:sz w:val="25"/>
        </w:rPr>
        <w:t> </w:t>
      </w:r>
      <w:r>
        <w:rPr>
          <w:i/>
          <w:sz w:val="25"/>
        </w:rPr>
        <w:t>International</w:t>
      </w:r>
      <w:r>
        <w:rPr>
          <w:i/>
          <w:spacing w:val="-9"/>
          <w:sz w:val="25"/>
        </w:rPr>
        <w:t> </w:t>
      </w:r>
      <w:r>
        <w:rPr>
          <w:i/>
          <w:sz w:val="25"/>
        </w:rPr>
        <w:t>Economics,</w:t>
      </w:r>
      <w:r>
        <w:rPr>
          <w:i/>
          <w:spacing w:val="-10"/>
          <w:sz w:val="25"/>
        </w:rPr>
        <w:t> </w:t>
      </w:r>
      <w:r>
        <w:rPr>
          <w:i/>
          <w:sz w:val="25"/>
        </w:rPr>
        <w:t>Washington,</w:t>
      </w:r>
      <w:r>
        <w:rPr>
          <w:i/>
          <w:spacing w:val="-9"/>
          <w:sz w:val="25"/>
        </w:rPr>
        <w:t> </w:t>
      </w:r>
      <w:r>
        <w:rPr>
          <w:i/>
          <w:sz w:val="25"/>
        </w:rPr>
        <w:t>D.C</w:t>
      </w:r>
      <w:r>
        <w:rPr>
          <w:i/>
          <w:spacing w:val="-9"/>
          <w:sz w:val="25"/>
        </w:rPr>
        <w:t> </w:t>
      </w:r>
      <w:r>
        <w:rPr>
          <w:i/>
          <w:sz w:val="25"/>
        </w:rPr>
        <w:t>January</w:t>
      </w:r>
      <w:r>
        <w:rPr>
          <w:i/>
          <w:spacing w:val="-9"/>
          <w:sz w:val="25"/>
        </w:rPr>
        <w:t> </w:t>
      </w:r>
      <w:r>
        <w:rPr>
          <w:i/>
          <w:spacing w:val="-2"/>
          <w:sz w:val="25"/>
        </w:rPr>
        <w:t>1995.</w:t>
      </w:r>
    </w:p>
    <w:p>
      <w:pPr>
        <w:pStyle w:val="BodyText"/>
        <w:spacing w:before="238"/>
        <w:ind w:left="940" w:right="737" w:hanging="720"/>
        <w:jc w:val="both"/>
      </w:pPr>
      <w:r>
        <w:rPr/>
        <w:t>Greene,</w:t>
      </w:r>
      <w:r>
        <w:rPr>
          <w:spacing w:val="-3"/>
        </w:rPr>
        <w:t> </w:t>
      </w:r>
      <w:r>
        <w:rPr/>
        <w:t>W.,</w:t>
      </w:r>
      <w:r>
        <w:rPr>
          <w:spacing w:val="-3"/>
        </w:rPr>
        <w:t> </w:t>
      </w:r>
      <w:r>
        <w:rPr/>
        <w:t>(2012).</w:t>
      </w:r>
      <w:r>
        <w:rPr>
          <w:spacing w:val="-1"/>
        </w:rPr>
        <w:t> </w:t>
      </w:r>
      <w:r>
        <w:rPr>
          <w:i/>
        </w:rPr>
        <w:t>Econometric</w:t>
      </w:r>
      <w:r>
        <w:rPr>
          <w:i/>
          <w:spacing w:val="-3"/>
        </w:rPr>
        <w:t> </w:t>
      </w:r>
      <w:r>
        <w:rPr>
          <w:i/>
        </w:rPr>
        <w:t>analysis</w:t>
      </w:r>
      <w:r>
        <w:rPr/>
        <w:t>,</w:t>
      </w:r>
      <w:r>
        <w:rPr>
          <w:spacing w:val="-2"/>
        </w:rPr>
        <w:t> </w:t>
      </w:r>
      <w:r>
        <w:rPr/>
        <w:t>Seventh</w:t>
      </w:r>
      <w:r>
        <w:rPr>
          <w:spacing w:val="-3"/>
        </w:rPr>
        <w:t> </w:t>
      </w:r>
      <w:r>
        <w:rPr/>
        <w:t>edition.</w:t>
      </w:r>
      <w:r>
        <w:rPr>
          <w:spacing w:val="-2"/>
        </w:rPr>
        <w:t> </w:t>
      </w:r>
      <w:r>
        <w:rPr/>
        <w:t>Upper</w:t>
      </w:r>
      <w:r>
        <w:rPr>
          <w:spacing w:val="-2"/>
        </w:rPr>
        <w:t> </w:t>
      </w:r>
      <w:r>
        <w:rPr/>
        <w:t>Saddle</w:t>
      </w:r>
      <w:r>
        <w:rPr>
          <w:spacing w:val="-3"/>
        </w:rPr>
        <w:t> </w:t>
      </w:r>
      <w:r>
        <w:rPr/>
        <w:t>River,</w:t>
      </w:r>
      <w:r>
        <w:rPr>
          <w:spacing w:val="-2"/>
        </w:rPr>
        <w:t> </w:t>
      </w:r>
      <w:r>
        <w:rPr/>
        <w:t>NJ:</w:t>
      </w:r>
      <w:r>
        <w:rPr>
          <w:spacing w:val="-2"/>
        </w:rPr>
        <w:t> </w:t>
      </w:r>
      <w:r>
        <w:rPr/>
        <w:t>Pearson Education, Inc.</w:t>
      </w:r>
    </w:p>
    <w:p>
      <w:pPr>
        <w:pStyle w:val="BodyText"/>
        <w:spacing w:before="241"/>
        <w:ind w:left="940" w:right="737" w:hanging="720"/>
        <w:jc w:val="both"/>
      </w:pPr>
      <w:r>
        <w:rPr/>
        <w:t>Guha,</w:t>
      </w:r>
      <w:r>
        <w:rPr>
          <w:spacing w:val="-2"/>
        </w:rPr>
        <w:t> </w:t>
      </w:r>
      <w:r>
        <w:rPr/>
        <w:t>P.,</w:t>
      </w:r>
      <w:r>
        <w:rPr>
          <w:spacing w:val="-1"/>
        </w:rPr>
        <w:t> </w:t>
      </w:r>
      <w:r>
        <w:rPr/>
        <w:t>Daga,</w:t>
      </w:r>
      <w:r>
        <w:rPr>
          <w:spacing w:val="-1"/>
        </w:rPr>
        <w:t> </w:t>
      </w:r>
      <w:r>
        <w:rPr/>
        <w:t>S.,</w:t>
      </w:r>
      <w:r>
        <w:rPr>
          <w:spacing w:val="-1"/>
        </w:rPr>
        <w:t> </w:t>
      </w:r>
      <w:r>
        <w:rPr/>
        <w:t>Gulati,</w:t>
      </w:r>
      <w:r>
        <w:rPr>
          <w:spacing w:val="-1"/>
        </w:rPr>
        <w:t> </w:t>
      </w:r>
      <w:r>
        <w:rPr/>
        <w:t>R.,</w:t>
      </w:r>
      <w:r>
        <w:rPr>
          <w:spacing w:val="-1"/>
        </w:rPr>
        <w:t> </w:t>
      </w:r>
      <w:r>
        <w:rPr/>
        <w:t>Bhupal,</w:t>
      </w:r>
      <w:r>
        <w:rPr>
          <w:spacing w:val="-2"/>
        </w:rPr>
        <w:t> </w:t>
      </w:r>
      <w:r>
        <w:rPr/>
        <w:t>G.,</w:t>
      </w:r>
      <w:r>
        <w:rPr>
          <w:spacing w:val="-2"/>
        </w:rPr>
        <w:t> </w:t>
      </w:r>
      <w:r>
        <w:rPr/>
        <w:t>&amp;</w:t>
      </w:r>
      <w:r>
        <w:rPr>
          <w:spacing w:val="-1"/>
        </w:rPr>
        <w:t> </w:t>
      </w:r>
      <w:r>
        <w:rPr/>
        <w:t>Oak,</w:t>
      </w:r>
      <w:r>
        <w:rPr>
          <w:spacing w:val="-2"/>
        </w:rPr>
        <w:t> </w:t>
      </w:r>
      <w:r>
        <w:rPr/>
        <w:t>H.</w:t>
      </w:r>
      <w:r>
        <w:rPr>
          <w:spacing w:val="-2"/>
        </w:rPr>
        <w:t> </w:t>
      </w:r>
      <w:r>
        <w:rPr/>
        <w:t>(2014).</w:t>
      </w:r>
      <w:r>
        <w:rPr>
          <w:spacing w:val="-1"/>
        </w:rPr>
        <w:t> </w:t>
      </w:r>
      <w:r>
        <w:rPr/>
        <w:t>International</w:t>
      </w:r>
      <w:r>
        <w:rPr>
          <w:spacing w:val="-2"/>
        </w:rPr>
        <w:t> </w:t>
      </w:r>
      <w:r>
        <w:rPr/>
        <w:t>Financial</w:t>
      </w:r>
      <w:r>
        <w:rPr>
          <w:spacing w:val="-2"/>
        </w:rPr>
        <w:t> </w:t>
      </w:r>
      <w:r>
        <w:rPr/>
        <w:t>Markets Integration or Segmentation: A Case Study of Equity Markets. EconWPA Working Paper No. 0412013.</w:t>
      </w:r>
    </w:p>
    <w:p>
      <w:pPr>
        <w:pStyle w:val="BodyText"/>
        <w:spacing w:before="239"/>
      </w:pPr>
      <w:r>
        <w:rPr/>
        <w:t>Guiso,</w:t>
      </w:r>
      <w:r>
        <w:rPr>
          <w:spacing w:val="41"/>
        </w:rPr>
        <w:t> </w:t>
      </w:r>
      <w:r>
        <w:rPr/>
        <w:t>L.,</w:t>
      </w:r>
      <w:r>
        <w:rPr>
          <w:spacing w:val="41"/>
        </w:rPr>
        <w:t> </w:t>
      </w:r>
      <w:r>
        <w:rPr/>
        <w:t>Sapienza,</w:t>
      </w:r>
      <w:r>
        <w:rPr>
          <w:spacing w:val="42"/>
        </w:rPr>
        <w:t> </w:t>
      </w:r>
      <w:r>
        <w:rPr/>
        <w:t>P.,</w:t>
      </w:r>
      <w:r>
        <w:rPr>
          <w:spacing w:val="41"/>
        </w:rPr>
        <w:t> </w:t>
      </w:r>
      <w:r>
        <w:rPr/>
        <w:t>&amp;</w:t>
      </w:r>
      <w:r>
        <w:rPr>
          <w:spacing w:val="42"/>
        </w:rPr>
        <w:t> </w:t>
      </w:r>
      <w:r>
        <w:rPr/>
        <w:t>Zingales,</w:t>
      </w:r>
      <w:r>
        <w:rPr>
          <w:spacing w:val="38"/>
        </w:rPr>
        <w:t> </w:t>
      </w:r>
      <w:r>
        <w:rPr/>
        <w:t>L.</w:t>
      </w:r>
      <w:r>
        <w:rPr>
          <w:spacing w:val="42"/>
        </w:rPr>
        <w:t> </w:t>
      </w:r>
      <w:r>
        <w:rPr/>
        <w:t>(2006).</w:t>
      </w:r>
      <w:r>
        <w:rPr>
          <w:spacing w:val="41"/>
        </w:rPr>
        <w:t> </w:t>
      </w:r>
      <w:r>
        <w:rPr/>
        <w:t>Does</w:t>
      </w:r>
      <w:r>
        <w:rPr>
          <w:spacing w:val="41"/>
        </w:rPr>
        <w:t> </w:t>
      </w:r>
      <w:r>
        <w:rPr/>
        <w:t>culture</w:t>
      </w:r>
      <w:r>
        <w:rPr>
          <w:spacing w:val="41"/>
        </w:rPr>
        <w:t> </w:t>
      </w:r>
      <w:r>
        <w:rPr/>
        <w:t>affect</w:t>
      </w:r>
      <w:r>
        <w:rPr>
          <w:spacing w:val="39"/>
        </w:rPr>
        <w:t> </w:t>
      </w:r>
      <w:r>
        <w:rPr/>
        <w:t>economic</w:t>
      </w:r>
      <w:r>
        <w:rPr>
          <w:spacing w:val="41"/>
        </w:rPr>
        <w:t> </w:t>
      </w:r>
      <w:r>
        <w:rPr>
          <w:spacing w:val="-2"/>
        </w:rPr>
        <w:t>outcomes?</w:t>
      </w:r>
    </w:p>
    <w:p>
      <w:pPr>
        <w:spacing w:before="1"/>
        <w:ind w:left="940" w:right="0" w:firstLine="0"/>
        <w:jc w:val="left"/>
        <w:rPr>
          <w:sz w:val="25"/>
        </w:rPr>
      </w:pPr>
      <w:r>
        <w:rPr>
          <w:i/>
          <w:sz w:val="25"/>
        </w:rPr>
        <w:t>Journal</w:t>
      </w:r>
      <w:r>
        <w:rPr>
          <w:i/>
          <w:spacing w:val="-8"/>
          <w:sz w:val="25"/>
        </w:rPr>
        <w:t> </w:t>
      </w:r>
      <w:r>
        <w:rPr>
          <w:i/>
          <w:sz w:val="25"/>
        </w:rPr>
        <w:t>of</w:t>
      </w:r>
      <w:r>
        <w:rPr>
          <w:i/>
          <w:spacing w:val="-7"/>
          <w:sz w:val="25"/>
        </w:rPr>
        <w:t> </w:t>
      </w:r>
      <w:r>
        <w:rPr>
          <w:i/>
          <w:sz w:val="25"/>
        </w:rPr>
        <w:t>Economic</w:t>
      </w:r>
      <w:r>
        <w:rPr>
          <w:i/>
          <w:spacing w:val="-8"/>
          <w:sz w:val="25"/>
        </w:rPr>
        <w:t> </w:t>
      </w:r>
      <w:r>
        <w:rPr>
          <w:i/>
          <w:sz w:val="25"/>
        </w:rPr>
        <w:t>Perspectives</w:t>
      </w:r>
      <w:r>
        <w:rPr>
          <w:sz w:val="25"/>
        </w:rPr>
        <w:t>,</w:t>
      </w:r>
      <w:r>
        <w:rPr>
          <w:spacing w:val="-7"/>
          <w:sz w:val="25"/>
        </w:rPr>
        <w:t> </w:t>
      </w:r>
      <w:r>
        <w:rPr>
          <w:sz w:val="25"/>
        </w:rPr>
        <w:t>20:</w:t>
      </w:r>
      <w:r>
        <w:rPr>
          <w:spacing w:val="-8"/>
          <w:sz w:val="25"/>
        </w:rPr>
        <w:t> </w:t>
      </w:r>
      <w:r>
        <w:rPr>
          <w:sz w:val="25"/>
        </w:rPr>
        <w:t>23-</w:t>
      </w:r>
      <w:r>
        <w:rPr>
          <w:spacing w:val="-5"/>
          <w:sz w:val="25"/>
        </w:rPr>
        <w:t>48.</w:t>
      </w:r>
    </w:p>
    <w:p>
      <w:pPr>
        <w:pStyle w:val="BodyText"/>
        <w:spacing w:before="241"/>
        <w:ind w:left="940" w:right="746" w:hanging="720"/>
        <w:jc w:val="both"/>
      </w:pPr>
      <w:r>
        <w:rPr/>
        <w:t>Gupta, S., Pattillo C. A., &amp; Wagh, S. (2009). Effect of remittances on poverty and financial development in sub-Saharan Africa. </w:t>
      </w:r>
      <w:r>
        <w:rPr>
          <w:i/>
        </w:rPr>
        <w:t>World development</w:t>
      </w:r>
      <w:r>
        <w:rPr/>
        <w:t>, 37(1): 104-115.</w:t>
      </w:r>
    </w:p>
    <w:p>
      <w:pPr>
        <w:pStyle w:val="BodyText"/>
        <w:spacing w:before="239"/>
        <w:ind w:left="940" w:right="744" w:hanging="720"/>
        <w:jc w:val="both"/>
      </w:pPr>
      <w:r>
        <w:rPr/>
        <w:t>Hartmann, P., Heider, F., Papaioannou, E., &amp; Lo Duca, M. (2007). The role of financial markets and</w:t>
      </w:r>
      <w:r>
        <w:rPr>
          <w:spacing w:val="-1"/>
        </w:rPr>
        <w:t> </w:t>
      </w:r>
      <w:r>
        <w:rPr/>
        <w:t>innovation</w:t>
      </w:r>
      <w:r>
        <w:rPr>
          <w:spacing w:val="-1"/>
        </w:rPr>
        <w:t> </w:t>
      </w:r>
      <w:r>
        <w:rPr/>
        <w:t>in</w:t>
      </w:r>
      <w:r>
        <w:rPr>
          <w:spacing w:val="-1"/>
        </w:rPr>
        <w:t> </w:t>
      </w:r>
      <w:r>
        <w:rPr/>
        <w:t>productivity</w:t>
      </w:r>
      <w:r>
        <w:rPr>
          <w:spacing w:val="-1"/>
        </w:rPr>
        <w:t> </w:t>
      </w:r>
      <w:r>
        <w:rPr/>
        <w:t>and</w:t>
      </w:r>
      <w:r>
        <w:rPr>
          <w:spacing w:val="-1"/>
        </w:rPr>
        <w:t> </w:t>
      </w:r>
      <w:r>
        <w:rPr/>
        <w:t>growth</w:t>
      </w:r>
      <w:r>
        <w:rPr>
          <w:spacing w:val="-1"/>
        </w:rPr>
        <w:t> </w:t>
      </w:r>
      <w:r>
        <w:rPr/>
        <w:t>in</w:t>
      </w:r>
      <w:r>
        <w:rPr>
          <w:spacing w:val="-1"/>
        </w:rPr>
        <w:t> </w:t>
      </w:r>
      <w:r>
        <w:rPr/>
        <w:t>Europe.</w:t>
      </w:r>
      <w:r>
        <w:rPr>
          <w:spacing w:val="-1"/>
        </w:rPr>
        <w:t> </w:t>
      </w:r>
      <w:r>
        <w:rPr/>
        <w:t>European</w:t>
      </w:r>
      <w:r>
        <w:rPr>
          <w:spacing w:val="-1"/>
        </w:rPr>
        <w:t> </w:t>
      </w:r>
      <w:r>
        <w:rPr/>
        <w:t>Central</w:t>
      </w:r>
      <w:r>
        <w:rPr>
          <w:spacing w:val="-1"/>
        </w:rPr>
        <w:t> </w:t>
      </w:r>
      <w:r>
        <w:rPr/>
        <w:t>Bank Occasional Paper Series No. 72.</w:t>
      </w:r>
    </w:p>
    <w:p>
      <w:pPr>
        <w:spacing w:before="241"/>
        <w:ind w:left="940" w:right="734" w:hanging="720"/>
        <w:jc w:val="both"/>
        <w:rPr>
          <w:sz w:val="25"/>
        </w:rPr>
      </w:pPr>
      <w:r>
        <w:rPr>
          <w:sz w:val="25"/>
        </w:rPr>
        <w:t>Henry, P. (2000). Do stock market liberalisation cause investment booms. </w:t>
      </w:r>
      <w:r>
        <w:rPr>
          <w:i/>
          <w:sz w:val="25"/>
        </w:rPr>
        <w:t>Journal of Financial Economics</w:t>
      </w:r>
      <w:r>
        <w:rPr>
          <w:sz w:val="25"/>
        </w:rPr>
        <w:t>, 58, 301 - 334.</w:t>
      </w:r>
    </w:p>
    <w:p>
      <w:pPr>
        <w:spacing w:after="0"/>
        <w:jc w:val="both"/>
        <w:rPr>
          <w:sz w:val="25"/>
        </w:rPr>
        <w:sectPr>
          <w:pgSz w:w="12240" w:h="15840"/>
          <w:pgMar w:header="0" w:footer="1012" w:top="1380" w:bottom="1200" w:left="1220" w:right="700"/>
        </w:sectPr>
      </w:pPr>
    </w:p>
    <w:p>
      <w:pPr>
        <w:pStyle w:val="BodyText"/>
        <w:tabs>
          <w:tab w:pos="815" w:val="left" w:leader="none"/>
          <w:tab w:pos="1583" w:val="left" w:leader="none"/>
          <w:tab w:pos="2541" w:val="left" w:leader="none"/>
          <w:tab w:pos="3697" w:val="left" w:leader="none"/>
          <w:tab w:pos="5078" w:val="left" w:leader="none"/>
          <w:tab w:pos="6234" w:val="left" w:leader="none"/>
          <w:tab w:pos="6822" w:val="left" w:leader="none"/>
          <w:tab w:pos="7892" w:val="left" w:leader="none"/>
          <w:tab w:pos="9088" w:val="left" w:leader="none"/>
        </w:tabs>
        <w:spacing w:before="60"/>
        <w:ind w:left="940" w:right="742" w:hanging="720"/>
      </w:pPr>
      <w:r>
        <w:rPr>
          <w:spacing w:val="-4"/>
        </w:rPr>
        <w:t>Ho,</w:t>
      </w:r>
      <w:r>
        <w:rPr/>
        <w:tab/>
      </w:r>
      <w:r>
        <w:rPr>
          <w:spacing w:val="-4"/>
        </w:rPr>
        <w:t>N.W.</w:t>
      </w:r>
      <w:r>
        <w:rPr/>
        <w:tab/>
      </w:r>
      <w:r>
        <w:rPr>
          <w:spacing w:val="-2"/>
        </w:rPr>
        <w:t>(2016).</w:t>
      </w:r>
      <w:r>
        <w:rPr/>
        <w:tab/>
      </w:r>
      <w:r>
        <w:rPr>
          <w:spacing w:val="-2"/>
        </w:rPr>
        <w:t>Financial</w:t>
      </w:r>
      <w:r>
        <w:rPr/>
        <w:tab/>
      </w:r>
      <w:r>
        <w:rPr>
          <w:spacing w:val="-2"/>
        </w:rPr>
        <w:t>integration:</w:t>
      </w:r>
      <w:r>
        <w:rPr/>
        <w:tab/>
      </w:r>
      <w:r>
        <w:rPr>
          <w:spacing w:val="-2"/>
        </w:rPr>
        <w:t>Concepts</w:t>
      </w:r>
      <w:r>
        <w:rPr/>
        <w:tab/>
      </w:r>
      <w:r>
        <w:rPr>
          <w:spacing w:val="-4"/>
        </w:rPr>
        <w:t>and</w:t>
      </w:r>
      <w:r>
        <w:rPr/>
        <w:tab/>
      </w:r>
      <w:r>
        <w:rPr>
          <w:spacing w:val="-2"/>
        </w:rPr>
        <w:t>impacts.</w:t>
      </w:r>
      <w:r>
        <w:rPr/>
        <w:tab/>
      </w:r>
      <w:r>
        <w:rPr>
          <w:spacing w:val="-2"/>
        </w:rPr>
        <w:t>Retrieved</w:t>
      </w:r>
      <w:r>
        <w:rPr/>
        <w:tab/>
      </w:r>
      <w:r>
        <w:rPr>
          <w:spacing w:val="-4"/>
        </w:rPr>
        <w:t>from </w:t>
      </w:r>
      <w:r>
        <w:rPr>
          <w:spacing w:val="-2"/>
        </w:rPr>
        <w:t>https://citeseerx.ist.psu.edu/viewdoc/download?doi=10.1.1.578.4238&amp;rep=rep1&amp;type</w:t>
      </w:r>
    </w:p>
    <w:p>
      <w:pPr>
        <w:pStyle w:val="BodyText"/>
        <w:spacing w:line="286" w:lineRule="exact"/>
        <w:ind w:left="940"/>
      </w:pPr>
      <w:r>
        <w:rPr>
          <w:spacing w:val="-2"/>
        </w:rPr>
        <w:t>=pdf.</w:t>
      </w:r>
    </w:p>
    <w:p>
      <w:pPr>
        <w:pStyle w:val="BodyText"/>
        <w:spacing w:before="240"/>
        <w:ind w:left="940" w:right="804" w:hanging="720"/>
      </w:pPr>
      <w:r>
        <w:rPr/>
        <w:t>Honig,</w:t>
      </w:r>
      <w:r>
        <w:rPr>
          <w:spacing w:val="40"/>
        </w:rPr>
        <w:t> </w:t>
      </w:r>
      <w:r>
        <w:rPr/>
        <w:t>H.</w:t>
      </w:r>
      <w:r>
        <w:rPr>
          <w:spacing w:val="40"/>
        </w:rPr>
        <w:t> </w:t>
      </w:r>
      <w:r>
        <w:rPr/>
        <w:t>(2008).</w:t>
      </w:r>
      <w:r>
        <w:rPr>
          <w:spacing w:val="40"/>
        </w:rPr>
        <w:t> </w:t>
      </w:r>
      <w:r>
        <w:rPr/>
        <w:t>Addressing</w:t>
      </w:r>
      <w:r>
        <w:rPr>
          <w:spacing w:val="40"/>
        </w:rPr>
        <w:t> </w:t>
      </w:r>
      <w:r>
        <w:rPr/>
        <w:t>causality</w:t>
      </w:r>
      <w:r>
        <w:rPr>
          <w:spacing w:val="40"/>
        </w:rPr>
        <w:t> </w:t>
      </w:r>
      <w:r>
        <w:rPr/>
        <w:t>in</w:t>
      </w:r>
      <w:r>
        <w:rPr>
          <w:spacing w:val="40"/>
        </w:rPr>
        <w:t> </w:t>
      </w:r>
      <w:r>
        <w:rPr/>
        <w:t>the</w:t>
      </w:r>
      <w:r>
        <w:rPr>
          <w:spacing w:val="40"/>
        </w:rPr>
        <w:t> </w:t>
      </w:r>
      <w:r>
        <w:rPr/>
        <w:t>effect</w:t>
      </w:r>
      <w:r>
        <w:rPr>
          <w:spacing w:val="40"/>
        </w:rPr>
        <w:t> </w:t>
      </w:r>
      <w:r>
        <w:rPr/>
        <w:t>of</w:t>
      </w:r>
      <w:r>
        <w:rPr>
          <w:spacing w:val="40"/>
        </w:rPr>
        <w:t> </w:t>
      </w:r>
      <w:r>
        <w:rPr/>
        <w:t>capital</w:t>
      </w:r>
      <w:r>
        <w:rPr>
          <w:spacing w:val="40"/>
        </w:rPr>
        <w:t> </w:t>
      </w:r>
      <w:r>
        <w:rPr/>
        <w:t>account</w:t>
      </w:r>
      <w:r>
        <w:rPr>
          <w:spacing w:val="40"/>
        </w:rPr>
        <w:t> </w:t>
      </w:r>
      <w:r>
        <w:rPr/>
        <w:t>liberalization</w:t>
      </w:r>
      <w:r>
        <w:rPr>
          <w:spacing w:val="40"/>
        </w:rPr>
        <w:t> </w:t>
      </w:r>
      <w:r>
        <w:rPr/>
        <w:t>on growth. </w:t>
      </w:r>
      <w:r>
        <w:rPr>
          <w:i/>
        </w:rPr>
        <w:t>Journal of Macroeconomics</w:t>
      </w:r>
      <w:r>
        <w:rPr/>
        <w:t>, 1 - 15.</w:t>
      </w:r>
    </w:p>
    <w:p>
      <w:pPr>
        <w:spacing w:line="276" w:lineRule="auto" w:before="241"/>
        <w:ind w:left="940" w:right="739" w:hanging="720"/>
        <w:jc w:val="both"/>
        <w:rPr>
          <w:sz w:val="25"/>
        </w:rPr>
      </w:pPr>
      <w:r>
        <w:rPr/>
        <mc:AlternateContent>
          <mc:Choice Requires="wps">
            <w:drawing>
              <wp:anchor distT="0" distB="0" distL="0" distR="0" allowOverlap="1" layoutInCell="1" locked="0" behindDoc="1" simplePos="0" relativeHeight="478114816">
                <wp:simplePos x="0" y="0"/>
                <wp:positionH relativeFrom="page">
                  <wp:posOffset>950112</wp:posOffset>
                </wp:positionH>
                <wp:positionV relativeFrom="paragraph">
                  <wp:posOffset>218675</wp:posOffset>
                </wp:positionV>
                <wp:extent cx="5505450" cy="5661025"/>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7.218578pt;width:433.5pt;height:445.75pt;mso-position-horizontal-relative:page;mso-position-vertical-relative:paragraph;z-index:-25201664" id="docshape224" coordorigin="1496,344" coordsize="8670,8915" path="m2562,9064l1691,8193,1496,8388,2367,9259,2562,9064xm3154,8388l3153,8349,3148,8306,3139,8262,3125,8218,3106,8174,3083,8131,3055,8089,3025,8048,2991,8008,2954,7969,2435,7449,2241,7643,2772,8175,2805,8211,2829,8246,2846,8281,2856,8315,2858,8348,2851,8379,2837,8407,2816,8433,2790,8455,2761,8469,2730,8475,2697,8473,2663,8463,2628,8447,2593,8422,2557,8390,2026,7859,1831,8053,2351,8572,2385,8604,2424,8637,2468,8669,2516,8702,2548,8720,2583,8736,2620,8749,2658,8760,2697,8768,2733,8772,2767,8772,2800,8769,2831,8761,2863,8750,2895,8734,2926,8713,2957,8690,2985,8667,3011,8644,3035,8621,3071,8581,3102,8540,3125,8499,3142,8457,3150,8424,3154,8388xm3882,7605l3876,7541,3860,7475,3834,7408,3806,7354,3771,7298,3728,7240,3678,7181,3661,7163,3621,7121,3597,7099,3597,7593,3592,7633,3577,7670,3551,7703,3518,7728,3481,7743,3441,7748,3396,7741,3347,7723,3294,7692,3235,7646,3171,7587,3112,7523,3066,7464,3035,7410,3016,7361,3010,7317,3014,7276,3029,7240,3053,7209,3086,7183,3122,7168,3163,7163,3207,7168,3255,7185,3307,7215,3363,7257,3423,7312,3488,7382,3538,7445,3572,7501,3591,7549,3597,7593,3597,7099,3551,7056,3482,7001,3413,6956,3344,6920,3276,6895,3209,6879,3130,6873,3055,6883,2983,6909,2914,6949,2850,7005,2796,7068,2756,7136,2732,7207,2723,7283,2729,7363,2746,7431,2772,7500,2808,7570,2854,7640,2910,7710,2976,7781,3036,7838,3096,7888,3156,7930,3215,7964,3273,7992,3344,8016,3411,8030,3475,8033,3535,8027,3593,8011,3649,7984,3705,7946,3758,7898,3805,7844,3841,7788,3858,7748,3866,7729,3879,7668,3882,7605xm4153,7025l3966,6838,3712,7092,3899,7279,4153,7025xm4664,6963l3793,6091,3598,6286,4469,7158,4664,6963xm4998,6628l4675,6305,4781,6198,4832,6139,4837,6129,4866,6077,4883,6014,4882,5949,4866,5883,4843,5832,4836,5818,4792,5752,4733,5686,4670,5628,4607,5585,4598,5581,4598,5974,4597,6000,4587,6026,4570,6053,4546,6081,4498,6129,4304,5934,4359,5879,4386,5855,4412,5840,4438,5832,4462,5833,4486,5839,4509,5850,4531,5864,4552,5883,4570,5904,4584,5927,4593,5950,4598,5974,4598,5581,4544,5556,4483,5540,4423,5539,4365,5554,4309,5584,4255,5629,3931,5953,4803,6824,4998,6628xm5788,5839l5132,5183,5330,4984,5115,4769,4524,5361,4739,5576,4937,5377,5593,6033,5788,5839xm6423,5203l5767,4547,5966,4349,5751,4134,5159,4725,5374,4940,5573,4742,6229,5398,6423,5203xm7157,4330l7151,4266,7135,4200,7109,4133,7081,4079,7046,4023,7003,3966,6953,3907,6935,3888,6896,3846,6872,3824,6872,4318,6867,4358,6851,4395,6825,4428,6793,4453,6756,4468,6716,4473,6671,4466,6622,4448,6569,4417,6510,4372,6446,4313,6387,4249,6341,4189,6309,4135,6291,4086,6285,4042,6289,4001,6304,3966,6328,3934,6361,3908,6397,3893,6438,3888,6482,3893,6530,3910,6582,3940,6638,3982,6698,4037,6763,4107,6813,4170,6847,4226,6866,4274,6872,4318,6872,3824,6826,3781,6756,3726,6687,3681,6619,3646,6551,3620,6483,3604,6405,3598,6329,3608,6258,3634,6189,3674,6125,3730,6071,3793,6031,3861,6007,3933,5998,4008,6004,4088,6021,4156,6047,4225,6083,4295,6129,4365,6184,4435,6250,4506,6311,4563,6371,4613,6431,4655,6490,4690,6548,4717,6619,4741,6686,4755,6750,4758,6810,4752,6868,4736,6924,4709,6979,4671,7033,4623,7080,4569,7116,4513,7133,4473,7141,4454,7154,4393,7157,4330xm8170,3334l8165,3286,8153,3235,8134,3182,8109,3128,8079,3072,8041,3015,7980,3040,7799,3114,7831,3160,7855,3204,7873,3244,7884,3281,7887,3317,7881,3350,7866,3381,7843,3410,7812,3433,7778,3447,7740,3451,7700,3445,7653,3427,7600,3393,7538,3343,7469,3279,7417,3222,7375,3170,7344,3123,7324,3080,7311,3028,7312,2982,7325,2941,7352,2905,7367,2892,7384,2882,7402,2874,7422,2869,7442,2867,7464,2867,7486,2870,7509,2877,7524,2882,7542,2891,7563,2902,7586,2916,7705,2691,7622,2645,7543,2613,7469,2594,7400,2588,7333,2595,7269,2618,7206,2656,7146,2708,7092,2771,7054,2838,7030,2908,7021,2982,7027,3059,7044,3126,7070,3194,7106,3263,7153,3333,7209,3404,7276,3475,7341,3536,7404,3588,7467,3632,7529,3667,7590,3695,7662,3718,7730,3731,7791,3734,7847,3727,7900,3710,7952,3683,8004,3647,8056,3600,8094,3558,8125,3515,8147,3471,8161,3427,8169,3382,8170,3334xm8868,2619l8861,2555,8846,2489,8820,2423,8792,2368,8757,2312,8714,2255,8664,2196,8646,2177,8607,2135,8583,2113,8583,2607,8578,2647,8562,2684,8536,2717,8504,2742,8467,2757,8427,2762,8382,2756,8333,2737,8279,2706,8221,2661,8157,2602,8098,2538,8052,2479,8020,2424,8002,2375,7996,2331,8000,2291,8014,2255,8039,2223,8071,2198,8108,2182,8149,2177,8193,2182,8241,2199,8293,2229,8349,2271,8409,2326,8474,2396,8524,2459,8558,2515,8577,2564,8583,2607,8583,2113,8537,2070,8467,2015,8398,1970,8330,1935,8262,1909,8194,1893,8116,1887,8040,1898,7968,1923,7900,1964,7835,2019,7781,2082,7742,2150,7718,2222,7709,2298,7715,2377,7731,2446,7758,2514,7794,2584,7839,2654,7895,2724,7961,2795,8022,2852,8082,2902,8142,2944,8201,2979,8259,3006,8329,3030,8397,3044,8461,3047,8521,3041,8579,3025,8635,2998,8690,2960,8744,2912,8791,2858,8827,2802,8844,2762,8852,2743,8865,2682,8868,2619xm9348,2278l9025,1955,9132,1848,9182,1788,9188,1778,9216,1727,9233,1663,9233,1599,9217,1533,9194,1482,9187,1467,9142,1401,9084,1335,9020,1278,8957,1235,8948,1231,8948,1624,8947,1650,8938,1676,8921,1703,8896,1731,8849,1778,8654,1584,8710,1529,8737,1505,8763,1490,8788,1482,8812,1483,8836,1489,8859,1500,8881,1514,8902,1533,8920,1554,8934,1577,8943,1600,8948,1624,8948,1231,8895,1206,8833,1190,8773,1189,8715,1203,8659,1234,8605,1279,8282,1602,9153,2474,9348,2278xm10166,1460l9801,1096,9748,945,9593,494,9540,344,9325,560,9353,630,9436,841,9492,981,9422,953,9211,870,9071,814,8854,1030,9005,1082,9456,1238,9606,1291,9971,1655,10166,1460xe" filled="true" fillcolor="#c0c0c0" stroked="false">
                <v:path arrowok="t"/>
                <v:fill opacity="32896f" type="solid"/>
                <w10:wrap type="none"/>
              </v:shape>
            </w:pict>
          </mc:Fallback>
        </mc:AlternateContent>
      </w:r>
      <w:r>
        <w:rPr>
          <w:sz w:val="25"/>
        </w:rPr>
        <w:t>Ibrahim T. R., &amp; Akinbobola, T. O. (2017). Foreign portfolio investment and economic growth in Nigeria: Democratic Settings. </w:t>
      </w:r>
      <w:r>
        <w:rPr>
          <w:i/>
          <w:sz w:val="25"/>
        </w:rPr>
        <w:t>Journal of Economics and Sustainable Development, </w:t>
      </w:r>
      <w:r>
        <w:rPr>
          <w:sz w:val="25"/>
        </w:rPr>
        <w:t>8(5), 33-52.</w:t>
      </w:r>
    </w:p>
    <w:p>
      <w:pPr>
        <w:spacing w:before="239"/>
        <w:ind w:left="940" w:right="747" w:hanging="720"/>
        <w:jc w:val="both"/>
        <w:rPr>
          <w:sz w:val="25"/>
        </w:rPr>
      </w:pPr>
      <w:r>
        <w:rPr/>
        <mc:AlternateContent>
          <mc:Choice Requires="wps">
            <w:drawing>
              <wp:anchor distT="0" distB="0" distL="0" distR="0" allowOverlap="1" layoutInCell="1" locked="0" behindDoc="1" simplePos="0" relativeHeight="478115328">
                <wp:simplePos x="0" y="0"/>
                <wp:positionH relativeFrom="page">
                  <wp:posOffset>896416</wp:posOffset>
                </wp:positionH>
                <wp:positionV relativeFrom="paragraph">
                  <wp:posOffset>152641</wp:posOffset>
                </wp:positionV>
                <wp:extent cx="5981065" cy="366395"/>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5981065" cy="366395"/>
                        </a:xfrm>
                        <a:custGeom>
                          <a:avLst/>
                          <a:gdLst/>
                          <a:ahLst/>
                          <a:cxnLst/>
                          <a:rect l="l" t="t" r="r" b="b"/>
                          <a:pathLst>
                            <a:path w="5981065" h="366395">
                              <a:moveTo>
                                <a:pt x="5981065" y="182956"/>
                              </a:moveTo>
                              <a:lnTo>
                                <a:pt x="0" y="182956"/>
                              </a:lnTo>
                              <a:lnTo>
                                <a:pt x="0" y="366141"/>
                              </a:lnTo>
                              <a:lnTo>
                                <a:pt x="5981065" y="366141"/>
                              </a:lnTo>
                              <a:lnTo>
                                <a:pt x="5981065" y="182956"/>
                              </a:lnTo>
                              <a:close/>
                            </a:path>
                            <a:path w="5981065" h="366395">
                              <a:moveTo>
                                <a:pt x="5981065" y="0"/>
                              </a:moveTo>
                              <a:lnTo>
                                <a:pt x="0" y="0"/>
                              </a:lnTo>
                              <a:lnTo>
                                <a:pt x="0" y="182880"/>
                              </a:lnTo>
                              <a:lnTo>
                                <a:pt x="5981065" y="182880"/>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2.019043pt;width:470.95pt;height:28.85pt;mso-position-horizontal-relative:page;mso-position-vertical-relative:paragraph;z-index:-25201152" id="docshape225" coordorigin="1412,240" coordsize="9419,577" path="m10831,529l1412,529,1412,817,10831,817,10831,529xm10831,240l1412,240,1412,528,10831,528,10831,240xe" filled="true" fillcolor="#ffffff" stroked="false">
                <v:path arrowok="t"/>
                <v:fill type="solid"/>
                <w10:wrap type="none"/>
              </v:shape>
            </w:pict>
          </mc:Fallback>
        </mc:AlternateContent>
      </w:r>
      <w:r>
        <w:rPr>
          <w:sz w:val="25"/>
        </w:rPr>
        <w:t>Illyas, M., &amp; Siddiqi, M. W (2010). The impact of revenue gap on economic growth: A case study of Pakistan. </w:t>
      </w:r>
      <w:r>
        <w:rPr>
          <w:i/>
          <w:sz w:val="25"/>
        </w:rPr>
        <w:t>International Journal of Human and Social Sciences, </w:t>
      </w:r>
      <w:r>
        <w:rPr>
          <w:sz w:val="25"/>
        </w:rPr>
        <w:t>5:11.</w:t>
      </w:r>
    </w:p>
    <w:p>
      <w:pPr>
        <w:pStyle w:val="BodyText"/>
        <w:spacing w:before="240"/>
      </w:pPr>
      <w:r>
        <w:rPr/>
        <w:t>IMF</w:t>
      </w:r>
      <w:r>
        <w:rPr>
          <w:spacing w:val="-4"/>
        </w:rPr>
        <w:t> </w:t>
      </w:r>
      <w:r>
        <w:rPr/>
        <w:t>(2016).</w:t>
      </w:r>
      <w:r>
        <w:rPr>
          <w:spacing w:val="-4"/>
        </w:rPr>
        <w:t> </w:t>
      </w:r>
      <w:r>
        <w:rPr/>
        <w:t>Financial</w:t>
      </w:r>
      <w:r>
        <w:rPr>
          <w:spacing w:val="-5"/>
        </w:rPr>
        <w:t> </w:t>
      </w:r>
      <w:r>
        <w:rPr/>
        <w:t>integration</w:t>
      </w:r>
      <w:r>
        <w:rPr>
          <w:spacing w:val="-4"/>
        </w:rPr>
        <w:t> </w:t>
      </w:r>
      <w:r>
        <w:rPr/>
        <w:t>in</w:t>
      </w:r>
      <w:r>
        <w:rPr>
          <w:spacing w:val="-4"/>
        </w:rPr>
        <w:t> </w:t>
      </w:r>
      <w:r>
        <w:rPr/>
        <w:t>Latin</w:t>
      </w:r>
      <w:r>
        <w:rPr>
          <w:spacing w:val="-4"/>
        </w:rPr>
        <w:t> </w:t>
      </w:r>
      <w:r>
        <w:rPr/>
        <w:t>America.</w:t>
      </w:r>
      <w:r>
        <w:rPr>
          <w:spacing w:val="-5"/>
        </w:rPr>
        <w:t> </w:t>
      </w:r>
      <w:r>
        <w:rPr/>
        <w:t>The</w:t>
      </w:r>
      <w:r>
        <w:rPr>
          <w:spacing w:val="-5"/>
        </w:rPr>
        <w:t> </w:t>
      </w:r>
      <w:r>
        <w:rPr/>
        <w:t>Staff</w:t>
      </w:r>
      <w:r>
        <w:rPr>
          <w:spacing w:val="-4"/>
        </w:rPr>
        <w:t> </w:t>
      </w:r>
      <w:r>
        <w:rPr/>
        <w:t>Report</w:t>
      </w:r>
      <w:r>
        <w:rPr>
          <w:spacing w:val="3"/>
        </w:rPr>
        <w:t> </w:t>
      </w:r>
      <w:r>
        <w:rPr/>
        <w:t>Prepared</w:t>
      </w:r>
      <w:r>
        <w:rPr>
          <w:spacing w:val="-5"/>
        </w:rPr>
        <w:t> </w:t>
      </w:r>
      <w:r>
        <w:rPr/>
        <w:t>by</w:t>
      </w:r>
      <w:r>
        <w:rPr>
          <w:spacing w:val="-4"/>
        </w:rPr>
        <w:t> </w:t>
      </w:r>
      <w:r>
        <w:rPr/>
        <w:t>IMF</w:t>
      </w:r>
      <w:r>
        <w:rPr>
          <w:spacing w:val="-4"/>
        </w:rPr>
        <w:t> </w:t>
      </w:r>
      <w:r>
        <w:rPr>
          <w:spacing w:val="-2"/>
        </w:rPr>
        <w:t>Staff.</w:t>
      </w:r>
    </w:p>
    <w:p>
      <w:pPr>
        <w:pStyle w:val="BodyText"/>
        <w:ind w:left="940"/>
      </w:pPr>
      <w:r>
        <w:rPr>
          <w:spacing w:val="-2"/>
        </w:rPr>
        <w:t>1–197.</w:t>
      </w:r>
    </w:p>
    <w:p>
      <w:pPr>
        <w:spacing w:before="241"/>
        <w:ind w:left="940" w:right="737" w:hanging="720"/>
        <w:jc w:val="both"/>
        <w:rPr>
          <w:sz w:val="25"/>
        </w:rPr>
      </w:pPr>
      <w:r>
        <w:rPr>
          <w:sz w:val="25"/>
        </w:rPr>
        <w:t>Inanga, E. L. &amp; Mandah, E. (2008). Foreign aid finance and economic development: The Case of Two Foreign Aid Financing Agencies in Zambia: </w:t>
      </w:r>
      <w:r>
        <w:rPr>
          <w:i/>
          <w:sz w:val="25"/>
        </w:rPr>
        <w:t>International Research Journal of Financial Economics</w:t>
      </w:r>
      <w:r>
        <w:rPr>
          <w:sz w:val="25"/>
        </w:rPr>
        <w:t>, 14, 322-358.</w:t>
      </w:r>
    </w:p>
    <w:p>
      <w:pPr>
        <w:pStyle w:val="BodyText"/>
        <w:spacing w:before="239"/>
        <w:ind w:left="940" w:right="737" w:hanging="720"/>
        <w:jc w:val="both"/>
      </w:pPr>
      <w:r>
        <w:rPr/>
        <w:t>International Monetary Fund (2001), </w:t>
      </w:r>
      <w:r>
        <w:rPr>
          <w:i/>
        </w:rPr>
        <w:t>World Economic Outlook</w:t>
      </w:r>
      <w:r>
        <w:rPr/>
        <w:t>, October, World Economic and Financial Surveys (International Monetary Fund, Washington).</w:t>
      </w:r>
    </w:p>
    <w:p>
      <w:pPr>
        <w:pStyle w:val="BodyText"/>
        <w:spacing w:line="276" w:lineRule="auto" w:before="241"/>
        <w:ind w:left="940" w:right="737" w:hanging="720"/>
        <w:jc w:val="both"/>
      </w:pPr>
      <w:r>
        <w:rPr/>
        <w:t>Iriobe, G. O., Obamuyi, T. M., &amp; Abayomi, M. A. (2018). Foreign portfolio equity investment and the performance of the Nigerian Stock Market: A sectoral distribution analysis. </w:t>
      </w:r>
      <w:r>
        <w:rPr>
          <w:i/>
        </w:rPr>
        <w:t>International Business and Management, </w:t>
      </w:r>
      <w:r>
        <w:rPr/>
        <w:t>16(1), 29-38.</w:t>
      </w:r>
    </w:p>
    <w:p>
      <w:pPr>
        <w:pStyle w:val="BodyText"/>
        <w:spacing w:before="240"/>
      </w:pPr>
      <w:r>
        <w:rPr/>
        <w:t>Jappelli,</w:t>
      </w:r>
      <w:r>
        <w:rPr>
          <w:spacing w:val="56"/>
          <w:w w:val="150"/>
        </w:rPr>
        <w:t> </w:t>
      </w:r>
      <w:r>
        <w:rPr/>
        <w:t>T.,</w:t>
      </w:r>
      <w:r>
        <w:rPr>
          <w:spacing w:val="55"/>
          <w:w w:val="150"/>
        </w:rPr>
        <w:t> </w:t>
      </w:r>
      <w:r>
        <w:rPr/>
        <w:t>&amp;</w:t>
      </w:r>
      <w:r>
        <w:rPr>
          <w:spacing w:val="55"/>
          <w:w w:val="150"/>
        </w:rPr>
        <w:t> </w:t>
      </w:r>
      <w:r>
        <w:rPr/>
        <w:t>Pagano,</w:t>
      </w:r>
      <w:r>
        <w:rPr>
          <w:spacing w:val="55"/>
          <w:w w:val="150"/>
        </w:rPr>
        <w:t> </w:t>
      </w:r>
      <w:r>
        <w:rPr/>
        <w:t>M.</w:t>
      </w:r>
      <w:r>
        <w:rPr>
          <w:spacing w:val="54"/>
          <w:w w:val="150"/>
        </w:rPr>
        <w:t> </w:t>
      </w:r>
      <w:r>
        <w:rPr/>
        <w:t>(2008).</w:t>
      </w:r>
      <w:r>
        <w:rPr>
          <w:spacing w:val="55"/>
          <w:w w:val="150"/>
        </w:rPr>
        <w:t> </w:t>
      </w:r>
      <w:r>
        <w:rPr/>
        <w:t>Financial</w:t>
      </w:r>
      <w:r>
        <w:rPr>
          <w:spacing w:val="54"/>
          <w:w w:val="150"/>
        </w:rPr>
        <w:t> </w:t>
      </w:r>
      <w:r>
        <w:rPr/>
        <w:t>market</w:t>
      </w:r>
      <w:r>
        <w:rPr>
          <w:spacing w:val="56"/>
          <w:w w:val="150"/>
        </w:rPr>
        <w:t> </w:t>
      </w:r>
      <w:r>
        <w:rPr/>
        <w:t>integration</w:t>
      </w:r>
      <w:r>
        <w:rPr>
          <w:spacing w:val="57"/>
          <w:w w:val="150"/>
        </w:rPr>
        <w:t> </w:t>
      </w:r>
      <w:r>
        <w:rPr/>
        <w:t>under</w:t>
      </w:r>
      <w:r>
        <w:rPr>
          <w:spacing w:val="56"/>
          <w:w w:val="150"/>
        </w:rPr>
        <w:t> </w:t>
      </w:r>
      <w:r>
        <w:rPr/>
        <w:t>EMU.</w:t>
      </w:r>
      <w:r>
        <w:rPr>
          <w:spacing w:val="55"/>
          <w:w w:val="150"/>
        </w:rPr>
        <w:t> </w:t>
      </w:r>
      <w:r>
        <w:rPr>
          <w:spacing w:val="-4"/>
        </w:rPr>
        <w:t>CEPR</w:t>
      </w:r>
    </w:p>
    <w:p>
      <w:pPr>
        <w:spacing w:before="0"/>
        <w:ind w:left="940" w:right="0" w:firstLine="0"/>
        <w:jc w:val="left"/>
        <w:rPr>
          <w:sz w:val="25"/>
        </w:rPr>
      </w:pPr>
      <w:r>
        <w:rPr>
          <w:i/>
          <w:sz w:val="25"/>
        </w:rPr>
        <w:t>Discussion</w:t>
      </w:r>
      <w:r>
        <w:rPr>
          <w:i/>
          <w:spacing w:val="-8"/>
          <w:sz w:val="25"/>
        </w:rPr>
        <w:t> </w:t>
      </w:r>
      <w:r>
        <w:rPr>
          <w:i/>
          <w:sz w:val="25"/>
        </w:rPr>
        <w:t>Paper</w:t>
      </w:r>
      <w:r>
        <w:rPr>
          <w:i/>
          <w:spacing w:val="-6"/>
          <w:sz w:val="25"/>
        </w:rPr>
        <w:t> </w:t>
      </w:r>
      <w:r>
        <w:rPr>
          <w:i/>
          <w:sz w:val="25"/>
        </w:rPr>
        <w:t>No.</w:t>
      </w:r>
      <w:r>
        <w:rPr>
          <w:i/>
          <w:spacing w:val="-7"/>
          <w:sz w:val="25"/>
        </w:rPr>
        <w:t> </w:t>
      </w:r>
      <w:r>
        <w:rPr>
          <w:i/>
          <w:spacing w:val="-2"/>
          <w:sz w:val="25"/>
        </w:rPr>
        <w:t>7091</w:t>
      </w:r>
      <w:r>
        <w:rPr>
          <w:spacing w:val="-2"/>
          <w:sz w:val="25"/>
        </w:rPr>
        <w:t>.</w:t>
      </w:r>
    </w:p>
    <w:p>
      <w:pPr>
        <w:spacing w:before="241"/>
        <w:ind w:left="940" w:right="739" w:hanging="720"/>
        <w:jc w:val="both"/>
        <w:rPr>
          <w:sz w:val="25"/>
        </w:rPr>
      </w:pPr>
      <w:r>
        <w:rPr>
          <w:sz w:val="25"/>
        </w:rPr>
        <w:t>Jayaratne J., &amp; Strahan, P. (1996). The finance-growth nexus: Evidence from bank branch deregulation. </w:t>
      </w:r>
      <w:r>
        <w:rPr>
          <w:i/>
          <w:sz w:val="25"/>
        </w:rPr>
        <w:t>Quarterly Journal of Economics</w:t>
      </w:r>
      <w:r>
        <w:rPr>
          <w:sz w:val="25"/>
        </w:rPr>
        <w:t>, 111, 639 - 670.</w:t>
      </w:r>
    </w:p>
    <w:p>
      <w:pPr>
        <w:spacing w:before="239"/>
        <w:ind w:left="940" w:right="740" w:hanging="720"/>
        <w:jc w:val="both"/>
        <w:rPr>
          <w:sz w:val="25"/>
        </w:rPr>
      </w:pPr>
      <w:r>
        <w:rPr>
          <w:sz w:val="25"/>
        </w:rPr>
        <w:t>Jhinghan M.L. (2005), </w:t>
      </w:r>
      <w:r>
        <w:rPr>
          <w:i/>
          <w:sz w:val="25"/>
        </w:rPr>
        <w:t>Economics of development and planning, 38</w:t>
      </w:r>
      <w:r>
        <w:rPr>
          <w:i/>
          <w:sz w:val="25"/>
          <w:vertAlign w:val="superscript"/>
        </w:rPr>
        <w:t>th</w:t>
      </w:r>
      <w:r>
        <w:rPr>
          <w:i/>
          <w:sz w:val="25"/>
          <w:vertAlign w:val="baseline"/>
        </w:rPr>
        <w:t> edition, </w:t>
      </w:r>
      <w:r>
        <w:rPr>
          <w:sz w:val="25"/>
          <w:vertAlign w:val="baseline"/>
        </w:rPr>
        <w:t>New Delhi: Vikas Publishing House PVT Ltd.</w:t>
      </w:r>
    </w:p>
    <w:p>
      <w:pPr>
        <w:pStyle w:val="BodyText"/>
        <w:spacing w:before="241"/>
        <w:ind w:left="940" w:right="738" w:hanging="720"/>
        <w:jc w:val="both"/>
      </w:pPr>
      <w:r>
        <w:rPr/>
        <w:t>Jim, L.K. (2017). Financial integration in the EU: An empirical analysis of the associated economic benefits. </w:t>
      </w:r>
      <w:r>
        <w:rPr>
          <w:i/>
        </w:rPr>
        <w:t>M.Sc. Thesis</w:t>
      </w:r>
      <w:r>
        <w:rPr/>
        <w:t>, Erasmus University Rotterdam.</w:t>
      </w:r>
    </w:p>
    <w:p>
      <w:pPr>
        <w:pStyle w:val="BodyText"/>
        <w:spacing w:before="239"/>
        <w:ind w:left="940" w:right="736" w:hanging="720"/>
        <w:jc w:val="both"/>
      </w:pPr>
      <w:r>
        <w:rPr/>
        <w:t>Kalemli-Ozcan S., Sorensen, B.E., &amp; Yosha, O. (2013). Risk sharing and industrial specialization: Regional and international evidence. </w:t>
      </w:r>
      <w:r>
        <w:rPr>
          <w:i/>
        </w:rPr>
        <w:t>American Economic Review</w:t>
      </w:r>
      <w:r>
        <w:rPr/>
        <w:t>, 93, 903 - 918.</w:t>
      </w:r>
    </w:p>
    <w:p>
      <w:pPr>
        <w:spacing w:after="0"/>
        <w:jc w:val="both"/>
        <w:sectPr>
          <w:pgSz w:w="12240" w:h="15840"/>
          <w:pgMar w:header="0" w:footer="1012" w:top="1380" w:bottom="1200" w:left="1220" w:right="700"/>
        </w:sectPr>
      </w:pPr>
    </w:p>
    <w:p>
      <w:pPr>
        <w:spacing w:before="60"/>
        <w:ind w:left="940" w:right="740" w:hanging="720"/>
        <w:jc w:val="both"/>
        <w:rPr>
          <w:sz w:val="25"/>
        </w:rPr>
      </w:pPr>
      <w:r>
        <w:rPr>
          <w:sz w:val="25"/>
        </w:rPr>
        <w:t>Kalemli-Ozcan, S., &amp; Manganelli, S. (2008). Financial integration and risk sharing: The role of the Monetary Union. </w:t>
      </w:r>
      <w:r>
        <w:rPr>
          <w:i/>
          <w:sz w:val="25"/>
        </w:rPr>
        <w:t>5th European Central Banking Conference on The Euro at Ten: Lessons and Challenges, </w:t>
      </w:r>
      <w:r>
        <w:rPr>
          <w:sz w:val="25"/>
        </w:rPr>
        <w:t>Frankfurt: ECB.</w:t>
      </w:r>
    </w:p>
    <w:p>
      <w:pPr>
        <w:pStyle w:val="BodyText"/>
        <w:spacing w:before="239"/>
        <w:ind w:left="940" w:right="736" w:hanging="720"/>
        <w:jc w:val="both"/>
      </w:pPr>
      <w:r>
        <w:rPr/>
        <mc:AlternateContent>
          <mc:Choice Requires="wps">
            <w:drawing>
              <wp:anchor distT="0" distB="0" distL="0" distR="0" allowOverlap="1" layoutInCell="1" locked="0" behindDoc="1" simplePos="0" relativeHeight="478115840">
                <wp:simplePos x="0" y="0"/>
                <wp:positionH relativeFrom="page">
                  <wp:posOffset>950112</wp:posOffset>
                </wp:positionH>
                <wp:positionV relativeFrom="paragraph">
                  <wp:posOffset>735312</wp:posOffset>
                </wp:positionV>
                <wp:extent cx="5505450" cy="5661025"/>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57.898632pt;width:433.5pt;height:445.75pt;mso-position-horizontal-relative:page;mso-position-vertical-relative:paragraph;z-index:-25200640" id="docshape226" coordorigin="1496,1158" coordsize="8670,8915" path="m2562,9878l1691,9007,1496,9202,2367,10073,2562,9878xm3154,9202l3153,9162,3148,9119,3139,9076,3125,9032,3106,8988,3083,8945,3055,8902,3025,8861,2991,8821,2954,8782,2435,8263,2241,8457,2772,8989,2805,9025,2829,9060,2846,9095,2856,9129,2858,9162,2851,9192,2837,9221,2816,9247,2790,9269,2761,9283,2730,9288,2697,9286,2663,9277,2628,9260,2593,9236,2557,9204,2026,8672,1831,8866,2351,9386,2385,9418,2424,9450,2468,9483,2516,9515,2548,9534,2583,9550,2620,9563,2658,9574,2697,9582,2733,9585,2767,9586,2800,9582,2831,9575,2863,9563,2895,9547,2926,9527,2957,9504,2985,9481,3011,9458,3035,9435,3071,9395,3102,9354,3125,9312,3142,9270,3150,9238,3154,9202xm3882,8418l3876,8354,3860,8289,3834,8222,3806,8168,3771,8112,3728,8054,3678,7995,3661,7976,3621,7935,3597,7912,3597,8406,3592,8446,3577,8483,3551,8516,3518,8542,3481,8557,3441,8561,3396,8555,3347,8537,3294,8505,3235,8460,3171,8401,3112,8337,3066,8278,3035,8224,3016,8175,3010,8130,3014,8090,3029,8054,3053,8022,3086,7997,3122,7981,3163,7976,3207,7981,3255,7999,3307,8028,3363,8071,3423,8126,3488,8195,3538,8258,3572,8314,3591,8363,3597,8406,3597,7912,3551,7870,3482,7814,3413,7769,3344,7734,3276,7708,3209,7692,3130,7687,3055,7697,2983,7722,2914,7763,2850,7818,2796,7882,2756,7949,2732,8021,2723,8097,2729,8176,2746,8245,2772,8314,2808,8383,2854,8453,2910,8524,2976,8595,3036,8652,3096,8701,3156,8743,3215,8778,3273,8805,3344,8830,3411,8843,3475,8847,3535,8841,3593,8824,3649,8797,3705,8759,3758,8711,3805,8658,3841,8601,3858,8561,3866,8543,3879,8481,3882,8418xm4153,7839l3966,7652,3712,7906,3899,8093,4153,7839xm4664,7776l3793,6905,3598,7100,4469,7971,4664,7776xm4998,7442l4675,7119,4781,7012,4832,6952,4837,6942,4866,6891,4883,6827,4882,6763,4866,6697,4843,6646,4836,6631,4792,6565,4733,6499,4670,6442,4607,6399,4598,6395,4598,6788,4597,6814,4587,6840,4570,6867,4546,6895,4498,6942,4304,6748,4359,6692,4386,6669,4412,6654,4438,6646,4462,6647,4486,6653,4509,6663,4531,6678,4552,6696,4570,6718,4584,6740,4593,6764,4598,6788,4598,6395,4544,6370,4483,6354,4423,6353,4365,6367,4309,6397,4255,6443,3931,6766,4803,7637,4998,7442xm5788,6652l5132,5996,5330,5798,5115,5583,4524,6174,4739,6389,4937,6191,5593,6847,5788,6652xm6423,6017l5767,5361,5966,5162,5751,4947,5159,5539,5374,5754,5573,5555,6229,6211,6423,6017xm7157,5144l7151,5079,7135,5014,7109,4947,7081,4893,7046,4837,7003,4779,6953,4720,6935,4701,6896,4660,6872,4638,6872,5131,6867,5172,6851,5208,6825,5242,6793,5267,6756,5282,6716,5286,6671,5280,6622,5262,6569,5230,6510,5185,6446,5126,6387,5062,6341,5003,6309,4949,6291,4900,6285,4855,6289,4815,6304,4779,6328,4748,6361,4722,6397,4707,6438,4701,6482,4707,6530,4724,6582,4754,6638,4796,6698,4851,6763,4921,6813,4983,6847,5039,6866,5088,6872,5131,6872,4638,6826,4595,6756,4540,6687,4495,6619,4459,6551,4434,6483,4418,6405,4412,6329,4422,6258,4447,6189,4488,6125,4543,6071,4607,6031,4674,6007,4746,5998,4822,6004,4902,6021,4970,6047,5039,6083,5108,6129,5178,6184,5249,6250,5320,6311,5377,6371,5426,6431,5468,6490,5503,6548,5531,6619,5555,6686,5569,6750,5572,6810,5566,6868,5549,6924,5522,6979,5485,7033,5437,7080,5383,7116,5326,7133,5286,7141,5268,7154,5207,7157,5144xm8170,4148l8165,4099,8153,4049,8134,3996,8109,3942,8079,3886,8041,3829,7980,3853,7799,3928,7831,3974,7855,4017,7873,4058,7884,4095,7887,4130,7881,4163,7866,4194,7843,4223,7812,4247,7778,4261,7740,4265,7700,4259,7653,4240,7600,4206,7538,4157,7469,4092,7417,4036,7375,3984,7344,3937,7324,3894,7311,3842,7312,3796,7325,3755,7352,3719,7367,3706,7384,3695,7402,3687,7422,3683,7442,3681,7464,3681,7486,3684,7509,3690,7524,3696,7542,3704,7563,3715,7586,3730,7705,3505,7622,3459,7543,3427,7469,3408,7400,3401,7333,3409,7269,3432,7206,3470,7146,3522,7092,3585,7054,3651,7030,3721,7021,3795,7027,3873,7044,3940,7070,4008,7106,4077,7153,4147,7209,4217,7276,4289,7341,4350,7404,4402,7467,4445,7529,4481,7590,4508,7662,4532,7730,4545,7791,4547,7847,4541,7900,4524,7952,4497,8004,4460,8056,4414,8094,4371,8125,4328,8147,4285,8161,4240,8169,4195,8170,4148xm8868,3433l8861,3369,8846,3303,8820,3236,8792,3182,8757,3126,8714,3068,8664,3009,8646,2990,8607,2949,8583,2927,8583,3421,8578,3461,8562,3497,8536,3531,8504,3556,8467,3571,8427,3575,8382,3569,8333,3551,8279,3520,8221,3474,8157,3415,8098,3351,8052,3292,8020,3238,8002,3189,7996,3144,8000,3104,8014,3068,8039,3037,8071,3011,8108,2996,8149,2990,8193,2996,8241,3013,8293,3043,8349,3085,8409,3140,8474,3210,8524,3273,8558,3328,8577,3377,8583,3421,8583,2927,8537,2884,8467,2829,8398,2784,8330,2748,8262,2723,8194,2707,8116,2701,8040,2711,7968,2737,7900,2777,7835,2833,7781,2896,7742,2964,7718,3035,7709,3111,7715,3191,7731,3259,7758,3328,7794,3398,7839,3468,7895,3538,7961,3609,8022,3666,8082,3716,8142,3758,8201,3792,8259,3820,8329,3844,8397,3858,8461,3861,8521,3855,8579,3839,8635,3811,8690,3774,8744,3726,8791,3672,8827,3616,8844,3575,8852,3557,8865,3496,8868,3433xm9348,3092l9025,2768,9132,2662,9182,2602,9188,2592,9216,2540,9233,2477,9233,2412,9217,2347,9194,2296,9187,2281,9142,2215,9084,2149,9020,2092,8957,2049,8948,2045,8948,2438,8947,2463,8938,2490,8921,2517,8896,2544,8849,2592,8654,2398,8710,2342,8737,2319,8763,2303,8788,2296,8812,2296,8836,2303,8859,2313,8881,2328,8902,2346,8920,2368,8934,2390,8943,2414,8948,2438,8948,2045,8895,2019,8833,2003,8773,2002,8715,2017,8659,2047,8605,2092,8282,2416,9153,3287,9348,3092xm10166,2274l9801,1909,9748,1759,9593,1308,9540,1158,9325,1373,9353,1443,9436,1654,9492,1795,9422,1766,9211,1683,9071,1627,8854,1843,9005,1896,9456,2051,9606,2104,9971,2469,10166,2274xe" filled="true" fillcolor="#c0c0c0" stroked="false">
                <v:path arrowok="t"/>
                <v:fill opacity="32896f" type="solid"/>
                <w10:wrap type="none"/>
              </v:shape>
            </w:pict>
          </mc:Fallback>
        </mc:AlternateContent>
      </w:r>
      <w:r>
        <w:rPr/>
        <w:t>Kanu, S. I. (2015). Foreign capital inflows and economic growth in Sub-Saharan Africa: A Study of Selected Countries: Research Journal of Finance and Accounting.6, (1).1, </w:t>
      </w:r>
      <w:r>
        <w:rPr>
          <w:spacing w:val="-4"/>
        </w:rPr>
        <w:t>2015</w:t>
      </w:r>
    </w:p>
    <w:p>
      <w:pPr>
        <w:spacing w:before="239"/>
        <w:ind w:left="940" w:right="734" w:hanging="720"/>
        <w:jc w:val="both"/>
        <w:rPr>
          <w:sz w:val="25"/>
        </w:rPr>
      </w:pPr>
      <w:r>
        <w:rPr>
          <w:sz w:val="25"/>
        </w:rPr>
        <w:t>KchirJedidi, M., &amp; Mensi, S. (2010). Ouverture du compte de capital et ordonnancement des réformes économiques et financière. </w:t>
      </w:r>
      <w:r>
        <w:rPr>
          <w:i/>
          <w:sz w:val="25"/>
        </w:rPr>
        <w:t>VIIèmesJournées d'Economie Financière El MouradiGammarthTunis</w:t>
      </w:r>
      <w:r>
        <w:rPr>
          <w:sz w:val="25"/>
        </w:rPr>
        <w:t>, 14(15) 123 – 137.</w:t>
      </w:r>
    </w:p>
    <w:p>
      <w:pPr>
        <w:pStyle w:val="BodyText"/>
        <w:spacing w:line="276" w:lineRule="auto" w:before="242"/>
        <w:ind w:left="940" w:right="749" w:hanging="720"/>
        <w:jc w:val="both"/>
      </w:pPr>
      <w:r>
        <w:rPr/>
        <w:t>Keho, Y., &amp; Grace Wang, M. (2017). The impact of trade openness on economic growth: The case of Cote d’Ivoire. </w:t>
      </w:r>
      <w:r>
        <w:rPr>
          <w:i/>
        </w:rPr>
        <w:t>Cogent Economics &amp; Finance</w:t>
      </w:r>
      <w:r>
        <w:rPr/>
        <w:t>, </w:t>
      </w:r>
      <w:r>
        <w:rPr>
          <w:i/>
        </w:rPr>
        <w:t>5</w:t>
      </w:r>
      <w:r>
        <w:rPr/>
        <w:t>(1), 13 – 27.</w:t>
      </w:r>
    </w:p>
    <w:p>
      <w:pPr>
        <w:pStyle w:val="BodyText"/>
        <w:spacing w:before="239"/>
      </w:pPr>
      <w:r>
        <w:rPr/>
        <w:t>King,</w:t>
      </w:r>
      <w:r>
        <w:rPr>
          <w:spacing w:val="4"/>
        </w:rPr>
        <w:t> </w:t>
      </w:r>
      <w:r>
        <w:rPr/>
        <w:t>R.,</w:t>
      </w:r>
      <w:r>
        <w:rPr>
          <w:spacing w:val="5"/>
        </w:rPr>
        <w:t> </w:t>
      </w:r>
      <w:r>
        <w:rPr/>
        <w:t>&amp;</w:t>
      </w:r>
      <w:r>
        <w:rPr>
          <w:spacing w:val="5"/>
        </w:rPr>
        <w:t> </w:t>
      </w:r>
      <w:r>
        <w:rPr/>
        <w:t>Levine,</w:t>
      </w:r>
      <w:r>
        <w:rPr>
          <w:spacing w:val="4"/>
        </w:rPr>
        <w:t> </w:t>
      </w:r>
      <w:r>
        <w:rPr/>
        <w:t>R.</w:t>
      </w:r>
      <w:r>
        <w:rPr>
          <w:spacing w:val="8"/>
        </w:rPr>
        <w:t> </w:t>
      </w:r>
      <w:r>
        <w:rPr/>
        <w:t>(1993).</w:t>
      </w:r>
      <w:r>
        <w:rPr>
          <w:spacing w:val="5"/>
        </w:rPr>
        <w:t> </w:t>
      </w:r>
      <w:r>
        <w:rPr/>
        <w:t>Finance,</w:t>
      </w:r>
      <w:r>
        <w:rPr>
          <w:spacing w:val="4"/>
        </w:rPr>
        <w:t> </w:t>
      </w:r>
      <w:r>
        <w:rPr/>
        <w:t>entrepreneurship</w:t>
      </w:r>
      <w:r>
        <w:rPr>
          <w:spacing w:val="10"/>
        </w:rPr>
        <w:t> </w:t>
      </w:r>
      <w:r>
        <w:rPr/>
        <w:t>and</w:t>
      </w:r>
      <w:r>
        <w:rPr>
          <w:spacing w:val="4"/>
        </w:rPr>
        <w:t> </w:t>
      </w:r>
      <w:r>
        <w:rPr/>
        <w:t>growth:</w:t>
      </w:r>
      <w:r>
        <w:rPr>
          <w:spacing w:val="5"/>
        </w:rPr>
        <w:t> </w:t>
      </w:r>
      <w:r>
        <w:rPr/>
        <w:t>Theory</w:t>
      </w:r>
      <w:r>
        <w:rPr>
          <w:spacing w:val="6"/>
        </w:rPr>
        <w:t> </w:t>
      </w:r>
      <w:r>
        <w:rPr/>
        <w:t>and</w:t>
      </w:r>
      <w:r>
        <w:rPr>
          <w:spacing w:val="4"/>
        </w:rPr>
        <w:t> </w:t>
      </w:r>
      <w:r>
        <w:rPr>
          <w:spacing w:val="-2"/>
        </w:rPr>
        <w:t>evidence.</w:t>
      </w:r>
    </w:p>
    <w:p>
      <w:pPr>
        <w:spacing w:before="0"/>
        <w:ind w:left="940" w:right="0" w:firstLine="0"/>
        <w:jc w:val="left"/>
        <w:rPr>
          <w:sz w:val="25"/>
        </w:rPr>
      </w:pPr>
      <w:r>
        <w:rPr>
          <w:i/>
          <w:sz w:val="25"/>
        </w:rPr>
        <w:t>Journal</w:t>
      </w:r>
      <w:r>
        <w:rPr>
          <w:i/>
          <w:spacing w:val="-7"/>
          <w:sz w:val="25"/>
        </w:rPr>
        <w:t> </w:t>
      </w:r>
      <w:r>
        <w:rPr>
          <w:i/>
          <w:sz w:val="25"/>
        </w:rPr>
        <w:t>of</w:t>
      </w:r>
      <w:r>
        <w:rPr>
          <w:i/>
          <w:spacing w:val="-7"/>
          <w:sz w:val="25"/>
        </w:rPr>
        <w:t> </w:t>
      </w:r>
      <w:r>
        <w:rPr>
          <w:i/>
          <w:sz w:val="25"/>
        </w:rPr>
        <w:t>Monetary</w:t>
      </w:r>
      <w:r>
        <w:rPr>
          <w:i/>
          <w:spacing w:val="-7"/>
          <w:sz w:val="25"/>
        </w:rPr>
        <w:t> </w:t>
      </w:r>
      <w:r>
        <w:rPr>
          <w:i/>
          <w:sz w:val="25"/>
        </w:rPr>
        <w:t>Economics</w:t>
      </w:r>
      <w:r>
        <w:rPr>
          <w:sz w:val="25"/>
        </w:rPr>
        <w:t>,</w:t>
      </w:r>
      <w:r>
        <w:rPr>
          <w:spacing w:val="-6"/>
          <w:sz w:val="25"/>
        </w:rPr>
        <w:t> </w:t>
      </w:r>
      <w:r>
        <w:rPr>
          <w:sz w:val="25"/>
        </w:rPr>
        <w:t>32</w:t>
      </w:r>
      <w:r>
        <w:rPr>
          <w:spacing w:val="-7"/>
          <w:sz w:val="25"/>
        </w:rPr>
        <w:t> </w:t>
      </w:r>
      <w:r>
        <w:rPr>
          <w:sz w:val="25"/>
        </w:rPr>
        <w:t>(December),</w:t>
      </w:r>
      <w:r>
        <w:rPr>
          <w:spacing w:val="-7"/>
          <w:sz w:val="25"/>
        </w:rPr>
        <w:t> </w:t>
      </w:r>
      <w:r>
        <w:rPr>
          <w:sz w:val="25"/>
        </w:rPr>
        <w:t>513</w:t>
      </w:r>
      <w:r>
        <w:rPr>
          <w:spacing w:val="-4"/>
          <w:sz w:val="25"/>
        </w:rPr>
        <w:t> </w:t>
      </w:r>
      <w:r>
        <w:rPr>
          <w:sz w:val="25"/>
        </w:rPr>
        <w:t>-</w:t>
      </w:r>
      <w:r>
        <w:rPr>
          <w:spacing w:val="-6"/>
          <w:sz w:val="25"/>
        </w:rPr>
        <w:t> </w:t>
      </w:r>
      <w:r>
        <w:rPr>
          <w:spacing w:val="-4"/>
          <w:sz w:val="25"/>
        </w:rPr>
        <w:t>542.</w:t>
      </w:r>
    </w:p>
    <w:p>
      <w:pPr>
        <w:pStyle w:val="BodyText"/>
        <w:spacing w:before="241"/>
        <w:ind w:left="940" w:right="737" w:hanging="720"/>
        <w:jc w:val="both"/>
      </w:pPr>
      <w:r>
        <w:rPr/>
        <w:t>Kizito, U.E., &amp; Hooi, H.L. (2019). Do economic and financial integration stimulate</w:t>
      </w:r>
      <w:r>
        <w:rPr>
          <w:spacing w:val="40"/>
        </w:rPr>
        <w:t> </w:t>
      </w:r>
      <w:r>
        <w:rPr/>
        <w:t>economic growth? A critical survey. Retrieved from </w:t>
      </w:r>
      <w:hyperlink r:id="rId10">
        <w:r>
          <w:rPr>
            <w:spacing w:val="-2"/>
          </w:rPr>
          <w:t>http://dx.doi.org/10.5018/economics-ejournal.ja.2019-4</w:t>
        </w:r>
      </w:hyperlink>
    </w:p>
    <w:p>
      <w:pPr>
        <w:spacing w:before="239"/>
        <w:ind w:left="940" w:right="746" w:hanging="720"/>
        <w:jc w:val="both"/>
        <w:rPr>
          <w:sz w:val="25"/>
        </w:rPr>
      </w:pPr>
      <w:r>
        <w:rPr>
          <w:sz w:val="25"/>
        </w:rPr>
        <w:t>Klein, M.W., &amp; Olivei, G.P. (2008). Capital account liberalization, financial depth, </w:t>
      </w:r>
      <w:r>
        <w:rPr>
          <w:sz w:val="25"/>
        </w:rPr>
        <w:t>and economic growth. </w:t>
      </w:r>
      <w:r>
        <w:rPr>
          <w:i/>
          <w:sz w:val="25"/>
        </w:rPr>
        <w:t>Journal of International Money and Finance</w:t>
      </w:r>
      <w:r>
        <w:rPr>
          <w:sz w:val="25"/>
        </w:rPr>
        <w:t>, 27(6), 861 – 875.</w:t>
      </w:r>
    </w:p>
    <w:p>
      <w:pPr>
        <w:pStyle w:val="BodyText"/>
        <w:spacing w:before="241"/>
        <w:ind w:left="940" w:right="737" w:hanging="720"/>
        <w:jc w:val="both"/>
      </w:pPr>
      <w:r>
        <w:rPr/>
        <w:t>Komárek, L., &amp; Komárkova, Z. (2008) Integrace finančniho trhu vybranych novych členskych zemi EU s eurozonou, Studie Narodohospodařskeho ustavu Josefa Hlavky No. 1/2008.</w:t>
      </w:r>
    </w:p>
    <w:p>
      <w:pPr>
        <w:pStyle w:val="BodyText"/>
        <w:spacing w:before="240"/>
        <w:ind w:left="940" w:right="736" w:hanging="720"/>
        <w:jc w:val="both"/>
      </w:pPr>
      <w:r>
        <w:rPr/>
        <w:t>Kose, M.A., Eswar, P., Kenneth, R., &amp; Shang-Jin, W. (August 2006). Financial</w:t>
      </w:r>
      <w:r>
        <w:rPr>
          <w:spacing w:val="40"/>
        </w:rPr>
        <w:t> </w:t>
      </w:r>
      <w:r>
        <w:rPr/>
        <w:t>globalization: A reappraisal. IMF Working Paper.</w:t>
      </w:r>
    </w:p>
    <w:p>
      <w:pPr>
        <w:pStyle w:val="BodyText"/>
        <w:spacing w:before="241"/>
        <w:ind w:left="940" w:right="738" w:hanging="720"/>
        <w:jc w:val="both"/>
      </w:pPr>
      <w:r>
        <w:rPr/>
        <w:t>Kose, M.A., Prasad, E.S., &amp; Taylor, A.D. (2009), Thresholds in the process of International Financial Integration. </w:t>
      </w:r>
      <w:r>
        <w:rPr>
          <w:i/>
        </w:rPr>
        <w:t>Working Paper No. 14916</w:t>
      </w:r>
      <w:r>
        <w:rPr/>
        <w:t>, National Bureau of Economic </w:t>
      </w:r>
      <w:r>
        <w:rPr>
          <w:spacing w:val="-2"/>
        </w:rPr>
        <w:t>Research.</w:t>
      </w:r>
    </w:p>
    <w:p>
      <w:pPr>
        <w:pStyle w:val="BodyText"/>
        <w:spacing w:before="239"/>
        <w:ind w:left="940" w:right="736" w:hanging="720"/>
        <w:jc w:val="both"/>
      </w:pPr>
      <w:r>
        <w:rPr/>
        <w:t>Kose, M.A., Prasad, E.S., &amp; Terrons, M.E. (2003). Financial integration and macroeconomic volatility. IMF </w:t>
      </w:r>
      <w:r>
        <w:rPr>
          <w:i/>
        </w:rPr>
        <w:t>Staff papers, </w:t>
      </w:r>
      <w:r>
        <w:rPr/>
        <w:t>50, 119 - 142.</w:t>
      </w:r>
    </w:p>
    <w:p>
      <w:pPr>
        <w:spacing w:before="242"/>
        <w:ind w:left="940" w:right="746" w:hanging="720"/>
        <w:jc w:val="both"/>
        <w:rPr>
          <w:sz w:val="25"/>
        </w:rPr>
      </w:pPr>
      <w:r>
        <w:rPr>
          <w:sz w:val="25"/>
        </w:rPr>
        <w:t>Kouki, S., &amp; Rezgui, S. (2017). The impact of financial integration on economic growth: Case of Maghreb countries. </w:t>
      </w:r>
      <w:r>
        <w:rPr>
          <w:i/>
          <w:sz w:val="25"/>
        </w:rPr>
        <w:t>Archives of Business Research, 5(</w:t>
      </w:r>
      <w:r>
        <w:rPr>
          <w:sz w:val="25"/>
        </w:rPr>
        <w:t>3), 70-79.</w:t>
      </w:r>
    </w:p>
    <w:p>
      <w:pPr>
        <w:pStyle w:val="BodyText"/>
        <w:spacing w:before="238"/>
        <w:ind w:left="940" w:right="742" w:hanging="720"/>
        <w:jc w:val="both"/>
      </w:pPr>
      <w:r>
        <w:rPr/>
        <w:t>Kraay A. (1998), “In Search of the Macroeconomic Effects of Capital Account Liberalization“, World Bank.</w:t>
      </w:r>
    </w:p>
    <w:p>
      <w:pPr>
        <w:spacing w:after="0"/>
        <w:jc w:val="both"/>
        <w:sectPr>
          <w:pgSz w:w="12240" w:h="15840"/>
          <w:pgMar w:header="0" w:footer="1012" w:top="1380" w:bottom="1200" w:left="1220" w:right="700"/>
        </w:sectPr>
      </w:pPr>
    </w:p>
    <w:p>
      <w:pPr>
        <w:pStyle w:val="BodyText"/>
        <w:spacing w:before="60"/>
        <w:ind w:left="940" w:right="741" w:hanging="720"/>
        <w:jc w:val="both"/>
      </w:pPr>
      <w:r>
        <w:rPr/>
        <w:t>Kumar, R. R., Stauvermann,</w:t>
      </w:r>
      <w:r>
        <w:rPr>
          <w:spacing w:val="-1"/>
        </w:rPr>
        <w:t> </w:t>
      </w:r>
      <w:r>
        <w:rPr/>
        <w:t>P. J., Patel, A.</w:t>
      </w:r>
      <w:r>
        <w:rPr>
          <w:spacing w:val="-1"/>
        </w:rPr>
        <w:t> </w:t>
      </w:r>
      <w:r>
        <w:rPr/>
        <w:t>&amp; Prasad,</w:t>
      </w:r>
      <w:r>
        <w:rPr>
          <w:spacing w:val="-1"/>
        </w:rPr>
        <w:t> </w:t>
      </w:r>
      <w:r>
        <w:rPr/>
        <w:t>S. (2018). The</w:t>
      </w:r>
      <w:r>
        <w:rPr>
          <w:spacing w:val="-1"/>
        </w:rPr>
        <w:t> </w:t>
      </w:r>
      <w:r>
        <w:rPr/>
        <w:t>effect of remittances on economic growth in Kyrgyzstan and Macedonia: accounting for financial development. </w:t>
      </w:r>
      <w:r>
        <w:rPr>
          <w:i/>
        </w:rPr>
        <w:t>International Migration, </w:t>
      </w:r>
      <w:r>
        <w:rPr/>
        <w:t>56(1): 95-126.</w:t>
      </w:r>
    </w:p>
    <w:p>
      <w:pPr>
        <w:pStyle w:val="BodyText"/>
        <w:spacing w:before="239"/>
        <w:ind w:left="940" w:right="745" w:hanging="720"/>
        <w:jc w:val="both"/>
      </w:pPr>
      <w:r>
        <w:rPr/>
        <w:t>La Marca, M. (2004). Financial integration, growth and macroeconomic volatility: Evidence and interpretations. </w:t>
      </w:r>
      <w:r>
        <w:rPr>
          <w:i/>
        </w:rPr>
        <w:t>New School Economic Review, </w:t>
      </w:r>
      <w:r>
        <w:rPr/>
        <w:t>1, 31- 41.</w:t>
      </w:r>
    </w:p>
    <w:p>
      <w:pPr>
        <w:pStyle w:val="BodyText"/>
        <w:spacing w:before="241"/>
        <w:ind w:left="940" w:right="734" w:hanging="720"/>
        <w:jc w:val="both"/>
      </w:pPr>
      <w:r>
        <w:rPr/>
        <mc:AlternateContent>
          <mc:Choice Requires="wps">
            <w:drawing>
              <wp:anchor distT="0" distB="0" distL="0" distR="0" allowOverlap="1" layoutInCell="1" locked="0" behindDoc="1" simplePos="0" relativeHeight="478116352">
                <wp:simplePos x="0" y="0"/>
                <wp:positionH relativeFrom="page">
                  <wp:posOffset>950112</wp:posOffset>
                </wp:positionH>
                <wp:positionV relativeFrom="paragraph">
                  <wp:posOffset>218453</wp:posOffset>
                </wp:positionV>
                <wp:extent cx="5505450" cy="5661025"/>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7.201075pt;width:433.5pt;height:445.75pt;mso-position-horizontal-relative:page;mso-position-vertical-relative:paragraph;z-index:-25200128" id="docshape227" coordorigin="1496,344" coordsize="8670,8915" path="m2562,9064l1691,8193,1496,8388,2367,9259,2562,9064xm3154,8388l3153,8348,3148,8305,3139,8262,3125,8218,3106,8174,3083,8131,3055,8089,3025,8047,2991,8007,2954,7968,2435,7449,2241,7643,2772,8175,2805,8211,2829,8246,2846,8281,2856,8315,2858,8348,2851,8378,2837,8407,2816,8433,2790,8455,2761,8469,2730,8475,2697,8472,2663,8463,2628,8446,2593,8422,2557,8390,2026,7858,1831,8052,2351,8572,2385,8604,2424,8636,2468,8669,2516,8701,2548,8720,2583,8736,2620,8749,2658,8760,2697,8768,2733,8771,2767,8772,2800,8768,2831,8761,2863,8750,2895,8733,2926,8713,2957,8690,2985,8667,3011,8644,3035,8621,3071,8581,3102,8540,3125,8498,3142,8456,3150,8424,3154,8388xm3882,7604l3876,7540,3860,7475,3834,7408,3806,7354,3771,7298,3728,7240,3678,7181,3661,7162,3621,7121,3597,7098,3597,7592,3592,7633,3577,7669,3551,7702,3518,7728,3481,7743,3441,7747,3396,7741,3347,7723,3294,7691,3235,7646,3171,7587,3112,7523,3066,7464,3035,7410,3016,7361,3010,7316,3014,7276,3029,7240,3053,7208,3086,7183,3122,7167,3163,7162,3207,7167,3255,7185,3307,7215,3363,7257,3423,7312,3488,7382,3538,7444,3572,7500,3591,7549,3597,7592,3597,7098,3551,7056,3482,7001,3413,6955,3344,6920,3276,6894,3209,6878,3130,6873,3055,6883,2983,6908,2914,6949,2850,7004,2796,7068,2756,7135,2732,7207,2723,7283,2729,7362,2746,7431,2772,7500,2808,7569,2854,7639,2910,7710,2976,7781,3036,7838,3096,7887,3156,7929,3215,7964,3273,7991,3344,8016,3411,8029,3475,8033,3535,8027,3593,8010,3649,7983,3705,7945,3758,7897,3805,7844,3841,7787,3858,7747,3866,7729,3879,7667,3882,7604xm4153,7025l3966,6838,3712,7092,3899,7279,4153,7025xm4664,6962l3793,6091,3598,6286,4469,7157,4664,6962xm4998,6628l4675,6305,4781,6198,4832,6138,4837,6128,4866,6077,4883,6013,4882,5949,4866,5883,4843,5832,4836,5817,4792,5751,4733,5685,4670,5628,4607,5585,4598,5581,4598,5974,4597,6000,4587,6026,4570,6053,4546,6081,4498,6128,4304,5934,4359,5878,4386,5855,4412,5840,4438,5832,4462,5833,4486,5839,4509,5850,4531,5864,4552,5882,4570,5904,4584,5926,4593,5950,4598,5974,4598,5581,4544,5556,4483,5540,4423,5539,4365,5553,4309,5584,4255,5629,3931,5952,4803,6823,4998,6628xm5788,5838l5132,5182,5330,4984,5115,4769,4524,5360,4739,5575,4937,5377,5593,6033,5788,5838xm6423,5203l5767,4547,5966,4348,5751,4133,5159,4725,5374,4940,5573,4741,6229,5397,6423,5203xm7157,4330l7151,4265,7135,4200,7109,4133,7081,4079,7046,4023,7003,3965,6953,3906,6935,3887,6896,3846,6872,3824,6872,4317,6867,4358,6851,4394,6825,4428,6793,4453,6756,4468,6716,4472,6671,4466,6622,4448,6569,4416,6510,4371,6446,4312,6387,4248,6341,4189,6309,4135,6291,4086,6285,4041,6289,4001,6304,3965,6328,3934,6361,3908,6397,3893,6438,3887,6482,3893,6530,3910,6582,3940,6638,3982,6698,4037,6763,4107,6813,4169,6847,4225,6866,4274,6872,4317,6872,3824,6826,3781,6756,3726,6687,3681,6619,3645,6551,3620,6483,3604,6405,3598,6329,3608,6258,3633,6189,3674,6125,3729,6071,3793,6031,3861,6007,3932,5998,4008,6004,4088,6021,4156,6047,4225,6083,4294,6129,4364,6184,4435,6250,4506,6311,4563,6371,4612,6431,4655,6490,4689,6548,4717,6619,4741,6686,4755,6750,4758,6810,4752,6868,4736,6924,4708,6979,4671,7033,4623,7080,4569,7116,4513,7133,4472,7141,4454,7154,4393,7157,4330xm8170,3334l8165,3285,8153,3235,8134,3182,8109,3128,8079,3072,8041,3015,7980,3039,7799,3114,7831,3160,7855,3203,7873,3244,7884,3281,7887,3316,7881,3349,7866,3380,7843,3409,7812,3433,7778,3447,7740,3451,7700,3445,7653,3426,7600,3392,7538,3343,7469,3278,7417,3222,7375,3170,7344,3123,7324,3080,7311,3028,7312,2982,7325,2941,7352,2905,7367,2892,7384,2881,7402,2873,7422,2869,7442,2867,7464,2867,7486,2870,7509,2876,7524,2882,7542,2890,7563,2901,7586,2916,7705,2691,7622,2645,7543,2613,7469,2594,7400,2587,7333,2595,7269,2618,7206,2656,7146,2708,7092,2771,7054,2837,7030,2907,7021,2981,7027,3059,7044,3126,7070,3194,7106,3263,7153,3333,7209,3403,7276,3475,7341,3536,7404,3588,7467,3631,7529,3667,7590,3694,7662,3718,7730,3731,7791,3734,7847,3727,7900,3710,7952,3683,8004,3646,8056,3600,8094,3557,8125,3514,8147,3471,8161,3426,8169,3381,8170,3334xm8868,2619l8861,2555,8846,2489,8820,2422,8792,2368,8757,2312,8714,2254,8664,2195,8646,2177,8607,2135,8583,2113,8583,2607,8578,2647,8562,2684,8536,2717,8504,2742,8467,2757,8427,2762,8382,2755,8333,2737,8279,2706,8221,2660,8157,2601,8098,2537,8052,2478,8020,2424,8002,2375,7996,2331,8000,2290,8014,2254,8039,2223,8071,2197,8108,2182,8149,2177,8193,2182,8241,2199,8293,2229,8349,2271,8409,2326,8474,2396,8524,2459,8558,2514,8577,2563,8583,2607,8583,2113,8537,2070,8467,2015,8398,1970,8330,1934,8262,1909,8194,1893,8116,1887,8040,1897,7968,1923,7900,1963,7835,2019,7781,2082,7742,2150,7718,2221,7709,2297,7715,2377,7731,2445,7758,2514,7794,2584,7839,2654,7895,2724,7961,2795,8022,2852,8082,2902,8142,2944,8201,2978,8259,3006,8329,3030,8397,3044,8461,3047,8521,3041,8579,3025,8635,2998,8690,2960,8744,2912,8791,2858,8827,2802,8844,2762,8852,2743,8865,2682,8868,2619xm9348,2278l9025,1954,9132,1848,9182,1788,9188,1778,9216,1726,9233,1663,9233,1598,9217,1533,9194,1482,9187,1467,9142,1401,9084,1335,9020,1278,8957,1235,8948,1231,8948,1624,8947,1649,8938,1676,8921,1703,8896,1730,8849,1778,8654,1584,8710,1528,8737,1505,8763,1489,8788,1482,8812,1482,8836,1489,8859,1499,8881,1514,8902,1532,8920,1554,8934,1576,8943,1600,8948,1624,8948,1231,8895,1205,8833,1189,8773,1188,8715,1203,8659,1233,8605,1278,8282,1602,9153,2473,9348,2278xm10166,1460l9801,1095,9748,945,9593,494,9540,344,9325,559,9353,629,9436,840,9492,981,9422,952,9211,869,9071,813,8854,1029,9005,1082,9456,1238,9606,1290,9971,1655,10166,1460xe" filled="true" fillcolor="#c0c0c0" stroked="false">
                <v:path arrowok="t"/>
                <v:fill opacity="32896f" type="solid"/>
                <w10:wrap type="none"/>
              </v:shape>
            </w:pict>
          </mc:Fallback>
        </mc:AlternateContent>
      </w:r>
      <w:r>
        <w:rPr/>
        <w:t>Lane, P.R., &amp; Milesi-Ferretti, G.M. (2016). The external wealth of nations mark II: revised and extended estimates of foreign assets and liabilities, 1970–2004. </w:t>
      </w:r>
      <w:r>
        <w:rPr>
          <w:i/>
        </w:rPr>
        <w:t>IMF Working Papers No. 06/69</w:t>
      </w:r>
      <w:r>
        <w:rPr/>
        <w:t>.</w:t>
      </w:r>
    </w:p>
    <w:p>
      <w:pPr>
        <w:pStyle w:val="BodyText"/>
        <w:spacing w:before="239"/>
        <w:ind w:left="940" w:right="733" w:hanging="720"/>
        <w:jc w:val="both"/>
      </w:pPr>
      <w:r>
        <w:rPr/>
        <w:t>Lane, R., &amp; Milesi-Ferretti, D. (2003). International financial integration. </w:t>
      </w:r>
      <w:r>
        <w:rPr>
          <w:i/>
        </w:rPr>
        <w:t>Staff Papers</w:t>
      </w:r>
      <w:r>
        <w:rPr/>
        <w:t>, 50(Special Issue), 82 – 113.</w:t>
      </w:r>
    </w:p>
    <w:p>
      <w:pPr>
        <w:pStyle w:val="BodyText"/>
        <w:spacing w:before="242"/>
        <w:ind w:left="940" w:right="742" w:hanging="720"/>
        <w:jc w:val="both"/>
      </w:pPr>
      <w:r>
        <w:rPr/>
        <w:t>Lawal, A.I., Nwanji, T.I. Asaleye, A., &amp; Ahmed, V. (2016). Economic growth, financial development and trade openness in Nigeria: An application of the ARDL bound testing approach, </w:t>
      </w:r>
      <w:r>
        <w:rPr>
          <w:i/>
        </w:rPr>
        <w:t>Cogent Economics &amp; Finance, </w:t>
      </w:r>
      <w:r>
        <w:rPr/>
        <w:t>4: 1-15</w:t>
      </w:r>
    </w:p>
    <w:p>
      <w:pPr>
        <w:spacing w:before="239"/>
        <w:ind w:left="940" w:right="736" w:hanging="720"/>
        <w:jc w:val="both"/>
        <w:rPr>
          <w:sz w:val="25"/>
        </w:rPr>
      </w:pPr>
      <w:r>
        <w:rPr>
          <w:sz w:val="25"/>
        </w:rPr>
        <w:t>Levine, R. (1997). Financial development and economic growth: views and agenda. </w:t>
      </w:r>
      <w:r>
        <w:rPr>
          <w:i/>
          <w:sz w:val="25"/>
        </w:rPr>
        <w:t>Journal of Economic Literature</w:t>
      </w:r>
      <w:r>
        <w:rPr>
          <w:sz w:val="25"/>
        </w:rPr>
        <w:t>, 35: 688-726.</w:t>
      </w:r>
    </w:p>
    <w:p>
      <w:pPr>
        <w:spacing w:before="241"/>
        <w:ind w:left="940" w:right="739" w:hanging="720"/>
        <w:jc w:val="both"/>
        <w:rPr>
          <w:sz w:val="25"/>
        </w:rPr>
      </w:pPr>
      <w:r>
        <w:rPr>
          <w:sz w:val="25"/>
        </w:rPr>
        <w:t>Levine, R. (2001). International financial liberalization and economic growth. </w:t>
      </w:r>
      <w:r>
        <w:rPr>
          <w:i/>
          <w:sz w:val="25"/>
        </w:rPr>
        <w:t>Review of International Economic</w:t>
      </w:r>
      <w:r>
        <w:rPr>
          <w:sz w:val="25"/>
        </w:rPr>
        <w:t>, 9: 688–702.</w:t>
      </w:r>
    </w:p>
    <w:p>
      <w:pPr>
        <w:pStyle w:val="BodyText"/>
        <w:spacing w:before="238"/>
        <w:ind w:left="940" w:right="737" w:hanging="720"/>
        <w:jc w:val="both"/>
      </w:pPr>
      <w:r>
        <w:rPr/>
        <w:t>Levine, R. (2005). Finance and growth: Theory and evidence. In Handbook of Economic Growth (Ed.) Philippe Aghion and Steven Durlauf. Amsterdam: North Holland.</w:t>
      </w:r>
    </w:p>
    <w:p>
      <w:pPr>
        <w:spacing w:before="242"/>
        <w:ind w:left="940" w:right="734" w:hanging="720"/>
        <w:jc w:val="both"/>
        <w:rPr>
          <w:sz w:val="25"/>
        </w:rPr>
      </w:pPr>
      <w:r>
        <w:rPr>
          <w:sz w:val="25"/>
        </w:rPr>
        <w:t>Liebscher, K., Christl, J., Mooslechner, P., &amp; Ritzberger-Grünwald, D. (2016). </w:t>
      </w:r>
      <w:r>
        <w:rPr>
          <w:i/>
          <w:sz w:val="25"/>
        </w:rPr>
        <w:t>Financial development, integration and stability: evidence from Central, Eastern and South- Eastern Europe</w:t>
      </w:r>
      <w:r>
        <w:rPr>
          <w:sz w:val="25"/>
        </w:rPr>
        <w:t>, Cheltenham: Edward Elgar Publishing.</w:t>
      </w:r>
    </w:p>
    <w:p>
      <w:pPr>
        <w:spacing w:before="239"/>
        <w:ind w:left="940" w:right="736" w:hanging="720"/>
        <w:jc w:val="both"/>
        <w:rPr>
          <w:sz w:val="25"/>
        </w:rPr>
      </w:pPr>
      <w:r>
        <w:rPr>
          <w:sz w:val="25"/>
        </w:rPr>
        <w:t>Lim, S. &amp; Simmons, W. O. (2015). Do remittances promote economic growth in the Caribbean community and common market? </w:t>
      </w:r>
      <w:r>
        <w:rPr>
          <w:i/>
          <w:sz w:val="25"/>
        </w:rPr>
        <w:t>Journal of Economics and Business</w:t>
      </w:r>
      <w:r>
        <w:rPr>
          <w:sz w:val="25"/>
        </w:rPr>
        <w:t>, 77, </w:t>
      </w:r>
      <w:r>
        <w:rPr>
          <w:spacing w:val="-2"/>
          <w:sz w:val="25"/>
        </w:rPr>
        <w:t>42-59.</w:t>
      </w:r>
    </w:p>
    <w:p>
      <w:pPr>
        <w:pStyle w:val="BodyText"/>
        <w:spacing w:before="239"/>
      </w:pPr>
      <w:r>
        <w:rPr/>
        <w:t>Lipsey,</w:t>
      </w:r>
      <w:r>
        <w:rPr>
          <w:spacing w:val="-7"/>
        </w:rPr>
        <w:t> </w:t>
      </w:r>
      <w:r>
        <w:rPr/>
        <w:t>R.</w:t>
      </w:r>
      <w:r>
        <w:rPr>
          <w:spacing w:val="-6"/>
        </w:rPr>
        <w:t> </w:t>
      </w:r>
      <w:r>
        <w:rPr/>
        <w:t>G.</w:t>
      </w:r>
      <w:r>
        <w:rPr>
          <w:spacing w:val="-7"/>
        </w:rPr>
        <w:t> </w:t>
      </w:r>
      <w:r>
        <w:rPr/>
        <w:t>(1986).</w:t>
      </w:r>
      <w:r>
        <w:rPr>
          <w:spacing w:val="-6"/>
        </w:rPr>
        <w:t> </w:t>
      </w:r>
      <w:r>
        <w:rPr>
          <w:i/>
        </w:rPr>
        <w:t>Economics.</w:t>
      </w:r>
      <w:r>
        <w:rPr>
          <w:i/>
          <w:spacing w:val="-4"/>
        </w:rPr>
        <w:t> </w:t>
      </w:r>
      <w:r>
        <w:rPr/>
        <w:t>New</w:t>
      </w:r>
      <w:r>
        <w:rPr>
          <w:spacing w:val="-5"/>
        </w:rPr>
        <w:t> </w:t>
      </w:r>
      <w:r>
        <w:rPr/>
        <w:t>York:</w:t>
      </w:r>
      <w:r>
        <w:rPr>
          <w:spacing w:val="-6"/>
        </w:rPr>
        <w:t> </w:t>
      </w:r>
      <w:r>
        <w:rPr/>
        <w:t>Harper</w:t>
      </w:r>
      <w:r>
        <w:rPr>
          <w:spacing w:val="-5"/>
        </w:rPr>
        <w:t> </w:t>
      </w:r>
      <w:r>
        <w:rPr/>
        <w:t>and</w:t>
      </w:r>
      <w:r>
        <w:rPr>
          <w:spacing w:val="-7"/>
        </w:rPr>
        <w:t> </w:t>
      </w:r>
      <w:r>
        <w:rPr>
          <w:spacing w:val="-4"/>
        </w:rPr>
        <w:t>Row.</w:t>
      </w:r>
    </w:p>
    <w:p>
      <w:pPr>
        <w:spacing w:before="241"/>
        <w:ind w:left="940" w:right="735" w:hanging="720"/>
        <w:jc w:val="both"/>
        <w:rPr>
          <w:sz w:val="25"/>
        </w:rPr>
      </w:pPr>
      <w:r>
        <w:rPr>
          <w:sz w:val="25"/>
        </w:rPr>
        <w:t>Lucas, L. (1990). Why Doesn't Capital Flow from Rich to Poor Countries. </w:t>
      </w:r>
      <w:r>
        <w:rPr>
          <w:i/>
          <w:sz w:val="25"/>
        </w:rPr>
        <w:t>AEA Papers and Proceedings</w:t>
      </w:r>
      <w:r>
        <w:rPr>
          <w:sz w:val="25"/>
        </w:rPr>
        <w:t>, 80, 92 - 96.</w:t>
      </w:r>
    </w:p>
    <w:p>
      <w:pPr>
        <w:spacing w:before="241"/>
        <w:ind w:left="940" w:right="738" w:hanging="720"/>
        <w:jc w:val="both"/>
        <w:rPr>
          <w:sz w:val="25"/>
        </w:rPr>
      </w:pPr>
      <w:r>
        <w:rPr>
          <w:sz w:val="25"/>
        </w:rPr>
        <w:t>Mahajan,</w:t>
      </w:r>
      <w:r>
        <w:rPr>
          <w:spacing w:val="-2"/>
          <w:sz w:val="25"/>
        </w:rPr>
        <w:t> </w:t>
      </w:r>
      <w:r>
        <w:rPr>
          <w:sz w:val="25"/>
        </w:rPr>
        <w:t>N.,</w:t>
      </w:r>
      <w:r>
        <w:rPr>
          <w:spacing w:val="-2"/>
          <w:sz w:val="25"/>
        </w:rPr>
        <w:t> </w:t>
      </w:r>
      <w:r>
        <w:rPr>
          <w:sz w:val="25"/>
        </w:rPr>
        <w:t>&amp;</w:t>
      </w:r>
      <w:r>
        <w:rPr>
          <w:spacing w:val="-1"/>
          <w:sz w:val="25"/>
        </w:rPr>
        <w:t> </w:t>
      </w:r>
      <w:r>
        <w:rPr>
          <w:sz w:val="25"/>
        </w:rPr>
        <w:t>Verma, S.</w:t>
      </w:r>
      <w:r>
        <w:rPr>
          <w:spacing w:val="-1"/>
          <w:sz w:val="25"/>
        </w:rPr>
        <w:t> </w:t>
      </w:r>
      <w:r>
        <w:rPr>
          <w:sz w:val="25"/>
        </w:rPr>
        <w:t>(2015),</w:t>
      </w:r>
      <w:r>
        <w:rPr>
          <w:spacing w:val="-1"/>
          <w:sz w:val="25"/>
        </w:rPr>
        <w:t> </w:t>
      </w:r>
      <w:r>
        <w:rPr>
          <w:sz w:val="25"/>
        </w:rPr>
        <w:t>International</w:t>
      </w:r>
      <w:r>
        <w:rPr>
          <w:spacing w:val="-1"/>
          <w:sz w:val="25"/>
        </w:rPr>
        <w:t> </w:t>
      </w:r>
      <w:r>
        <w:rPr>
          <w:sz w:val="25"/>
        </w:rPr>
        <w:t>financial</w:t>
      </w:r>
      <w:r>
        <w:rPr>
          <w:spacing w:val="-1"/>
          <w:sz w:val="25"/>
        </w:rPr>
        <w:t> </w:t>
      </w:r>
      <w:r>
        <w:rPr>
          <w:sz w:val="25"/>
        </w:rPr>
        <w:t>integration</w:t>
      </w:r>
      <w:r>
        <w:rPr>
          <w:spacing w:val="-1"/>
          <w:sz w:val="25"/>
        </w:rPr>
        <w:t> </w:t>
      </w:r>
      <w:r>
        <w:rPr>
          <w:sz w:val="25"/>
        </w:rPr>
        <w:t>and economic</w:t>
      </w:r>
      <w:r>
        <w:rPr>
          <w:spacing w:val="-1"/>
          <w:sz w:val="25"/>
        </w:rPr>
        <w:t> </w:t>
      </w:r>
      <w:r>
        <w:rPr>
          <w:sz w:val="25"/>
        </w:rPr>
        <w:t>growth</w:t>
      </w:r>
      <w:r>
        <w:rPr>
          <w:spacing w:val="-1"/>
          <w:sz w:val="25"/>
        </w:rPr>
        <w:t> </w:t>
      </w:r>
      <w:r>
        <w:rPr>
          <w:sz w:val="25"/>
        </w:rPr>
        <w:t>in India: An empirical investigation. </w:t>
      </w:r>
      <w:r>
        <w:rPr>
          <w:i/>
          <w:sz w:val="25"/>
        </w:rPr>
        <w:t>Eurasian Journal of Business and Economics</w:t>
      </w:r>
      <w:r>
        <w:rPr>
          <w:sz w:val="25"/>
        </w:rPr>
        <w:t>, 8(16), 121-137.</w:t>
      </w:r>
    </w:p>
    <w:p>
      <w:pPr>
        <w:pStyle w:val="BodyText"/>
        <w:spacing w:line="276" w:lineRule="auto" w:before="240"/>
        <w:ind w:left="940" w:right="747" w:hanging="720"/>
        <w:jc w:val="both"/>
      </w:pPr>
      <w:r>
        <w:rPr/>
        <w:t>Malefane, M. R., &amp; Odhiambo, N. M. (2019). Trade openness and economic growth: Empirical evidence from Lesotho. </w:t>
      </w:r>
      <w:r>
        <w:rPr>
          <w:i/>
        </w:rPr>
        <w:t>Global Business Review</w:t>
      </w:r>
      <w:r>
        <w:rPr/>
        <w:t>, 4(1), 345 – 351.</w:t>
      </w:r>
    </w:p>
    <w:p>
      <w:pPr>
        <w:spacing w:after="0" w:line="276" w:lineRule="auto"/>
        <w:jc w:val="both"/>
        <w:sectPr>
          <w:pgSz w:w="12240" w:h="15840"/>
          <w:pgMar w:header="0" w:footer="1012" w:top="1380" w:bottom="1200" w:left="1220" w:right="700"/>
        </w:sectPr>
      </w:pPr>
    </w:p>
    <w:p>
      <w:pPr>
        <w:spacing w:before="60"/>
        <w:ind w:left="940" w:right="505" w:hanging="720"/>
        <w:jc w:val="left"/>
        <w:rPr>
          <w:sz w:val="25"/>
        </w:rPr>
      </w:pPr>
      <w:r>
        <w:rPr>
          <w:sz w:val="25"/>
        </w:rPr>
        <w:t>Maliwa, E. &amp; Nyambe, J.M.</w:t>
      </w:r>
      <w:r>
        <w:rPr>
          <w:spacing w:val="40"/>
          <w:sz w:val="25"/>
        </w:rPr>
        <w:t> </w:t>
      </w:r>
      <w:r>
        <w:rPr>
          <w:sz w:val="25"/>
        </w:rPr>
        <w:t>(2015).</w:t>
      </w:r>
      <w:r>
        <w:rPr>
          <w:spacing w:val="40"/>
          <w:sz w:val="25"/>
        </w:rPr>
        <w:t> </w:t>
      </w:r>
      <w:r>
        <w:rPr>
          <w:sz w:val="25"/>
        </w:rPr>
        <w:t>Investigating the impact of fdi on economic growth in Zambia:</w:t>
      </w:r>
      <w:r>
        <w:rPr>
          <w:spacing w:val="22"/>
          <w:sz w:val="25"/>
        </w:rPr>
        <w:t> </w:t>
      </w:r>
      <w:r>
        <w:rPr>
          <w:sz w:val="25"/>
        </w:rPr>
        <w:t>1980</w:t>
      </w:r>
      <w:r>
        <w:rPr>
          <w:spacing w:val="23"/>
          <w:sz w:val="25"/>
        </w:rPr>
        <w:t> </w:t>
      </w:r>
      <w:r>
        <w:rPr>
          <w:sz w:val="25"/>
        </w:rPr>
        <w:t>–</w:t>
      </w:r>
      <w:r>
        <w:rPr>
          <w:spacing w:val="23"/>
          <w:sz w:val="25"/>
        </w:rPr>
        <w:t> </w:t>
      </w:r>
      <w:r>
        <w:rPr>
          <w:sz w:val="25"/>
        </w:rPr>
        <w:t>2012.</w:t>
      </w:r>
      <w:r>
        <w:rPr>
          <w:spacing w:val="25"/>
          <w:sz w:val="25"/>
        </w:rPr>
        <w:t> </w:t>
      </w:r>
      <w:r>
        <w:rPr>
          <w:i/>
          <w:sz w:val="25"/>
        </w:rPr>
        <w:t>Journal</w:t>
      </w:r>
      <w:r>
        <w:rPr>
          <w:i/>
          <w:spacing w:val="22"/>
          <w:sz w:val="25"/>
        </w:rPr>
        <w:t> </w:t>
      </w:r>
      <w:r>
        <w:rPr>
          <w:i/>
          <w:sz w:val="25"/>
        </w:rPr>
        <w:t>of</w:t>
      </w:r>
      <w:r>
        <w:rPr>
          <w:i/>
          <w:spacing w:val="22"/>
          <w:sz w:val="25"/>
        </w:rPr>
        <w:t> </w:t>
      </w:r>
      <w:r>
        <w:rPr>
          <w:i/>
          <w:sz w:val="25"/>
        </w:rPr>
        <w:t>Business,</w:t>
      </w:r>
      <w:r>
        <w:rPr>
          <w:i/>
          <w:spacing w:val="21"/>
          <w:sz w:val="25"/>
        </w:rPr>
        <w:t> </w:t>
      </w:r>
      <w:r>
        <w:rPr>
          <w:i/>
          <w:sz w:val="25"/>
        </w:rPr>
        <w:t>Economics</w:t>
      </w:r>
      <w:r>
        <w:rPr>
          <w:i/>
          <w:spacing w:val="23"/>
          <w:sz w:val="25"/>
        </w:rPr>
        <w:t> </w:t>
      </w:r>
      <w:r>
        <w:rPr>
          <w:i/>
          <w:sz w:val="25"/>
        </w:rPr>
        <w:t>and</w:t>
      </w:r>
      <w:r>
        <w:rPr>
          <w:i/>
          <w:spacing w:val="22"/>
          <w:sz w:val="25"/>
        </w:rPr>
        <w:t> </w:t>
      </w:r>
      <w:r>
        <w:rPr>
          <w:i/>
          <w:sz w:val="25"/>
        </w:rPr>
        <w:t>Accountancy</w:t>
      </w:r>
      <w:r>
        <w:rPr>
          <w:sz w:val="25"/>
        </w:rPr>
        <w:t>,</w:t>
      </w:r>
      <w:r>
        <w:rPr>
          <w:spacing w:val="22"/>
          <w:sz w:val="25"/>
        </w:rPr>
        <w:t> </w:t>
      </w:r>
      <w:r>
        <w:rPr>
          <w:sz w:val="25"/>
        </w:rPr>
        <w:t>3(3)</w:t>
      </w:r>
      <w:r>
        <w:rPr>
          <w:spacing w:val="23"/>
          <w:sz w:val="25"/>
        </w:rPr>
        <w:t> </w:t>
      </w:r>
      <w:r>
        <w:rPr>
          <w:sz w:val="25"/>
        </w:rPr>
        <w:t>41</w:t>
      </w:r>
      <w:r>
        <w:rPr>
          <w:spacing w:val="23"/>
          <w:sz w:val="25"/>
        </w:rPr>
        <w:t> </w:t>
      </w:r>
      <w:r>
        <w:rPr>
          <w:spacing w:val="-10"/>
          <w:sz w:val="25"/>
        </w:rPr>
        <w:t>–</w:t>
      </w:r>
    </w:p>
    <w:p>
      <w:pPr>
        <w:pStyle w:val="BodyText"/>
        <w:spacing w:line="286" w:lineRule="exact"/>
        <w:ind w:left="940"/>
      </w:pPr>
      <w:r>
        <w:rPr>
          <w:spacing w:val="-5"/>
        </w:rPr>
        <w:t>50.</w:t>
      </w:r>
    </w:p>
    <w:p>
      <w:pPr>
        <w:spacing w:before="240"/>
        <w:ind w:left="940" w:right="0" w:hanging="720"/>
        <w:jc w:val="left"/>
        <w:rPr>
          <w:sz w:val="25"/>
        </w:rPr>
      </w:pPr>
      <w:r>
        <w:rPr>
          <w:sz w:val="25"/>
        </w:rPr>
        <w:t>Mckinnon,</w:t>
      </w:r>
      <w:r>
        <w:rPr>
          <w:spacing w:val="35"/>
          <w:sz w:val="25"/>
        </w:rPr>
        <w:t> </w:t>
      </w:r>
      <w:r>
        <w:rPr>
          <w:sz w:val="25"/>
        </w:rPr>
        <w:t>R.</w:t>
      </w:r>
      <w:r>
        <w:rPr>
          <w:spacing w:val="35"/>
          <w:sz w:val="25"/>
        </w:rPr>
        <w:t> </w:t>
      </w:r>
      <w:r>
        <w:rPr>
          <w:sz w:val="25"/>
        </w:rPr>
        <w:t>I.</w:t>
      </w:r>
      <w:r>
        <w:rPr>
          <w:spacing w:val="35"/>
          <w:sz w:val="25"/>
        </w:rPr>
        <w:t> </w:t>
      </w:r>
      <w:r>
        <w:rPr>
          <w:sz w:val="25"/>
        </w:rPr>
        <w:t>(1973).</w:t>
      </w:r>
      <w:r>
        <w:rPr>
          <w:spacing w:val="38"/>
          <w:sz w:val="25"/>
        </w:rPr>
        <w:t> </w:t>
      </w:r>
      <w:r>
        <w:rPr>
          <w:i/>
          <w:sz w:val="25"/>
        </w:rPr>
        <w:t>Money,</w:t>
      </w:r>
      <w:r>
        <w:rPr>
          <w:i/>
          <w:spacing w:val="35"/>
          <w:sz w:val="25"/>
        </w:rPr>
        <w:t> </w:t>
      </w:r>
      <w:r>
        <w:rPr>
          <w:i/>
          <w:sz w:val="25"/>
        </w:rPr>
        <w:t>capital</w:t>
      </w:r>
      <w:r>
        <w:rPr>
          <w:i/>
          <w:spacing w:val="36"/>
          <w:sz w:val="25"/>
        </w:rPr>
        <w:t> </w:t>
      </w:r>
      <w:r>
        <w:rPr>
          <w:i/>
          <w:sz w:val="25"/>
        </w:rPr>
        <w:t>and</w:t>
      </w:r>
      <w:r>
        <w:rPr>
          <w:i/>
          <w:spacing w:val="35"/>
          <w:sz w:val="25"/>
        </w:rPr>
        <w:t> </w:t>
      </w:r>
      <w:r>
        <w:rPr>
          <w:i/>
          <w:sz w:val="25"/>
        </w:rPr>
        <w:t>banking</w:t>
      </w:r>
      <w:r>
        <w:rPr>
          <w:i/>
          <w:spacing w:val="35"/>
          <w:sz w:val="25"/>
        </w:rPr>
        <w:t> </w:t>
      </w:r>
      <w:r>
        <w:rPr>
          <w:i/>
          <w:sz w:val="25"/>
        </w:rPr>
        <w:t>in</w:t>
      </w:r>
      <w:r>
        <w:rPr>
          <w:i/>
          <w:spacing w:val="36"/>
          <w:sz w:val="25"/>
        </w:rPr>
        <w:t> </w:t>
      </w:r>
      <w:r>
        <w:rPr>
          <w:i/>
          <w:sz w:val="25"/>
        </w:rPr>
        <w:t>economic</w:t>
      </w:r>
      <w:r>
        <w:rPr>
          <w:i/>
          <w:spacing w:val="35"/>
          <w:sz w:val="25"/>
        </w:rPr>
        <w:t> </w:t>
      </w:r>
      <w:r>
        <w:rPr>
          <w:i/>
          <w:sz w:val="25"/>
        </w:rPr>
        <w:t>development.</w:t>
      </w:r>
      <w:r>
        <w:rPr>
          <w:i/>
          <w:spacing w:val="39"/>
          <w:sz w:val="25"/>
        </w:rPr>
        <w:t> </w:t>
      </w:r>
      <w:r>
        <w:rPr>
          <w:sz w:val="25"/>
        </w:rPr>
        <w:t>Brooklyn Institution: Washington D.C</w:t>
      </w:r>
    </w:p>
    <w:p>
      <w:pPr>
        <w:pStyle w:val="BodyText"/>
        <w:spacing w:line="287" w:lineRule="exact" w:before="241"/>
      </w:pPr>
      <w:r>
        <w:rPr/>
        <mc:AlternateContent>
          <mc:Choice Requires="wps">
            <w:drawing>
              <wp:anchor distT="0" distB="0" distL="0" distR="0" allowOverlap="1" layoutInCell="1" locked="0" behindDoc="1" simplePos="0" relativeHeight="478116864">
                <wp:simplePos x="0" y="0"/>
                <wp:positionH relativeFrom="page">
                  <wp:posOffset>950112</wp:posOffset>
                </wp:positionH>
                <wp:positionV relativeFrom="paragraph">
                  <wp:posOffset>218675</wp:posOffset>
                </wp:positionV>
                <wp:extent cx="5505450" cy="5661025"/>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7.218578pt;width:433.5pt;height:445.75pt;mso-position-horizontal-relative:page;mso-position-vertical-relative:paragraph;z-index:-25199616" id="docshape228" coordorigin="1496,344" coordsize="8670,8915" path="m2562,9064l1691,8193,1496,8388,2367,9259,2562,9064xm3154,8388l3153,8349,3148,8306,3139,8262,3125,8218,3106,8174,3083,8131,3055,8089,3025,8048,2991,8008,2954,7969,2435,7449,2241,7643,2772,8175,2805,8211,2829,8246,2846,8281,2856,8315,2858,8348,2851,8379,2837,8407,2816,8433,2790,8455,2761,8469,2730,8475,2697,8473,2663,8463,2628,8447,2593,8422,2557,8390,2026,7859,1831,8053,2351,8572,2385,8604,2424,8637,2468,8669,2516,8702,2548,8720,2583,8736,2620,8749,2658,8760,2697,8768,2733,8772,2767,8772,2800,8769,2831,8761,2863,8750,2895,8734,2926,8713,2957,8690,2985,8667,3011,8644,3035,8621,3071,8581,3102,8540,3125,8499,3142,8457,3150,8424,3154,8388xm3882,7605l3876,7541,3860,7475,3834,7408,3806,7354,3771,7298,3728,7240,3678,7181,3661,7163,3621,7121,3597,7099,3597,7593,3592,7633,3577,7670,3551,7703,3518,7728,3481,7743,3441,7748,3396,7741,3347,7723,3294,7692,3235,7646,3171,7587,3112,7523,3066,7464,3035,7410,3016,7361,3010,7317,3014,7276,3029,7240,3053,7209,3086,7183,3122,7168,3163,7163,3207,7168,3255,7185,3307,7215,3363,7257,3423,7312,3488,7382,3538,7445,3572,7501,3591,7549,3597,7593,3597,7099,3551,7056,3482,7001,3413,6956,3344,6920,3276,6895,3209,6879,3130,6873,3055,6883,2983,6909,2914,6949,2850,7005,2796,7068,2756,7136,2732,7207,2723,7283,2729,7363,2746,7431,2772,7500,2808,7570,2854,7640,2910,7710,2976,7781,3036,7838,3096,7888,3156,7930,3215,7964,3273,7992,3344,8016,3411,8030,3475,8033,3535,8027,3593,8011,3649,7984,3705,7946,3758,7898,3805,7844,3841,7788,3858,7748,3866,7729,3879,7668,3882,7605xm4153,7025l3966,6838,3712,7092,3899,7279,4153,7025xm4664,6963l3793,6091,3598,6286,4469,7158,4664,6963xm4998,6628l4675,6305,4781,6198,4832,6139,4837,6129,4866,6077,4883,6014,4882,5949,4866,5883,4843,5832,4836,5818,4792,5752,4733,5686,4670,5628,4607,5585,4598,5581,4598,5974,4597,6000,4587,6026,4570,6053,4546,6081,4498,6129,4304,5934,4359,5879,4386,5855,4412,5840,4438,5832,4462,5833,4486,5839,4509,5850,4531,5864,4552,5883,4570,5904,4584,5927,4593,5950,4598,5974,4598,5581,4544,5556,4483,5540,4423,5539,4365,5554,4309,5584,4255,5629,3931,5953,4803,6824,4998,6628xm5788,5839l5132,5183,5330,4984,5115,4769,4524,5361,4739,5576,4937,5377,5593,6033,5788,5839xm6423,5203l5767,4547,5966,4349,5751,4134,5159,4725,5374,4940,5573,4742,6229,5398,6423,5203xm7157,4330l7151,4266,7135,4200,7109,4133,7081,4079,7046,4023,7003,3966,6953,3907,6935,3888,6896,3846,6872,3824,6872,4318,6867,4358,6851,4395,6825,4428,6793,4453,6756,4468,6716,4473,6671,4466,6622,4448,6569,4417,6510,4372,6446,4313,6387,4249,6341,4189,6309,4135,6291,4086,6285,4042,6289,4001,6304,3966,6328,3934,6361,3908,6397,3893,6438,3888,6482,3893,6530,3910,6582,3940,6638,3982,6698,4037,6763,4107,6813,4170,6847,4226,6866,4274,6872,4318,6872,3824,6826,3781,6756,3726,6687,3681,6619,3646,6551,3620,6483,3604,6405,3598,6329,3608,6258,3634,6189,3674,6125,3730,6071,3793,6031,3861,6007,3933,5998,4008,6004,4088,6021,4156,6047,4225,6083,4295,6129,4365,6184,4435,6250,4506,6311,4563,6371,4613,6431,4655,6490,4690,6548,4717,6619,4741,6686,4755,6750,4758,6810,4752,6868,4736,6924,4709,6979,4671,7033,4623,7080,4569,7116,4513,7133,4473,7141,4454,7154,4393,7157,4330xm8170,3334l8165,3286,8153,3235,8134,3182,8109,3128,8079,3072,8041,3015,7980,3040,7799,3114,7831,3160,7855,3204,7873,3244,7884,3281,7887,3317,7881,3350,7866,3381,7843,3410,7812,3433,7778,3447,7740,3451,7700,3445,7653,3427,7600,3393,7538,3343,7469,3279,7417,3222,7375,3170,7344,3123,7324,3080,7311,3028,7312,2982,7325,2941,7352,2905,7367,2892,7384,2882,7402,2874,7422,2869,7442,2867,7464,2867,7486,2870,7509,2877,7524,2882,7542,2891,7563,2902,7586,2916,7705,2691,7622,2645,7543,2613,7469,2594,7400,2588,7333,2595,7269,2618,7206,2656,7146,2708,7092,2771,7054,2838,7030,2908,7021,2982,7027,3059,7044,3126,7070,3194,7106,3263,7153,3333,7209,3404,7276,3475,7341,3536,7404,3588,7467,3632,7529,3667,7590,3695,7662,3718,7730,3731,7791,3734,7847,3727,7900,3710,7952,3683,8004,3647,8056,3600,8094,3558,8125,3515,8147,3471,8161,3427,8169,3382,8170,3334xm8868,2619l8861,2555,8846,2489,8820,2423,8792,2368,8757,2312,8714,2255,8664,2196,8646,2177,8607,2135,8583,2113,8583,2607,8578,2647,8562,2684,8536,2717,8504,2742,8467,2757,8427,2762,8382,2756,8333,2737,8279,2706,8221,2661,8157,2602,8098,2538,8052,2479,8020,2424,8002,2375,7996,2331,8000,2291,8014,2255,8039,2223,8071,2198,8108,2182,8149,2177,8193,2182,8241,2199,8293,2229,8349,2271,8409,2326,8474,2396,8524,2459,8558,2515,8577,2564,8583,2607,8583,2113,8537,2070,8467,2015,8398,1970,8330,1935,8262,1909,8194,1893,8116,1887,8040,1898,7968,1923,7900,1964,7835,2019,7781,2082,7742,2150,7718,2222,7709,2298,7715,2377,7731,2446,7758,2514,7794,2584,7839,2654,7895,2724,7961,2795,8022,2852,8082,2902,8142,2944,8201,2979,8259,3006,8329,3030,8397,3044,8461,3047,8521,3041,8579,3025,8635,2998,8690,2960,8744,2912,8791,2858,8827,2802,8844,2762,8852,2743,8865,2682,8868,2619xm9348,2278l9025,1955,9132,1848,9182,1788,9188,1778,9216,1727,9233,1663,9233,1599,9217,1533,9194,1482,9187,1467,9142,1401,9084,1335,9020,1278,8957,1235,8948,1231,8948,1624,8947,1650,8938,1676,8921,1703,8896,1731,8849,1778,8654,1584,8710,1529,8737,1505,8763,1490,8788,1482,8812,1483,8836,1489,8859,1500,8881,1514,8902,1533,8920,1554,8934,1577,8943,1600,8948,1624,8948,1231,8895,1206,8833,1190,8773,1189,8715,1203,8659,1234,8605,1279,8282,1602,9153,2474,9348,2278xm10166,1460l9801,1096,9748,945,9593,494,9540,344,9325,560,9353,630,9436,841,9492,981,9422,953,9211,870,9071,814,8854,1030,9005,1082,9456,1238,9606,1291,9971,1655,10166,1460xe" filled="true" fillcolor="#c0c0c0" stroked="false">
                <v:path arrowok="t"/>
                <v:fill opacity="32896f" type="solid"/>
                <w10:wrap type="none"/>
              </v:shape>
            </w:pict>
          </mc:Fallback>
        </mc:AlternateContent>
      </w:r>
      <w:r>
        <w:rPr/>
        <w:t>McKinnon,</w:t>
      </w:r>
      <w:r>
        <w:rPr>
          <w:spacing w:val="32"/>
        </w:rPr>
        <w:t> </w:t>
      </w:r>
      <w:r>
        <w:rPr/>
        <w:t>R.,</w:t>
      </w:r>
      <w:r>
        <w:rPr>
          <w:spacing w:val="32"/>
        </w:rPr>
        <w:t> </w:t>
      </w:r>
      <w:r>
        <w:rPr/>
        <w:t>&amp;</w:t>
      </w:r>
      <w:r>
        <w:rPr>
          <w:spacing w:val="33"/>
        </w:rPr>
        <w:t> </w:t>
      </w:r>
      <w:r>
        <w:rPr/>
        <w:t>Pill,</w:t>
      </w:r>
      <w:r>
        <w:rPr>
          <w:spacing w:val="31"/>
        </w:rPr>
        <w:t> </w:t>
      </w:r>
      <w:r>
        <w:rPr/>
        <w:t>H.,</w:t>
      </w:r>
      <w:r>
        <w:rPr>
          <w:spacing w:val="32"/>
        </w:rPr>
        <w:t> </w:t>
      </w:r>
      <w:r>
        <w:rPr/>
        <w:t>(1997).</w:t>
      </w:r>
      <w:r>
        <w:rPr>
          <w:spacing w:val="32"/>
        </w:rPr>
        <w:t> </w:t>
      </w:r>
      <w:r>
        <w:rPr/>
        <w:t>Credible</w:t>
      </w:r>
      <w:r>
        <w:rPr>
          <w:spacing w:val="32"/>
        </w:rPr>
        <w:t> </w:t>
      </w:r>
      <w:r>
        <w:rPr/>
        <w:t>economic</w:t>
      </w:r>
      <w:r>
        <w:rPr>
          <w:spacing w:val="33"/>
        </w:rPr>
        <w:t> </w:t>
      </w:r>
      <w:r>
        <w:rPr/>
        <w:t>liberalizations</w:t>
      </w:r>
      <w:r>
        <w:rPr>
          <w:spacing w:val="34"/>
        </w:rPr>
        <w:t> </w:t>
      </w:r>
      <w:r>
        <w:rPr/>
        <w:t>and</w:t>
      </w:r>
      <w:r>
        <w:rPr>
          <w:spacing w:val="32"/>
        </w:rPr>
        <w:t> </w:t>
      </w:r>
      <w:r>
        <w:rPr/>
        <w:t>over</w:t>
      </w:r>
      <w:r>
        <w:rPr>
          <w:spacing w:val="33"/>
        </w:rPr>
        <w:t> </w:t>
      </w:r>
      <w:r>
        <w:rPr>
          <w:spacing w:val="-2"/>
        </w:rPr>
        <w:t>borrowing.</w:t>
      </w:r>
    </w:p>
    <w:p>
      <w:pPr>
        <w:spacing w:line="287" w:lineRule="exact" w:before="0"/>
        <w:ind w:left="940" w:right="0" w:firstLine="0"/>
        <w:jc w:val="left"/>
        <w:rPr>
          <w:sz w:val="25"/>
        </w:rPr>
      </w:pPr>
      <w:r>
        <w:rPr>
          <w:i/>
          <w:sz w:val="25"/>
        </w:rPr>
        <w:t>American</w:t>
      </w:r>
      <w:r>
        <w:rPr>
          <w:i/>
          <w:spacing w:val="-14"/>
          <w:sz w:val="25"/>
        </w:rPr>
        <w:t> </w:t>
      </w:r>
      <w:r>
        <w:rPr>
          <w:i/>
          <w:sz w:val="25"/>
        </w:rPr>
        <w:t>Economic</w:t>
      </w:r>
      <w:r>
        <w:rPr>
          <w:i/>
          <w:spacing w:val="-13"/>
          <w:sz w:val="25"/>
        </w:rPr>
        <w:t> </w:t>
      </w:r>
      <w:r>
        <w:rPr>
          <w:i/>
          <w:sz w:val="25"/>
        </w:rPr>
        <w:t>Review</w:t>
      </w:r>
      <w:r>
        <w:rPr>
          <w:sz w:val="25"/>
        </w:rPr>
        <w:t>,</w:t>
      </w:r>
      <w:r>
        <w:rPr>
          <w:spacing w:val="-14"/>
          <w:sz w:val="25"/>
        </w:rPr>
        <w:t> </w:t>
      </w:r>
      <w:r>
        <w:rPr>
          <w:sz w:val="25"/>
        </w:rPr>
        <w:t>87(2),189-</w:t>
      </w:r>
      <w:r>
        <w:rPr>
          <w:spacing w:val="-5"/>
          <w:sz w:val="25"/>
        </w:rPr>
        <w:t>93.</w:t>
      </w:r>
    </w:p>
    <w:p>
      <w:pPr>
        <w:spacing w:before="241"/>
        <w:ind w:left="940" w:right="0" w:hanging="720"/>
        <w:jc w:val="left"/>
        <w:rPr>
          <w:sz w:val="25"/>
        </w:rPr>
      </w:pPr>
      <w:r>
        <w:rPr>
          <w:sz w:val="25"/>
        </w:rPr>
        <w:t>McKinnon,</w:t>
      </w:r>
      <w:r>
        <w:rPr>
          <w:spacing w:val="40"/>
          <w:sz w:val="25"/>
        </w:rPr>
        <w:t> </w:t>
      </w:r>
      <w:r>
        <w:rPr>
          <w:sz w:val="25"/>
        </w:rPr>
        <w:t>R.I.</w:t>
      </w:r>
      <w:r>
        <w:rPr>
          <w:spacing w:val="40"/>
          <w:sz w:val="25"/>
        </w:rPr>
        <w:t> </w:t>
      </w:r>
      <w:r>
        <w:rPr>
          <w:sz w:val="25"/>
        </w:rPr>
        <w:t>(1973).</w:t>
      </w:r>
      <w:r>
        <w:rPr>
          <w:spacing w:val="40"/>
          <w:sz w:val="25"/>
        </w:rPr>
        <w:t> </w:t>
      </w:r>
      <w:r>
        <w:rPr>
          <w:i/>
          <w:sz w:val="25"/>
        </w:rPr>
        <w:t>Money</w:t>
      </w:r>
      <w:r>
        <w:rPr>
          <w:i/>
          <w:spacing w:val="40"/>
          <w:sz w:val="25"/>
        </w:rPr>
        <w:t> </w:t>
      </w:r>
      <w:r>
        <w:rPr>
          <w:i/>
          <w:sz w:val="25"/>
        </w:rPr>
        <w:t>and</w:t>
      </w:r>
      <w:r>
        <w:rPr>
          <w:i/>
          <w:spacing w:val="40"/>
          <w:sz w:val="25"/>
        </w:rPr>
        <w:t> </w:t>
      </w:r>
      <w:r>
        <w:rPr>
          <w:i/>
          <w:sz w:val="25"/>
        </w:rPr>
        <w:t>capital</w:t>
      </w:r>
      <w:r>
        <w:rPr>
          <w:i/>
          <w:spacing w:val="40"/>
          <w:sz w:val="25"/>
        </w:rPr>
        <w:t> </w:t>
      </w:r>
      <w:r>
        <w:rPr>
          <w:i/>
          <w:sz w:val="25"/>
        </w:rPr>
        <w:t>in</w:t>
      </w:r>
      <w:r>
        <w:rPr>
          <w:i/>
          <w:spacing w:val="40"/>
          <w:sz w:val="25"/>
        </w:rPr>
        <w:t> </w:t>
      </w:r>
      <w:r>
        <w:rPr>
          <w:i/>
          <w:sz w:val="25"/>
        </w:rPr>
        <w:t>economic</w:t>
      </w:r>
      <w:r>
        <w:rPr>
          <w:i/>
          <w:spacing w:val="40"/>
          <w:sz w:val="25"/>
        </w:rPr>
        <w:t> </w:t>
      </w:r>
      <w:r>
        <w:rPr>
          <w:i/>
          <w:sz w:val="25"/>
        </w:rPr>
        <w:t>development</w:t>
      </w:r>
      <w:r>
        <w:rPr>
          <w:sz w:val="25"/>
        </w:rPr>
        <w:t>.</w:t>
      </w:r>
      <w:r>
        <w:rPr>
          <w:spacing w:val="40"/>
          <w:sz w:val="25"/>
        </w:rPr>
        <w:t> </w:t>
      </w:r>
      <w:r>
        <w:rPr>
          <w:sz w:val="25"/>
        </w:rPr>
        <w:t>Washington:</w:t>
      </w:r>
      <w:r>
        <w:rPr>
          <w:spacing w:val="40"/>
          <w:sz w:val="25"/>
        </w:rPr>
        <w:t> </w:t>
      </w:r>
      <w:r>
        <w:rPr>
          <w:sz w:val="25"/>
        </w:rPr>
        <w:t>The Brookings Institution.</w:t>
      </w:r>
    </w:p>
    <w:p>
      <w:pPr>
        <w:pStyle w:val="BodyText"/>
        <w:spacing w:before="241"/>
        <w:ind w:left="940" w:hanging="720"/>
      </w:pPr>
      <w:r>
        <w:rPr/>
        <w:t>Meyer,</w:t>
      </w:r>
      <w:r>
        <w:rPr>
          <w:spacing w:val="77"/>
        </w:rPr>
        <w:t> </w:t>
      </w:r>
      <w:r>
        <w:rPr/>
        <w:t>D.</w:t>
      </w:r>
      <w:r>
        <w:rPr>
          <w:spacing w:val="77"/>
        </w:rPr>
        <w:t> </w:t>
      </w:r>
      <w:r>
        <w:rPr/>
        <w:t>&amp;</w:t>
      </w:r>
      <w:r>
        <w:rPr>
          <w:spacing w:val="78"/>
        </w:rPr>
        <w:t> </w:t>
      </w:r>
      <w:r>
        <w:rPr/>
        <w:t>Shera,</w:t>
      </w:r>
      <w:r>
        <w:rPr>
          <w:spacing w:val="77"/>
        </w:rPr>
        <w:t> </w:t>
      </w:r>
      <w:r>
        <w:rPr/>
        <w:t>A.</w:t>
      </w:r>
      <w:r>
        <w:rPr>
          <w:spacing w:val="77"/>
        </w:rPr>
        <w:t> </w:t>
      </w:r>
      <w:r>
        <w:rPr/>
        <w:t>(2017).</w:t>
      </w:r>
      <w:r>
        <w:rPr>
          <w:spacing w:val="77"/>
        </w:rPr>
        <w:t> </w:t>
      </w:r>
      <w:r>
        <w:rPr/>
        <w:t>The</w:t>
      </w:r>
      <w:r>
        <w:rPr>
          <w:spacing w:val="77"/>
        </w:rPr>
        <w:t> </w:t>
      </w:r>
      <w:r>
        <w:rPr/>
        <w:t>impact</w:t>
      </w:r>
      <w:r>
        <w:rPr>
          <w:spacing w:val="77"/>
        </w:rPr>
        <w:t> </w:t>
      </w:r>
      <w:r>
        <w:rPr/>
        <w:t>of</w:t>
      </w:r>
      <w:r>
        <w:rPr>
          <w:spacing w:val="78"/>
        </w:rPr>
        <w:t> </w:t>
      </w:r>
      <w:r>
        <w:rPr/>
        <w:t>remittances</w:t>
      </w:r>
      <w:r>
        <w:rPr>
          <w:spacing w:val="78"/>
        </w:rPr>
        <w:t> </w:t>
      </w:r>
      <w:r>
        <w:rPr/>
        <w:t>on</w:t>
      </w:r>
      <w:r>
        <w:rPr>
          <w:spacing w:val="77"/>
        </w:rPr>
        <w:t> </w:t>
      </w:r>
      <w:r>
        <w:rPr/>
        <w:t>economic</w:t>
      </w:r>
      <w:r>
        <w:rPr>
          <w:spacing w:val="77"/>
        </w:rPr>
        <w:t> </w:t>
      </w:r>
      <w:r>
        <w:rPr/>
        <w:t>growth:</w:t>
      </w:r>
      <w:r>
        <w:rPr>
          <w:spacing w:val="78"/>
        </w:rPr>
        <w:t> </w:t>
      </w:r>
      <w:r>
        <w:rPr/>
        <w:t>An econometric model. Economia, 18(2): 147- 155.</w:t>
      </w:r>
    </w:p>
    <w:p>
      <w:pPr>
        <w:spacing w:before="239"/>
        <w:ind w:left="940" w:right="742" w:hanging="720"/>
        <w:jc w:val="left"/>
        <w:rPr>
          <w:sz w:val="25"/>
        </w:rPr>
      </w:pPr>
      <w:r>
        <w:rPr>
          <w:sz w:val="25"/>
        </w:rPr>
        <w:t>Misati, R. N. &amp; Nyamongo, E. M. (2011). Financial development and private investment in sub-Saharan Africa. </w:t>
      </w:r>
      <w:r>
        <w:rPr>
          <w:i/>
          <w:sz w:val="25"/>
        </w:rPr>
        <w:t>Journal of Economics and Business, </w:t>
      </w:r>
      <w:r>
        <w:rPr>
          <w:sz w:val="25"/>
        </w:rPr>
        <w:t>63(2): 139-151.</w:t>
      </w:r>
    </w:p>
    <w:p>
      <w:pPr>
        <w:pStyle w:val="BodyText"/>
        <w:spacing w:before="241"/>
        <w:ind w:left="940" w:right="743" w:hanging="720"/>
        <w:jc w:val="both"/>
      </w:pPr>
      <w:r>
        <w:rPr/>
        <w:t>Mishkin, F. (2003). Financial policies and the prevention of financial crises in emerging market. </w:t>
      </w:r>
      <w:r>
        <w:rPr>
          <w:i/>
        </w:rPr>
        <w:t>NBER Working Paper </w:t>
      </w:r>
      <w:r>
        <w:rPr/>
        <w:t>11891 Countries. In Feldstein, M. (ed.), Economic and financial crises in emerging market countries, University of Chicago Press</w:t>
      </w:r>
    </w:p>
    <w:p>
      <w:pPr>
        <w:pStyle w:val="BodyText"/>
        <w:spacing w:before="239"/>
        <w:ind w:left="940" w:right="735" w:hanging="720"/>
        <w:jc w:val="both"/>
      </w:pPr>
      <w:r>
        <w:rPr/>
        <w:t>Mitsuhiro, O., &amp; Masashi, S., (2010). Financial integration and economic growth: An empirical analysis using international panel data from 1974 - 2007. </w:t>
      </w:r>
      <w:r>
        <w:rPr>
          <w:i/>
        </w:rPr>
        <w:t>Working Paper Series No.10-E-5</w:t>
      </w:r>
      <w:r>
        <w:rPr/>
        <w:t>, Bank of Japan.</w:t>
      </w:r>
    </w:p>
    <w:p>
      <w:pPr>
        <w:spacing w:before="242"/>
        <w:ind w:left="220" w:right="0" w:firstLine="0"/>
        <w:jc w:val="left"/>
        <w:rPr>
          <w:sz w:val="25"/>
        </w:rPr>
      </w:pPr>
      <w:r>
        <w:rPr>
          <w:sz w:val="25"/>
        </w:rPr>
        <w:t>Morrissey,</w:t>
      </w:r>
      <w:r>
        <w:rPr>
          <w:spacing w:val="-8"/>
          <w:sz w:val="25"/>
        </w:rPr>
        <w:t> </w:t>
      </w:r>
      <w:r>
        <w:rPr>
          <w:sz w:val="25"/>
        </w:rPr>
        <w:t>O.</w:t>
      </w:r>
      <w:r>
        <w:rPr>
          <w:spacing w:val="-7"/>
          <w:sz w:val="25"/>
        </w:rPr>
        <w:t> </w:t>
      </w:r>
      <w:r>
        <w:rPr>
          <w:sz w:val="25"/>
        </w:rPr>
        <w:t>(2001).</w:t>
      </w:r>
      <w:r>
        <w:rPr>
          <w:spacing w:val="-7"/>
          <w:sz w:val="25"/>
        </w:rPr>
        <w:t> </w:t>
      </w:r>
      <w:r>
        <w:rPr>
          <w:sz w:val="25"/>
        </w:rPr>
        <w:t>Does</w:t>
      </w:r>
      <w:r>
        <w:rPr>
          <w:spacing w:val="-7"/>
          <w:sz w:val="25"/>
        </w:rPr>
        <w:t> </w:t>
      </w:r>
      <w:r>
        <w:rPr>
          <w:sz w:val="25"/>
        </w:rPr>
        <w:t>aid</w:t>
      </w:r>
      <w:r>
        <w:rPr>
          <w:spacing w:val="-7"/>
          <w:sz w:val="25"/>
        </w:rPr>
        <w:t> </w:t>
      </w:r>
      <w:r>
        <w:rPr>
          <w:sz w:val="25"/>
        </w:rPr>
        <w:t>increase</w:t>
      </w:r>
      <w:r>
        <w:rPr>
          <w:spacing w:val="-7"/>
          <w:sz w:val="25"/>
        </w:rPr>
        <w:t> </w:t>
      </w:r>
      <w:r>
        <w:rPr>
          <w:sz w:val="25"/>
        </w:rPr>
        <w:t>growth?.</w:t>
      </w:r>
      <w:r>
        <w:rPr>
          <w:spacing w:val="-6"/>
          <w:sz w:val="25"/>
        </w:rPr>
        <w:t> </w:t>
      </w:r>
      <w:r>
        <w:rPr>
          <w:i/>
          <w:sz w:val="25"/>
        </w:rPr>
        <w:t>Progress</w:t>
      </w:r>
      <w:r>
        <w:rPr>
          <w:i/>
          <w:spacing w:val="-6"/>
          <w:sz w:val="25"/>
        </w:rPr>
        <w:t> </w:t>
      </w:r>
      <w:r>
        <w:rPr>
          <w:i/>
          <w:sz w:val="25"/>
        </w:rPr>
        <w:t>in</w:t>
      </w:r>
      <w:r>
        <w:rPr>
          <w:i/>
          <w:spacing w:val="-7"/>
          <w:sz w:val="25"/>
        </w:rPr>
        <w:t> </w:t>
      </w:r>
      <w:r>
        <w:rPr>
          <w:i/>
          <w:sz w:val="25"/>
        </w:rPr>
        <w:t>Development</w:t>
      </w:r>
      <w:r>
        <w:rPr>
          <w:i/>
          <w:spacing w:val="-7"/>
          <w:sz w:val="25"/>
        </w:rPr>
        <w:t> </w:t>
      </w:r>
      <w:r>
        <w:rPr>
          <w:i/>
          <w:sz w:val="25"/>
        </w:rPr>
        <w:t>Studies</w:t>
      </w:r>
      <w:r>
        <w:rPr>
          <w:sz w:val="25"/>
        </w:rPr>
        <w:t>,</w:t>
      </w:r>
      <w:r>
        <w:rPr>
          <w:spacing w:val="-7"/>
          <w:sz w:val="25"/>
        </w:rPr>
        <w:t> </w:t>
      </w:r>
      <w:r>
        <w:rPr>
          <w:i/>
          <w:sz w:val="25"/>
        </w:rPr>
        <w:t>1</w:t>
      </w:r>
      <w:r>
        <w:rPr>
          <w:sz w:val="25"/>
        </w:rPr>
        <w:t>,</w:t>
      </w:r>
      <w:r>
        <w:rPr>
          <w:spacing w:val="-7"/>
          <w:sz w:val="25"/>
        </w:rPr>
        <w:t> </w:t>
      </w:r>
      <w:r>
        <w:rPr>
          <w:sz w:val="25"/>
        </w:rPr>
        <w:t>37-</w:t>
      </w:r>
      <w:r>
        <w:rPr>
          <w:spacing w:val="-5"/>
          <w:sz w:val="25"/>
        </w:rPr>
        <w:t>50.</w:t>
      </w:r>
    </w:p>
    <w:p>
      <w:pPr>
        <w:pStyle w:val="BodyText"/>
        <w:spacing w:before="238"/>
        <w:ind w:left="940" w:right="736" w:hanging="720"/>
        <w:jc w:val="both"/>
      </w:pPr>
      <w:r>
        <w:rPr/>
        <w:t>Mougani, G. (2006), Intégration financière internationale, incidences macro-économiques et volatilité des flux de capitaux extérieurs : une analyse empirique dans le cas des pays de la CEMAC, </w:t>
      </w:r>
      <w:r>
        <w:rPr>
          <w:i/>
        </w:rPr>
        <w:t>Document de recherche </w:t>
      </w:r>
      <w:r>
        <w:rPr/>
        <w:t>no 2006-7, Université d’Orléans, France.</w:t>
      </w:r>
    </w:p>
    <w:p>
      <w:pPr>
        <w:spacing w:before="242"/>
        <w:ind w:left="940" w:right="740" w:hanging="720"/>
        <w:jc w:val="both"/>
        <w:rPr>
          <w:sz w:val="25"/>
        </w:rPr>
      </w:pPr>
      <w:r>
        <w:rPr>
          <w:sz w:val="25"/>
        </w:rPr>
        <w:t>Moyo, T. (2013). The impact of foreign direct investment on economic growth: the case of Zimbabwe (2009 – 2012). </w:t>
      </w:r>
      <w:r>
        <w:rPr>
          <w:i/>
          <w:sz w:val="25"/>
        </w:rPr>
        <w:t>International journal of economics, finance and management sciences </w:t>
      </w:r>
      <w:r>
        <w:rPr>
          <w:sz w:val="25"/>
        </w:rPr>
        <w:t>1 (6), 323 – 329.</w:t>
      </w:r>
    </w:p>
    <w:p>
      <w:pPr>
        <w:pStyle w:val="BodyText"/>
        <w:spacing w:before="240"/>
        <w:ind w:left="940" w:right="736" w:hanging="720"/>
        <w:jc w:val="both"/>
      </w:pPr>
      <w:r>
        <w:rPr/>
        <w:t>Mujahid, H. &amp; Alam, S. (2014). The impact of financial openness, tradeopenness on macroeconomic volatility in Pakistan: ARDL Co Integration approach, Journal of Business Management and Economics, 5(1): 001-008</w:t>
      </w:r>
    </w:p>
    <w:p>
      <w:pPr>
        <w:pStyle w:val="BodyText"/>
        <w:spacing w:before="239"/>
        <w:ind w:left="940" w:right="734" w:hanging="720"/>
        <w:jc w:val="both"/>
      </w:pPr>
      <w:r>
        <w:rPr/>
        <w:t>Muthoga, S. (2012). Effects of regional financial integration on economic growth and intra- regional trade of East African Community Member Countries. </w:t>
      </w:r>
      <w:r>
        <w:rPr>
          <w:i/>
        </w:rPr>
        <w:t>Unpublished PhD Thesis</w:t>
      </w:r>
      <w:r>
        <w:rPr/>
        <w:t>, Kenyatta University, Kenya.</w:t>
      </w:r>
    </w:p>
    <w:p>
      <w:pPr>
        <w:spacing w:after="0"/>
        <w:jc w:val="both"/>
        <w:sectPr>
          <w:pgSz w:w="12240" w:h="15840"/>
          <w:pgMar w:header="0" w:footer="1012" w:top="1380" w:bottom="1200" w:left="1220" w:right="700"/>
        </w:sectPr>
      </w:pPr>
    </w:p>
    <w:p>
      <w:pPr>
        <w:spacing w:before="60"/>
        <w:ind w:left="940" w:right="734" w:hanging="720"/>
        <w:jc w:val="both"/>
        <w:rPr>
          <w:sz w:val="25"/>
        </w:rPr>
      </w:pPr>
      <w:r>
        <w:rPr>
          <w:sz w:val="25"/>
        </w:rPr>
        <w:t>Najia, S., Maryam, M. &amp; Nabeel, R. (2013). Impact of foreign direct investment on</w:t>
      </w:r>
      <w:r>
        <w:rPr>
          <w:spacing w:val="40"/>
          <w:sz w:val="25"/>
        </w:rPr>
        <w:t> </w:t>
      </w:r>
      <w:r>
        <w:rPr>
          <w:sz w:val="25"/>
        </w:rPr>
        <w:t>economic growth of Pakistan. </w:t>
      </w:r>
      <w:r>
        <w:rPr>
          <w:i/>
          <w:sz w:val="25"/>
        </w:rPr>
        <w:t>Advances in Management &amp; Applied Economics</w:t>
      </w:r>
      <w:r>
        <w:rPr>
          <w:sz w:val="25"/>
        </w:rPr>
        <w:t>, 3(1) 35 – 45.</w:t>
      </w:r>
    </w:p>
    <w:p>
      <w:pPr>
        <w:pStyle w:val="BodyText"/>
        <w:spacing w:before="239"/>
      </w:pPr>
      <w:r>
        <w:rPr/>
        <w:t>Niyonkuru,</w:t>
      </w:r>
      <w:r>
        <w:rPr>
          <w:spacing w:val="-5"/>
        </w:rPr>
        <w:t> </w:t>
      </w:r>
      <w:r>
        <w:rPr/>
        <w:t>F.</w:t>
      </w:r>
      <w:r>
        <w:rPr>
          <w:spacing w:val="-4"/>
        </w:rPr>
        <w:t> </w:t>
      </w:r>
      <w:r>
        <w:rPr/>
        <w:t>(2016).</w:t>
      </w:r>
      <w:r>
        <w:rPr>
          <w:spacing w:val="-4"/>
        </w:rPr>
        <w:t> </w:t>
      </w:r>
      <w:r>
        <w:rPr/>
        <w:t>Failure</w:t>
      </w:r>
      <w:r>
        <w:rPr>
          <w:spacing w:val="-5"/>
        </w:rPr>
        <w:t> </w:t>
      </w:r>
      <w:r>
        <w:rPr/>
        <w:t>of</w:t>
      </w:r>
      <w:r>
        <w:rPr>
          <w:spacing w:val="-4"/>
        </w:rPr>
        <w:t> </w:t>
      </w:r>
      <w:r>
        <w:rPr/>
        <w:t>foreign</w:t>
      </w:r>
      <w:r>
        <w:rPr>
          <w:spacing w:val="-5"/>
        </w:rPr>
        <w:t> </w:t>
      </w:r>
      <w:r>
        <w:rPr/>
        <w:t>aid</w:t>
      </w:r>
      <w:r>
        <w:rPr>
          <w:spacing w:val="-5"/>
        </w:rPr>
        <w:t> </w:t>
      </w:r>
      <w:r>
        <w:rPr/>
        <w:t>in</w:t>
      </w:r>
      <w:r>
        <w:rPr>
          <w:spacing w:val="-4"/>
        </w:rPr>
        <w:t> </w:t>
      </w:r>
      <w:r>
        <w:rPr/>
        <w:t>developing</w:t>
      </w:r>
      <w:r>
        <w:rPr>
          <w:spacing w:val="-4"/>
        </w:rPr>
        <w:t> </w:t>
      </w:r>
      <w:r>
        <w:rPr/>
        <w:t>countries:</w:t>
      </w:r>
      <w:r>
        <w:rPr>
          <w:spacing w:val="-4"/>
        </w:rPr>
        <w:t> </w:t>
      </w:r>
      <w:r>
        <w:rPr/>
        <w:t>A</w:t>
      </w:r>
      <w:r>
        <w:rPr>
          <w:spacing w:val="-5"/>
        </w:rPr>
        <w:t> </w:t>
      </w:r>
      <w:r>
        <w:rPr/>
        <w:t>quest</w:t>
      </w:r>
      <w:r>
        <w:rPr>
          <w:spacing w:val="-4"/>
        </w:rPr>
        <w:t> </w:t>
      </w:r>
      <w:r>
        <w:rPr/>
        <w:t>for</w:t>
      </w:r>
      <w:r>
        <w:rPr>
          <w:spacing w:val="-5"/>
        </w:rPr>
        <w:t> </w:t>
      </w:r>
      <w:r>
        <w:rPr>
          <w:spacing w:val="-2"/>
        </w:rPr>
        <w:t>alternatives.</w:t>
      </w:r>
    </w:p>
    <w:p>
      <w:pPr>
        <w:spacing w:before="0"/>
        <w:ind w:left="940" w:right="0" w:firstLine="0"/>
        <w:jc w:val="left"/>
        <w:rPr>
          <w:sz w:val="25"/>
        </w:rPr>
      </w:pPr>
      <w:r>
        <w:rPr>
          <w:i/>
          <w:sz w:val="25"/>
        </w:rPr>
        <w:t>Business</w:t>
      </w:r>
      <w:r>
        <w:rPr>
          <w:i/>
          <w:spacing w:val="-7"/>
          <w:sz w:val="25"/>
        </w:rPr>
        <w:t> </w:t>
      </w:r>
      <w:r>
        <w:rPr>
          <w:i/>
          <w:sz w:val="25"/>
        </w:rPr>
        <w:t>and</w:t>
      </w:r>
      <w:r>
        <w:rPr>
          <w:i/>
          <w:spacing w:val="-8"/>
          <w:sz w:val="25"/>
        </w:rPr>
        <w:t> </w:t>
      </w:r>
      <w:r>
        <w:rPr>
          <w:i/>
          <w:sz w:val="25"/>
        </w:rPr>
        <w:t>Economics</w:t>
      </w:r>
      <w:r>
        <w:rPr>
          <w:i/>
          <w:spacing w:val="-7"/>
          <w:sz w:val="25"/>
        </w:rPr>
        <w:t> </w:t>
      </w:r>
      <w:r>
        <w:rPr>
          <w:i/>
          <w:sz w:val="25"/>
        </w:rPr>
        <w:t>Journal</w:t>
      </w:r>
      <w:r>
        <w:rPr>
          <w:sz w:val="25"/>
        </w:rPr>
        <w:t>,</w:t>
      </w:r>
      <w:r>
        <w:rPr>
          <w:spacing w:val="-8"/>
          <w:sz w:val="25"/>
        </w:rPr>
        <w:t> </w:t>
      </w:r>
      <w:r>
        <w:rPr>
          <w:i/>
          <w:sz w:val="25"/>
        </w:rPr>
        <w:t>7</w:t>
      </w:r>
      <w:r>
        <w:rPr>
          <w:sz w:val="25"/>
        </w:rPr>
        <w:t>,</w:t>
      </w:r>
      <w:r>
        <w:rPr>
          <w:spacing w:val="-7"/>
          <w:sz w:val="25"/>
        </w:rPr>
        <w:t> </w:t>
      </w:r>
      <w:r>
        <w:rPr>
          <w:sz w:val="25"/>
        </w:rPr>
        <w:t>1-</w:t>
      </w:r>
      <w:r>
        <w:rPr>
          <w:spacing w:val="-5"/>
          <w:sz w:val="25"/>
        </w:rPr>
        <w:t>9.</w:t>
      </w:r>
    </w:p>
    <w:p>
      <w:pPr>
        <w:spacing w:before="241"/>
        <w:ind w:left="940" w:right="741" w:hanging="720"/>
        <w:jc w:val="both"/>
        <w:rPr>
          <w:sz w:val="25"/>
        </w:rPr>
      </w:pPr>
      <w:r>
        <w:rPr/>
        <mc:AlternateContent>
          <mc:Choice Requires="wps">
            <w:drawing>
              <wp:anchor distT="0" distB="0" distL="0" distR="0" allowOverlap="1" layoutInCell="1" locked="0" behindDoc="1" simplePos="0" relativeHeight="478117376">
                <wp:simplePos x="0" y="0"/>
                <wp:positionH relativeFrom="page">
                  <wp:posOffset>950112</wp:posOffset>
                </wp:positionH>
                <wp:positionV relativeFrom="paragraph">
                  <wp:posOffset>218453</wp:posOffset>
                </wp:positionV>
                <wp:extent cx="5505450" cy="5661025"/>
                <wp:effectExtent l="0" t="0" r="0" b="0"/>
                <wp:wrapNone/>
                <wp:docPr id="229" name="Graphic 229"/>
                <wp:cNvGraphicFramePr>
                  <a:graphicFrameLocks/>
                </wp:cNvGraphicFramePr>
                <a:graphic>
                  <a:graphicData uri="http://schemas.microsoft.com/office/word/2010/wordprocessingShape">
                    <wps:wsp>
                      <wps:cNvPr id="229" name="Graphic 22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7.201075pt;width:433.5pt;height:445.75pt;mso-position-horizontal-relative:page;mso-position-vertical-relative:paragraph;z-index:-25199104" id="docshape229" coordorigin="1496,344" coordsize="8670,8915" path="m2562,9064l1691,8193,1496,8388,2367,9259,2562,9064xm3154,8388l3153,8348,3148,8305,3139,8262,3125,8218,3106,8174,3083,8131,3055,8089,3025,8047,2991,8007,2954,7968,2435,7449,2241,7643,2772,8175,2805,8211,2829,8246,2846,8281,2856,8315,2858,8348,2851,8378,2837,8407,2816,8433,2790,8455,2761,8469,2730,8475,2697,8472,2663,8463,2628,8446,2593,8422,2557,8390,2026,7858,1831,8052,2351,8572,2385,8604,2424,8636,2468,8669,2516,8701,2548,8720,2583,8736,2620,8749,2658,8760,2697,8768,2733,8771,2767,8772,2800,8768,2831,8761,2863,8750,2895,8733,2926,8713,2957,8690,2985,8667,3011,8644,3035,8621,3071,8581,3102,8540,3125,8498,3142,8456,3150,8424,3154,8388xm3882,7604l3876,7540,3860,7475,3834,7408,3806,7354,3771,7298,3728,7240,3678,7181,3661,7162,3621,7121,3597,7098,3597,7592,3592,7633,3577,7669,3551,7702,3518,7728,3481,7743,3441,7747,3396,7741,3347,7723,3294,7691,3235,7646,3171,7587,3112,7523,3066,7464,3035,7410,3016,7361,3010,7316,3014,7276,3029,7240,3053,7208,3086,7183,3122,7167,3163,7162,3207,7167,3255,7185,3307,7215,3363,7257,3423,7312,3488,7382,3538,7444,3572,7500,3591,7549,3597,7592,3597,7098,3551,7056,3482,7001,3413,6955,3344,6920,3276,6894,3209,6878,3130,6873,3055,6883,2983,6908,2914,6949,2850,7004,2796,7068,2756,7135,2732,7207,2723,7283,2729,7362,2746,7431,2772,7500,2808,7569,2854,7639,2910,7710,2976,7781,3036,7838,3096,7887,3156,7929,3215,7964,3273,7991,3344,8016,3411,8029,3475,8033,3535,8027,3593,8010,3649,7983,3705,7945,3758,7897,3805,7844,3841,7787,3858,7747,3866,7729,3879,7667,3882,7604xm4153,7025l3966,6838,3712,7092,3899,7279,4153,7025xm4664,6962l3793,6091,3598,6286,4469,7157,4664,6962xm4998,6628l4675,6305,4781,6198,4832,6138,4837,6128,4866,6077,4883,6013,4882,5949,4866,5883,4843,5832,4836,5817,4792,5751,4733,5685,4670,5628,4607,5585,4598,5581,4598,5974,4597,6000,4587,6026,4570,6053,4546,6081,4498,6128,4304,5934,4359,5878,4386,5855,4412,5840,4438,5832,4462,5833,4486,5839,4509,5850,4531,5864,4552,5882,4570,5904,4584,5926,4593,5950,4598,5974,4598,5581,4544,5556,4483,5540,4423,5539,4365,5553,4309,5584,4255,5629,3931,5952,4803,6823,4998,6628xm5788,5838l5132,5182,5330,4984,5115,4769,4524,5360,4739,5575,4937,5377,5593,6033,5788,5838xm6423,5203l5767,4547,5966,4348,5751,4133,5159,4725,5374,4940,5573,4741,6229,5397,6423,5203xm7157,4330l7151,4265,7135,4200,7109,4133,7081,4079,7046,4023,7003,3965,6953,3906,6935,3887,6896,3846,6872,3824,6872,4317,6867,4358,6851,4394,6825,4428,6793,4453,6756,4468,6716,4472,6671,4466,6622,4448,6569,4416,6510,4371,6446,4312,6387,4248,6341,4189,6309,4135,6291,4086,6285,4041,6289,4001,6304,3965,6328,3934,6361,3908,6397,3893,6438,3887,6482,3893,6530,3910,6582,3940,6638,3982,6698,4037,6763,4107,6813,4169,6847,4225,6866,4274,6872,4317,6872,3824,6826,3781,6756,3726,6687,3681,6619,3645,6551,3620,6483,3604,6405,3598,6329,3608,6258,3633,6189,3674,6125,3729,6071,3793,6031,3861,6007,3932,5998,4008,6004,4088,6021,4156,6047,4225,6083,4294,6129,4364,6184,4435,6250,4506,6311,4563,6371,4612,6431,4655,6490,4689,6548,4717,6619,4741,6686,4755,6750,4758,6810,4752,6868,4736,6924,4708,6979,4671,7033,4623,7080,4569,7116,4513,7133,4472,7141,4454,7154,4393,7157,4330xm8170,3334l8165,3285,8153,3235,8134,3182,8109,3128,8079,3072,8041,3015,7980,3039,7799,3114,7831,3160,7855,3203,7873,3244,7884,3281,7887,3316,7881,3349,7866,3380,7843,3409,7812,3433,7778,3447,7740,3451,7700,3445,7653,3426,7600,3392,7538,3343,7469,3278,7417,3222,7375,3170,7344,3123,7324,3080,7311,3028,7312,2982,7325,2941,7352,2905,7367,2892,7384,2881,7402,2873,7422,2869,7442,2867,7464,2867,7486,2870,7509,2876,7524,2882,7542,2890,7563,2901,7586,2916,7705,2691,7622,2645,7543,2613,7469,2594,7400,2587,7333,2595,7269,2618,7206,2656,7146,2708,7092,2771,7054,2837,7030,2907,7021,2981,7027,3059,7044,3126,7070,3194,7106,3263,7153,3333,7209,3403,7276,3475,7341,3536,7404,3588,7467,3631,7529,3667,7590,3694,7662,3718,7730,3731,7791,3734,7847,3727,7900,3710,7952,3683,8004,3646,8056,3600,8094,3557,8125,3514,8147,3471,8161,3426,8169,3381,8170,3334xm8868,2619l8861,2555,8846,2489,8820,2422,8792,2368,8757,2312,8714,2254,8664,2195,8646,2177,8607,2135,8583,2113,8583,2607,8578,2647,8562,2684,8536,2717,8504,2742,8467,2757,8427,2762,8382,2755,8333,2737,8279,2706,8221,2660,8157,2601,8098,2537,8052,2478,8020,2424,8002,2375,7996,2331,8000,2290,8014,2254,8039,2223,8071,2197,8108,2182,8149,2177,8193,2182,8241,2199,8293,2229,8349,2271,8409,2326,8474,2396,8524,2459,8558,2514,8577,2563,8583,2607,8583,2113,8537,2070,8467,2015,8398,1970,8330,1934,8262,1909,8194,1893,8116,1887,8040,1897,7968,1923,7900,1963,7835,2019,7781,2082,7742,2150,7718,2221,7709,2297,7715,2377,7731,2445,7758,2514,7794,2584,7839,2654,7895,2724,7961,2795,8022,2852,8082,2902,8142,2944,8201,2978,8259,3006,8329,3030,8397,3044,8461,3047,8521,3041,8579,3025,8635,2998,8690,2960,8744,2912,8791,2858,8827,2802,8844,2762,8852,2743,8865,2682,8868,2619xm9348,2278l9025,1954,9132,1848,9182,1788,9188,1778,9216,1726,9233,1663,9233,1598,9217,1533,9194,1482,9187,1467,9142,1401,9084,1335,9020,1278,8957,1235,8948,1231,8948,1624,8947,1649,8938,1676,8921,1703,8896,1730,8849,1778,8654,1584,8710,1528,8737,1505,8763,1489,8788,1482,8812,1482,8836,1489,8859,1499,8881,1514,8902,1532,8920,1554,8934,1576,8943,1600,8948,1624,8948,1231,8895,1205,8833,1189,8773,1188,8715,1203,8659,1233,8605,1278,8282,1602,9153,2473,9348,2278xm10166,1460l9801,1095,9748,945,9593,494,9540,344,9325,559,9353,629,9436,840,9492,981,9422,952,9211,869,9071,813,8854,1029,9005,1082,9456,1238,9606,1290,9971,1655,10166,1460xe" filled="true" fillcolor="#c0c0c0" stroked="false">
                <v:path arrowok="t"/>
                <v:fill opacity="32896f" type="solid"/>
                <w10:wrap type="none"/>
              </v:shape>
            </w:pict>
          </mc:Fallback>
        </mc:AlternateContent>
      </w:r>
      <w:r>
        <w:rPr>
          <w:sz w:val="25"/>
        </w:rPr>
        <w:t>Nkoro, E. &amp;Uko, A. K. (2013). Foreign capital inflows and economic growth in Nigeria: An empirical approach. </w:t>
      </w:r>
      <w:r>
        <w:rPr>
          <w:i/>
          <w:sz w:val="25"/>
        </w:rPr>
        <w:t>Asian Journal of Empirical Research, </w:t>
      </w:r>
      <w:r>
        <w:rPr>
          <w:sz w:val="25"/>
        </w:rPr>
        <w:t>2(5), 149-161.</w:t>
      </w:r>
    </w:p>
    <w:p>
      <w:pPr>
        <w:pStyle w:val="BodyText"/>
        <w:spacing w:before="238"/>
        <w:ind w:left="940" w:right="741" w:hanging="720"/>
        <w:jc w:val="both"/>
      </w:pPr>
      <w:r>
        <w:rPr/>
        <w:t>North D. C. &amp; Weingast B. N. (1989) Constitution and commitment: The Evolution of Institutional Governing Public Choice in Seventeenth Century England. The Journal of Economic History, 49, (4) 803-832</w:t>
      </w:r>
    </w:p>
    <w:p>
      <w:pPr>
        <w:pStyle w:val="BodyText"/>
        <w:spacing w:line="287" w:lineRule="exact" w:before="243"/>
      </w:pPr>
      <w:r>
        <w:rPr/>
        <w:t>Nwosa,</w:t>
      </w:r>
      <w:r>
        <w:rPr>
          <w:spacing w:val="58"/>
          <w:w w:val="150"/>
        </w:rPr>
        <w:t> </w:t>
      </w:r>
      <w:r>
        <w:rPr/>
        <w:t>P.</w:t>
      </w:r>
      <w:r>
        <w:rPr>
          <w:spacing w:val="59"/>
          <w:w w:val="150"/>
        </w:rPr>
        <w:t> </w:t>
      </w:r>
      <w:r>
        <w:rPr/>
        <w:t>&amp;</w:t>
      </w:r>
      <w:r>
        <w:rPr>
          <w:spacing w:val="59"/>
          <w:w w:val="150"/>
        </w:rPr>
        <w:t> </w:t>
      </w:r>
      <w:r>
        <w:rPr/>
        <w:t>Amassoma,</w:t>
      </w:r>
      <w:r>
        <w:rPr>
          <w:spacing w:val="58"/>
          <w:w w:val="150"/>
        </w:rPr>
        <w:t> </w:t>
      </w:r>
      <w:r>
        <w:rPr/>
        <w:t>D.</w:t>
      </w:r>
      <w:r>
        <w:rPr>
          <w:spacing w:val="58"/>
          <w:w w:val="150"/>
        </w:rPr>
        <w:t> </w:t>
      </w:r>
      <w:r>
        <w:rPr/>
        <w:t>(2014).</w:t>
      </w:r>
      <w:r>
        <w:rPr>
          <w:spacing w:val="59"/>
          <w:w w:val="150"/>
        </w:rPr>
        <w:t> </w:t>
      </w:r>
      <w:r>
        <w:rPr/>
        <w:t>Capital</w:t>
      </w:r>
      <w:r>
        <w:rPr>
          <w:spacing w:val="58"/>
          <w:w w:val="150"/>
        </w:rPr>
        <w:t> </w:t>
      </w:r>
      <w:r>
        <w:rPr/>
        <w:t>inflows</w:t>
      </w:r>
      <w:r>
        <w:rPr>
          <w:spacing w:val="60"/>
          <w:w w:val="150"/>
        </w:rPr>
        <w:t> </w:t>
      </w:r>
      <w:r>
        <w:rPr/>
        <w:t>and</w:t>
      </w:r>
      <w:r>
        <w:rPr>
          <w:spacing w:val="58"/>
          <w:w w:val="150"/>
        </w:rPr>
        <w:t> </w:t>
      </w:r>
      <w:r>
        <w:rPr/>
        <w:t>exchange</w:t>
      </w:r>
      <w:r>
        <w:rPr>
          <w:spacing w:val="58"/>
          <w:w w:val="150"/>
        </w:rPr>
        <w:t> </w:t>
      </w:r>
      <w:r>
        <w:rPr/>
        <w:t>rate</w:t>
      </w:r>
      <w:r>
        <w:rPr>
          <w:spacing w:val="59"/>
          <w:w w:val="150"/>
        </w:rPr>
        <w:t> </w:t>
      </w:r>
      <w:r>
        <w:rPr/>
        <w:t>in</w:t>
      </w:r>
      <w:r>
        <w:rPr>
          <w:spacing w:val="58"/>
          <w:w w:val="150"/>
        </w:rPr>
        <w:t> </w:t>
      </w:r>
      <w:r>
        <w:rPr>
          <w:spacing w:val="-2"/>
        </w:rPr>
        <w:t>Nigeria:</w:t>
      </w:r>
    </w:p>
    <w:p>
      <w:pPr>
        <w:spacing w:line="287" w:lineRule="exact" w:before="0"/>
        <w:ind w:left="940" w:right="0" w:firstLine="0"/>
        <w:jc w:val="left"/>
        <w:rPr>
          <w:i/>
          <w:sz w:val="25"/>
        </w:rPr>
      </w:pPr>
      <w:r>
        <w:rPr>
          <w:i/>
          <w:sz w:val="25"/>
        </w:rPr>
        <w:t>Mediterranean</w:t>
      </w:r>
      <w:r>
        <w:rPr>
          <w:i/>
          <w:spacing w:val="-8"/>
          <w:sz w:val="25"/>
        </w:rPr>
        <w:t> </w:t>
      </w:r>
      <w:r>
        <w:rPr>
          <w:i/>
          <w:sz w:val="25"/>
        </w:rPr>
        <w:t>Journal</w:t>
      </w:r>
      <w:r>
        <w:rPr>
          <w:i/>
          <w:spacing w:val="-8"/>
          <w:sz w:val="25"/>
        </w:rPr>
        <w:t> </w:t>
      </w:r>
      <w:r>
        <w:rPr>
          <w:i/>
          <w:sz w:val="25"/>
        </w:rPr>
        <w:t>of</w:t>
      </w:r>
      <w:r>
        <w:rPr>
          <w:i/>
          <w:spacing w:val="-8"/>
          <w:sz w:val="25"/>
        </w:rPr>
        <w:t> </w:t>
      </w:r>
      <w:r>
        <w:rPr>
          <w:i/>
          <w:sz w:val="25"/>
        </w:rPr>
        <w:t>Social</w:t>
      </w:r>
      <w:r>
        <w:rPr>
          <w:i/>
          <w:spacing w:val="-7"/>
          <w:sz w:val="25"/>
        </w:rPr>
        <w:t> </w:t>
      </w:r>
      <w:r>
        <w:rPr>
          <w:i/>
          <w:sz w:val="25"/>
        </w:rPr>
        <w:t>Sciences</w:t>
      </w:r>
      <w:r>
        <w:rPr>
          <w:i/>
          <w:spacing w:val="-7"/>
          <w:sz w:val="25"/>
        </w:rPr>
        <w:t> </w:t>
      </w:r>
      <w:r>
        <w:rPr>
          <w:i/>
          <w:sz w:val="25"/>
        </w:rPr>
        <w:t>(5)</w:t>
      </w:r>
      <w:r>
        <w:rPr>
          <w:i/>
          <w:spacing w:val="-7"/>
          <w:sz w:val="25"/>
        </w:rPr>
        <w:t> </w:t>
      </w:r>
      <w:r>
        <w:rPr>
          <w:i/>
          <w:spacing w:val="-10"/>
          <w:sz w:val="25"/>
        </w:rPr>
        <w:t>7</w:t>
      </w:r>
    </w:p>
    <w:p>
      <w:pPr>
        <w:spacing w:before="240"/>
        <w:ind w:left="940" w:right="740" w:hanging="720"/>
        <w:jc w:val="both"/>
        <w:rPr>
          <w:i/>
          <w:sz w:val="25"/>
        </w:rPr>
      </w:pPr>
      <w:r>
        <w:rPr>
          <w:sz w:val="25"/>
        </w:rPr>
        <w:t>Obadan, M.I. (2011). Foreign capital flows and external debt: </w:t>
      </w:r>
      <w:r>
        <w:rPr>
          <w:i/>
          <w:sz w:val="25"/>
        </w:rPr>
        <w:t>perspectives on Nigeria and the LDCs Group. Lagos: Broadway Press Limited</w:t>
      </w:r>
    </w:p>
    <w:p>
      <w:pPr>
        <w:spacing w:before="241"/>
        <w:ind w:left="940" w:right="739" w:hanging="720"/>
        <w:jc w:val="both"/>
        <w:rPr>
          <w:sz w:val="25"/>
        </w:rPr>
      </w:pPr>
      <w:r>
        <w:rPr>
          <w:sz w:val="25"/>
        </w:rPr>
        <w:t>Obstfeld, M. (2004). Risk-taking, global diversification, and growth. </w:t>
      </w:r>
      <w:r>
        <w:rPr>
          <w:i/>
          <w:sz w:val="25"/>
        </w:rPr>
        <w:t>American Economic Review</w:t>
      </w:r>
      <w:r>
        <w:rPr>
          <w:sz w:val="25"/>
        </w:rPr>
        <w:t>, 84: 1310-29.</w:t>
      </w:r>
    </w:p>
    <w:p>
      <w:pPr>
        <w:pStyle w:val="BodyText"/>
        <w:spacing w:before="239"/>
        <w:ind w:left="940" w:right="747" w:hanging="720"/>
        <w:jc w:val="both"/>
      </w:pPr>
      <w:r>
        <w:rPr/>
        <w:t>Obstfeld, M., &amp; Taylor, A.M. (2003). Globalization and capital markets. National Bureau of Economic Research: University of Chicago Press.</w:t>
      </w:r>
    </w:p>
    <w:p>
      <w:pPr>
        <w:spacing w:before="241"/>
        <w:ind w:left="940" w:right="735" w:hanging="720"/>
        <w:jc w:val="both"/>
        <w:rPr>
          <w:sz w:val="25"/>
        </w:rPr>
      </w:pPr>
      <w:r>
        <w:rPr>
          <w:sz w:val="25"/>
        </w:rPr>
        <w:t>Oji-Okoro</w:t>
      </w:r>
      <w:r>
        <w:rPr>
          <w:spacing w:val="33"/>
          <w:sz w:val="25"/>
        </w:rPr>
        <w:t> </w:t>
      </w:r>
      <w:r>
        <w:rPr>
          <w:sz w:val="25"/>
        </w:rPr>
        <w:t>I.,</w:t>
      </w:r>
      <w:r>
        <w:rPr>
          <w:spacing w:val="33"/>
          <w:sz w:val="25"/>
        </w:rPr>
        <w:t> </w:t>
      </w:r>
      <w:r>
        <w:rPr>
          <w:sz w:val="25"/>
        </w:rPr>
        <w:t>Huang</w:t>
      </w:r>
      <w:r>
        <w:rPr>
          <w:spacing w:val="32"/>
          <w:sz w:val="25"/>
        </w:rPr>
        <w:t> </w:t>
      </w:r>
      <w:r>
        <w:rPr>
          <w:sz w:val="25"/>
        </w:rPr>
        <w:t>H.,</w:t>
      </w:r>
      <w:r>
        <w:rPr>
          <w:spacing w:val="32"/>
          <w:sz w:val="25"/>
        </w:rPr>
        <w:t> </w:t>
      </w:r>
      <w:r>
        <w:rPr>
          <w:sz w:val="25"/>
        </w:rPr>
        <w:t>&amp;</w:t>
      </w:r>
      <w:r>
        <w:rPr>
          <w:spacing w:val="33"/>
          <w:sz w:val="25"/>
        </w:rPr>
        <w:t> </w:t>
      </w:r>
      <w:r>
        <w:rPr>
          <w:sz w:val="25"/>
        </w:rPr>
        <w:t>Abba</w:t>
      </w:r>
      <w:r>
        <w:rPr>
          <w:spacing w:val="32"/>
          <w:sz w:val="25"/>
        </w:rPr>
        <w:t> </w:t>
      </w:r>
      <w:r>
        <w:rPr>
          <w:sz w:val="25"/>
        </w:rPr>
        <w:t>S.</w:t>
      </w:r>
      <w:r>
        <w:rPr>
          <w:spacing w:val="33"/>
          <w:sz w:val="25"/>
        </w:rPr>
        <w:t> </w:t>
      </w:r>
      <w:r>
        <w:rPr>
          <w:sz w:val="25"/>
        </w:rPr>
        <w:t>A.</w:t>
      </w:r>
      <w:r>
        <w:rPr>
          <w:spacing w:val="40"/>
          <w:sz w:val="25"/>
        </w:rPr>
        <w:t>  </w:t>
      </w:r>
      <w:r>
        <w:rPr>
          <w:sz w:val="25"/>
        </w:rPr>
        <w:t>&amp; Edun</w:t>
      </w:r>
      <w:r>
        <w:rPr>
          <w:spacing w:val="33"/>
          <w:sz w:val="25"/>
        </w:rPr>
        <w:t> </w:t>
      </w:r>
      <w:r>
        <w:rPr>
          <w:sz w:val="25"/>
        </w:rPr>
        <w:t>A.</w:t>
      </w:r>
      <w:r>
        <w:rPr>
          <w:spacing w:val="32"/>
          <w:sz w:val="25"/>
        </w:rPr>
        <w:t> </w:t>
      </w:r>
      <w:r>
        <w:rPr>
          <w:sz w:val="25"/>
        </w:rPr>
        <w:t>O.</w:t>
      </w:r>
      <w:r>
        <w:rPr>
          <w:spacing w:val="32"/>
          <w:sz w:val="25"/>
        </w:rPr>
        <w:t> </w:t>
      </w:r>
      <w:r>
        <w:rPr>
          <w:sz w:val="25"/>
        </w:rPr>
        <w:t>(2014).</w:t>
      </w:r>
      <w:r>
        <w:rPr>
          <w:spacing w:val="33"/>
          <w:sz w:val="25"/>
        </w:rPr>
        <w:t> </w:t>
      </w:r>
      <w:r>
        <w:rPr>
          <w:sz w:val="25"/>
        </w:rPr>
        <w:t>FDI Trade</w:t>
      </w:r>
      <w:r>
        <w:rPr>
          <w:spacing w:val="39"/>
          <w:sz w:val="25"/>
        </w:rPr>
        <w:t> </w:t>
      </w:r>
      <w:r>
        <w:rPr>
          <w:sz w:val="25"/>
          <w:vertAlign w:val="superscript"/>
        </w:rPr>
        <w:t>v</w:t>
      </w:r>
      <w:r>
        <w:rPr>
          <w:spacing w:val="80"/>
          <w:sz w:val="25"/>
          <w:vertAlign w:val="baseline"/>
        </w:rPr>
        <w:t>  </w:t>
      </w:r>
      <w:r>
        <w:rPr>
          <w:sz w:val="25"/>
          <w:vertAlign w:val="baseline"/>
        </w:rPr>
        <w:t>and</w:t>
      </w:r>
      <w:r>
        <w:rPr>
          <w:spacing w:val="40"/>
          <w:sz w:val="25"/>
          <w:vertAlign w:val="baseline"/>
        </w:rPr>
        <w:t>  </w:t>
      </w:r>
      <w:r>
        <w:rPr>
          <w:sz w:val="25"/>
          <w:vertAlign w:val="baseline"/>
        </w:rPr>
        <w:t>Its Effects</w:t>
      </w:r>
      <w:r>
        <w:rPr>
          <w:spacing w:val="40"/>
          <w:sz w:val="25"/>
          <w:vertAlign w:val="baseline"/>
        </w:rPr>
        <w:t> </w:t>
      </w:r>
      <w:r>
        <w:rPr>
          <w:sz w:val="25"/>
          <w:vertAlign w:val="baseline"/>
        </w:rPr>
        <w:t>on</w:t>
      </w:r>
      <w:r>
        <w:rPr>
          <w:spacing w:val="40"/>
          <w:sz w:val="25"/>
          <w:vertAlign w:val="baseline"/>
        </w:rPr>
        <w:t> </w:t>
      </w:r>
      <w:r>
        <w:rPr>
          <w:sz w:val="25"/>
          <w:vertAlign w:val="baseline"/>
        </w:rPr>
        <w:t>Agricultural</w:t>
      </w:r>
      <w:r>
        <w:rPr>
          <w:spacing w:val="40"/>
          <w:sz w:val="25"/>
          <w:vertAlign w:val="baseline"/>
        </w:rPr>
        <w:t> </w:t>
      </w:r>
      <w:r>
        <w:rPr>
          <w:sz w:val="25"/>
          <w:vertAlign w:val="baseline"/>
        </w:rPr>
        <w:t>Development</w:t>
      </w:r>
      <w:r>
        <w:rPr>
          <w:spacing w:val="40"/>
          <w:sz w:val="25"/>
          <w:vertAlign w:val="baseline"/>
        </w:rPr>
        <w:t> </w:t>
      </w:r>
      <w:r>
        <w:rPr>
          <w:sz w:val="25"/>
          <w:vertAlign w:val="baseline"/>
        </w:rPr>
        <w:t>in</w:t>
      </w:r>
      <w:r>
        <w:rPr>
          <w:spacing w:val="40"/>
          <w:sz w:val="25"/>
          <w:vertAlign w:val="baseline"/>
        </w:rPr>
        <w:t> </w:t>
      </w:r>
      <w:r>
        <w:rPr>
          <w:sz w:val="25"/>
          <w:vertAlign w:val="baseline"/>
        </w:rPr>
        <w:t>Nigeria: Evidence from Time Series Analysis.</w:t>
      </w:r>
      <w:r>
        <w:rPr>
          <w:spacing w:val="40"/>
          <w:sz w:val="25"/>
          <w:vertAlign w:val="baseline"/>
        </w:rPr>
        <w:t> </w:t>
      </w:r>
      <w:r>
        <w:rPr>
          <w:i/>
          <w:sz w:val="25"/>
          <w:vertAlign w:val="baseline"/>
        </w:rPr>
        <w:t>International Journal</w:t>
      </w:r>
      <w:r>
        <w:rPr>
          <w:i/>
          <w:spacing w:val="-2"/>
          <w:sz w:val="25"/>
          <w:vertAlign w:val="baseline"/>
        </w:rPr>
        <w:t> </w:t>
      </w:r>
      <w:r>
        <w:rPr>
          <w:i/>
          <w:sz w:val="25"/>
          <w:vertAlign w:val="baseline"/>
        </w:rPr>
        <w:t>of</w:t>
      </w:r>
      <w:r>
        <w:rPr>
          <w:i/>
          <w:spacing w:val="-2"/>
          <w:sz w:val="25"/>
          <w:vertAlign w:val="baseline"/>
        </w:rPr>
        <w:t> </w:t>
      </w:r>
      <w:r>
        <w:rPr>
          <w:i/>
          <w:sz w:val="25"/>
          <w:vertAlign w:val="baseline"/>
        </w:rPr>
        <w:t>Management</w:t>
      </w:r>
      <w:r>
        <w:rPr>
          <w:i/>
          <w:spacing w:val="-1"/>
          <w:sz w:val="25"/>
          <w:vertAlign w:val="baseline"/>
        </w:rPr>
        <w:t> </w:t>
      </w:r>
      <w:r>
        <w:rPr>
          <w:i/>
          <w:sz w:val="25"/>
          <w:vertAlign w:val="baseline"/>
        </w:rPr>
        <w:t>Science</w:t>
      </w:r>
      <w:r>
        <w:rPr>
          <w:i/>
          <w:spacing w:val="-1"/>
          <w:sz w:val="25"/>
          <w:vertAlign w:val="baseline"/>
        </w:rPr>
        <w:t> </w:t>
      </w:r>
      <w:r>
        <w:rPr>
          <w:i/>
          <w:sz w:val="25"/>
          <w:vertAlign w:val="baseline"/>
        </w:rPr>
        <w:t>and Business</w:t>
      </w:r>
      <w:r>
        <w:rPr>
          <w:i/>
          <w:spacing w:val="-1"/>
          <w:sz w:val="25"/>
          <w:vertAlign w:val="baseline"/>
        </w:rPr>
        <w:t> </w:t>
      </w:r>
      <w:r>
        <w:rPr>
          <w:i/>
          <w:sz w:val="25"/>
          <w:vertAlign w:val="baseline"/>
        </w:rPr>
        <w:t>Administration </w:t>
      </w:r>
      <w:r>
        <w:rPr>
          <w:sz w:val="25"/>
          <w:vertAlign w:val="baseline"/>
        </w:rPr>
        <w:t>1(1) 28 - 40.</w:t>
      </w:r>
    </w:p>
    <w:p>
      <w:pPr>
        <w:spacing w:line="276" w:lineRule="auto" w:before="240"/>
        <w:ind w:left="940" w:right="738" w:hanging="720"/>
        <w:jc w:val="both"/>
        <w:rPr>
          <w:sz w:val="25"/>
        </w:rPr>
      </w:pPr>
      <w:r>
        <w:rPr>
          <w:sz w:val="25"/>
        </w:rPr>
        <w:t>Okafor, I. G., Ugwuegbe, S. U., &amp; Ezeaku, H. C. (2016). Foreign capital inflows and Nigerian economic growth nexus: A Toda Yamamoto approach. </w:t>
      </w:r>
      <w:r>
        <w:rPr>
          <w:i/>
          <w:sz w:val="25"/>
        </w:rPr>
        <w:t>European Journal of Accounting, Auditing and Finance Research, </w:t>
      </w:r>
      <w:r>
        <w:rPr>
          <w:sz w:val="25"/>
        </w:rPr>
        <w:t>4(3), 16-26.</w:t>
      </w:r>
    </w:p>
    <w:p>
      <w:pPr>
        <w:spacing w:before="239"/>
        <w:ind w:left="940" w:right="741" w:hanging="720"/>
        <w:jc w:val="both"/>
        <w:rPr>
          <w:sz w:val="25"/>
        </w:rPr>
      </w:pPr>
      <w:r>
        <w:rPr>
          <w:sz w:val="25"/>
        </w:rPr>
        <w:t>Okoli, T.T. &amp; Agu, O. C. (2015). Foreign direct investment flow manufacturing sector performance in Nigeria: </w:t>
      </w:r>
      <w:r>
        <w:rPr>
          <w:i/>
          <w:sz w:val="25"/>
        </w:rPr>
        <w:t>International Journal of Economics, Commerce and Management, </w:t>
      </w:r>
      <w:r>
        <w:rPr>
          <w:sz w:val="25"/>
        </w:rPr>
        <w:t>111(7), 412 – 428</w:t>
      </w:r>
    </w:p>
    <w:p>
      <w:pPr>
        <w:spacing w:before="242"/>
        <w:ind w:left="940" w:right="739" w:hanging="720"/>
        <w:jc w:val="both"/>
        <w:rPr>
          <w:sz w:val="25"/>
        </w:rPr>
      </w:pPr>
      <w:r>
        <w:rPr>
          <w:sz w:val="25"/>
        </w:rPr>
        <w:t>Okon J.U., Augustine, O.J. &amp; Chuku, A.C. (2012). Foreign direct investment and economic growth in Nigeria: An analysis of the endogenous effects. </w:t>
      </w:r>
      <w:r>
        <w:rPr>
          <w:i/>
          <w:sz w:val="25"/>
        </w:rPr>
        <w:t>Current Research Journal of Economic Theory </w:t>
      </w:r>
      <w:r>
        <w:rPr>
          <w:sz w:val="25"/>
        </w:rPr>
        <w:t>4(3): 53-66,</w:t>
      </w:r>
    </w:p>
    <w:p>
      <w:pPr>
        <w:spacing w:line="276" w:lineRule="auto" w:before="240"/>
        <w:ind w:left="940" w:right="739" w:hanging="720"/>
        <w:jc w:val="both"/>
        <w:rPr>
          <w:sz w:val="25"/>
        </w:rPr>
      </w:pPr>
      <w:r>
        <w:rPr>
          <w:sz w:val="25"/>
        </w:rPr>
        <w:t>Okpoto, S. I. (2015). Foreign private investment and the Nigeria’s economic growth (1980- 2013). </w:t>
      </w:r>
      <w:r>
        <w:rPr>
          <w:i/>
          <w:sz w:val="25"/>
        </w:rPr>
        <w:t>Journal of Policy and Development Studies, </w:t>
      </w:r>
      <w:r>
        <w:rPr>
          <w:sz w:val="25"/>
        </w:rPr>
        <w:t>9(3), 30-38.</w:t>
      </w:r>
    </w:p>
    <w:p>
      <w:pPr>
        <w:spacing w:after="0" w:line="276" w:lineRule="auto"/>
        <w:jc w:val="both"/>
        <w:rPr>
          <w:sz w:val="25"/>
        </w:rPr>
        <w:sectPr>
          <w:pgSz w:w="12240" w:h="15840"/>
          <w:pgMar w:header="0" w:footer="1012" w:top="1380" w:bottom="1200" w:left="1220" w:right="700"/>
        </w:sectPr>
      </w:pPr>
    </w:p>
    <w:p>
      <w:pPr>
        <w:pStyle w:val="BodyText"/>
        <w:spacing w:before="60"/>
        <w:ind w:left="940" w:right="736" w:hanging="720"/>
        <w:jc w:val="both"/>
      </w:pPr>
      <w:r>
        <w:rPr/>
        <w:t>Olaniyi, E. (2013). International financial integration and the Nigerian economic performance: A VAR modeling approach. </w:t>
      </w:r>
      <w:r>
        <w:rPr>
          <w:i/>
        </w:rPr>
        <w:t>MPRA Paper No. 52459</w:t>
      </w:r>
      <w:r>
        <w:rPr/>
        <w:t>.</w:t>
      </w:r>
    </w:p>
    <w:p>
      <w:pPr>
        <w:spacing w:before="238"/>
        <w:ind w:left="940" w:right="739" w:hanging="720"/>
        <w:jc w:val="both"/>
        <w:rPr>
          <w:sz w:val="25"/>
        </w:rPr>
      </w:pPr>
      <w:r>
        <w:rPr>
          <w:sz w:val="25"/>
        </w:rPr>
        <w:t>Oloyede, B. B. (2014). Impact of foreign direct investment on agricultural</w:t>
      </w:r>
      <w:r>
        <w:rPr>
          <w:spacing w:val="80"/>
          <w:w w:val="150"/>
          <w:sz w:val="25"/>
        </w:rPr>
        <w:t> </w:t>
      </w:r>
      <w:r>
        <w:rPr>
          <w:sz w:val="25"/>
        </w:rPr>
        <w:t>sector development</w:t>
      </w:r>
      <w:r>
        <w:rPr>
          <w:spacing w:val="80"/>
          <w:w w:val="150"/>
          <w:sz w:val="25"/>
        </w:rPr>
        <w:t> </w:t>
      </w:r>
      <w:r>
        <w:rPr>
          <w:sz w:val="25"/>
        </w:rPr>
        <w:t>in</w:t>
      </w:r>
      <w:r>
        <w:rPr>
          <w:spacing w:val="60"/>
          <w:sz w:val="25"/>
        </w:rPr>
        <w:t>  </w:t>
      </w:r>
      <w:r>
        <w:rPr>
          <w:sz w:val="25"/>
        </w:rPr>
        <w:t>Nigeria,</w:t>
      </w:r>
      <w:r>
        <w:rPr>
          <w:spacing w:val="40"/>
          <w:sz w:val="25"/>
        </w:rPr>
        <w:t>  </w:t>
      </w:r>
      <w:r>
        <w:rPr>
          <w:sz w:val="25"/>
        </w:rPr>
        <w:t>(1981-2012).</w:t>
      </w:r>
      <w:r>
        <w:rPr>
          <w:spacing w:val="-1"/>
          <w:sz w:val="25"/>
        </w:rPr>
        <w:t> </w:t>
      </w:r>
      <w:r>
        <w:rPr>
          <w:i/>
          <w:sz w:val="25"/>
        </w:rPr>
        <w:t>Kuwait</w:t>
      </w:r>
      <w:r>
        <w:rPr>
          <w:i/>
          <w:spacing w:val="40"/>
          <w:sz w:val="25"/>
        </w:rPr>
        <w:t>  </w:t>
      </w:r>
      <w:r>
        <w:rPr>
          <w:i/>
          <w:sz w:val="25"/>
        </w:rPr>
        <w:t>Chapter</w:t>
      </w:r>
      <w:r>
        <w:rPr>
          <w:i/>
          <w:spacing w:val="40"/>
          <w:sz w:val="25"/>
        </w:rPr>
        <w:t>  </w:t>
      </w:r>
      <w:r>
        <w:rPr>
          <w:i/>
          <w:sz w:val="25"/>
        </w:rPr>
        <w:t>of</w:t>
      </w:r>
      <w:r>
        <w:rPr>
          <w:i/>
          <w:spacing w:val="80"/>
          <w:w w:val="150"/>
          <w:sz w:val="25"/>
        </w:rPr>
        <w:t> </w:t>
      </w:r>
      <w:r>
        <w:rPr>
          <w:i/>
          <w:sz w:val="25"/>
        </w:rPr>
        <w:t>Arabian</w:t>
      </w:r>
      <w:r>
        <w:rPr>
          <w:i/>
          <w:spacing w:val="40"/>
          <w:sz w:val="25"/>
        </w:rPr>
        <w:t>  </w:t>
      </w:r>
      <w:r>
        <w:rPr>
          <w:i/>
          <w:sz w:val="25"/>
        </w:rPr>
        <w:t>Journal</w:t>
      </w:r>
      <w:r>
        <w:rPr>
          <w:i/>
          <w:spacing w:val="40"/>
          <w:sz w:val="25"/>
        </w:rPr>
        <w:t> </w:t>
      </w:r>
      <w:r>
        <w:rPr>
          <w:i/>
          <w:sz w:val="25"/>
        </w:rPr>
        <w:t>of</w:t>
      </w:r>
      <w:r>
        <w:rPr>
          <w:i/>
          <w:spacing w:val="80"/>
          <w:sz w:val="25"/>
        </w:rPr>
        <w:t> </w:t>
      </w:r>
      <w:r>
        <w:rPr>
          <w:i/>
          <w:sz w:val="25"/>
        </w:rPr>
        <w:t>Business</w:t>
      </w:r>
      <w:r>
        <w:rPr>
          <w:i/>
          <w:spacing w:val="40"/>
          <w:sz w:val="25"/>
        </w:rPr>
        <w:t>  </w:t>
      </w:r>
      <w:r>
        <w:rPr>
          <w:i/>
          <w:sz w:val="25"/>
        </w:rPr>
        <w:t>and Management Review </w:t>
      </w:r>
      <w:r>
        <w:rPr>
          <w:sz w:val="25"/>
        </w:rPr>
        <w:t>3(12) 14-24.</w:t>
      </w:r>
    </w:p>
    <w:p>
      <w:pPr>
        <w:pStyle w:val="BodyText"/>
        <w:spacing w:before="242"/>
        <w:ind w:left="940" w:right="736" w:hanging="720"/>
        <w:jc w:val="both"/>
      </w:pPr>
      <w:r>
        <w:rPr/>
        <mc:AlternateContent>
          <mc:Choice Requires="wps">
            <w:drawing>
              <wp:anchor distT="0" distB="0" distL="0" distR="0" allowOverlap="1" layoutInCell="1" locked="0" behindDoc="1" simplePos="0" relativeHeight="478117888">
                <wp:simplePos x="0" y="0"/>
                <wp:positionH relativeFrom="page">
                  <wp:posOffset>950112</wp:posOffset>
                </wp:positionH>
                <wp:positionV relativeFrom="paragraph">
                  <wp:posOffset>219088</wp:posOffset>
                </wp:positionV>
                <wp:extent cx="5505450" cy="5661025"/>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7.251074pt;width:433.5pt;height:445.75pt;mso-position-horizontal-relative:page;mso-position-vertical-relative:paragraph;z-index:-25198592" id="docshape230" coordorigin="1496,345" coordsize="8670,8915" path="m2562,9065l1691,8194,1496,8389,2367,9260,2562,9065xm3154,8389l3153,8349,3148,8306,3139,8263,3125,8219,3106,8175,3083,8132,3055,8090,3025,8048,2991,8008,2954,7969,2435,7450,2241,7644,2772,8176,2805,8212,2829,8247,2846,8282,2856,8316,2858,8349,2851,8379,2837,8408,2816,8434,2790,8456,2761,8470,2730,8476,2697,8473,2663,8464,2628,8447,2593,8423,2557,8391,2026,7859,1831,8053,2351,8573,2385,8605,2424,8637,2468,8670,2516,8702,2548,8721,2583,8737,2620,8750,2658,8761,2697,8769,2733,8772,2767,8773,2800,8769,2831,8762,2863,8751,2895,8734,2926,8714,2957,8691,2985,8668,3011,8645,3035,8622,3071,8582,3102,8541,3125,8499,3142,8457,3150,8425,3154,8389xm3882,7605l3876,7541,3860,7476,3834,7409,3806,7355,3771,7299,3728,7241,3678,7182,3661,7163,3621,7122,3597,7099,3597,7593,3592,7634,3577,7670,3551,7703,3518,7729,3481,7744,3441,7748,3396,7742,3347,7724,3294,7692,3235,7647,3171,7588,3112,7524,3066,7465,3035,7411,3016,7362,3010,7317,3014,7277,3029,7241,3053,7209,3086,7184,3122,7168,3163,7163,3207,7168,3255,7186,3307,7216,3363,7258,3423,7313,3488,7383,3538,7445,3572,7501,3591,7550,3597,7593,3597,7099,3551,7057,3482,7002,3413,6956,3344,6921,3276,6895,3209,6879,3130,6874,3055,6884,2983,6909,2914,6950,2850,7005,2796,7069,2756,7136,2732,7208,2723,7284,2729,7363,2746,7432,2772,7501,2808,7570,2854,7640,2910,7711,2976,7782,3036,7839,3096,7888,3156,7930,3215,7965,3273,7992,3344,8017,3411,8030,3475,8034,3535,8028,3593,8011,3649,7984,3705,7946,3758,7898,3805,7845,3841,7788,3858,7748,3866,7730,3879,7668,3882,7605xm4153,7026l3966,6839,3712,7093,3899,7280,4153,7026xm4664,6963l3793,6092,3598,6287,4469,7158,4664,6963xm4998,6629l4675,6306,4781,6199,4832,6139,4837,6129,4866,6078,4883,6014,4882,5950,4866,5884,4843,5833,4836,5818,4792,5752,4733,5686,4670,5629,4607,5586,4598,5582,4598,5975,4597,6001,4587,6027,4570,6054,4546,6082,4498,6129,4304,5935,4359,5879,4386,5856,4412,5841,4438,5833,4462,5834,4486,5840,4509,5851,4531,5865,4552,5883,4570,5905,4584,5927,4593,5951,4598,5975,4598,5582,4544,5557,4483,5541,4423,5540,4365,5554,4309,5585,4255,5630,3931,5953,4803,6824,4998,6629xm5788,5839l5132,5183,5330,4985,5115,4770,4524,5361,4739,5576,4937,5378,5593,6034,5788,5839xm6423,5204l5767,4548,5966,4349,5751,4134,5159,4726,5374,4941,5573,4742,6229,5398,6423,5204xm7157,4331l7151,4266,7135,4201,7109,4134,7081,4080,7046,4024,7003,3966,6953,3907,6935,3888,6896,3847,6872,3825,6872,4318,6867,4359,6851,4395,6825,4429,6793,4454,6756,4469,6716,4473,6671,4467,6622,4449,6569,4417,6510,4372,6446,4313,6387,4249,6341,4190,6309,4136,6291,4087,6285,4042,6289,4002,6304,3966,6328,3935,6361,3909,6397,3894,6438,3888,6482,3894,6530,3911,6582,3941,6638,3983,6698,4038,6763,4108,6813,4170,6847,4226,6866,4275,6872,4318,6872,3825,6826,3782,6756,3727,6687,3682,6619,3646,6551,3621,6483,3605,6405,3599,6329,3609,6258,3634,6189,3675,6125,3730,6071,3794,6031,3862,6007,3933,5998,4009,6004,4089,6021,4157,6047,4226,6083,4295,6129,4365,6184,4436,6250,4507,6311,4564,6371,4613,6431,4656,6490,4690,6548,4718,6619,4742,6686,4756,6750,4759,6810,4753,6868,4737,6924,4709,6979,4672,7033,4624,7080,4570,7116,4514,7133,4473,7141,4455,7154,4394,7157,4331xm8170,3335l8165,3286,8153,3236,8134,3183,8109,3129,8079,3073,8041,3016,7980,3040,7799,3115,7831,3161,7855,3204,7873,3245,7884,3282,7887,3317,7881,3350,7866,3381,7843,3410,7812,3434,7778,3448,7740,3452,7700,3446,7653,3427,7600,3393,7538,3344,7469,3279,7417,3223,7375,3171,7344,3124,7324,3081,7311,3029,7312,2983,7325,2942,7352,2906,7367,2893,7384,2882,7402,2874,7422,2870,7442,2868,7464,2868,7486,2871,7509,2877,7524,2883,7542,2891,7563,2902,7586,2917,7705,2692,7622,2646,7543,2614,7469,2595,7400,2588,7333,2596,7269,2619,7206,2657,7146,2709,7092,2772,7054,2838,7030,2908,7021,2982,7027,3060,7044,3127,7070,3195,7106,3264,7153,3334,7209,3404,7276,3476,7341,3537,7404,3589,7467,3632,7529,3668,7590,3695,7662,3719,7730,3732,7791,3735,7847,3728,7900,3711,7952,3684,8004,3647,8056,3601,8094,3558,8125,3515,8147,3472,8161,3427,8169,3382,8170,3335xm8868,2620l8861,2556,8846,2490,8820,2423,8792,2369,8757,2313,8714,2255,8664,2196,8646,2178,8607,2136,8583,2114,8583,2608,8578,2648,8562,2685,8536,2718,8504,2743,8467,2758,8427,2763,8382,2756,8333,2738,8279,2707,8221,2661,8157,2602,8098,2538,8052,2479,8020,2425,8002,2376,7996,2332,8000,2291,8014,2255,8039,2224,8071,2198,8108,2183,8149,2178,8193,2183,8241,2200,8293,2230,8349,2272,8409,2327,8474,2397,8524,2460,8558,2515,8577,2564,8583,2608,8583,2114,8537,2071,8467,2016,8398,1971,8330,1935,8262,1910,8194,1894,8116,1888,8040,1898,7968,1924,7900,1964,7835,2020,7781,2083,7742,2151,7718,2222,7709,2298,7715,2378,7731,2446,7758,2515,7794,2585,7839,2655,7895,2725,7961,2796,8022,2853,8082,2903,8142,2945,8201,2979,8259,3007,8329,3031,8397,3045,8461,3048,8521,3042,8579,3026,8635,2999,8690,2961,8744,2913,8791,2859,8827,2803,8844,2763,8852,2744,8865,2683,8868,2620xm9348,2279l9025,1955,9132,1849,9182,1789,9188,1779,9216,1727,9233,1664,9233,1599,9217,1534,9194,1483,9187,1468,9142,1402,9084,1336,9020,1279,8957,1236,8948,1232,8948,1625,8947,1650,8938,1677,8921,1704,8896,1731,8849,1779,8654,1585,8710,1529,8737,1506,8763,1490,8788,1483,8812,1483,8836,1490,8859,1500,8881,1515,8902,1533,8920,1555,8934,1577,8943,1601,8948,1625,8948,1232,8895,1206,8833,1190,8773,1189,8715,1204,8659,1234,8605,1279,8282,1603,9153,2474,9348,2279xm10166,1461l9801,1096,9748,946,9593,495,9540,345,9325,560,9353,630,9436,841,9492,982,9422,953,9211,870,9071,814,8854,1030,9005,1083,9456,1239,9606,1291,9971,1656,10166,1461xe" filled="true" fillcolor="#c0c0c0" stroked="false">
                <v:path arrowok="t"/>
                <v:fill opacity="32896f" type="solid"/>
                <w10:wrap type="none"/>
              </v:shape>
            </w:pict>
          </mc:Fallback>
        </mc:AlternateContent>
      </w:r>
      <w:r>
        <w:rPr/>
        <w:t>Olusanya, S.O. (2013).</w:t>
      </w:r>
      <w:r>
        <w:rPr>
          <w:spacing w:val="40"/>
        </w:rPr>
        <w:t> </w:t>
      </w:r>
      <w:r>
        <w:rPr/>
        <w:t>Impact of foreign direct investment inflow on economic growth in a pre and post deregulated nigeria Economy. A Granger Causality Test (1970-2010). </w:t>
      </w:r>
      <w:r>
        <w:rPr>
          <w:i/>
        </w:rPr>
        <w:t>European Scientific Journal, 9 </w:t>
      </w:r>
      <w:r>
        <w:rPr/>
        <w:t>(25) 335 – 356.</w:t>
      </w:r>
    </w:p>
    <w:p>
      <w:pPr>
        <w:pStyle w:val="BodyText"/>
        <w:spacing w:line="276" w:lineRule="auto" w:before="239"/>
        <w:ind w:left="940" w:right="743" w:hanging="720"/>
        <w:jc w:val="both"/>
      </w:pPr>
      <w:r>
        <w:rPr/>
        <w:t>Onyeisi, O. S., Odo, I. S., &amp; Anoke, C. I. (2016). Foreign portfolio investment and stock market growth in Nigeria. </w:t>
      </w:r>
      <w:r>
        <w:rPr>
          <w:i/>
        </w:rPr>
        <w:t>Developing Country Studies, </w:t>
      </w:r>
      <w:r>
        <w:rPr/>
        <w:t>6(11), 64-76.</w:t>
      </w:r>
    </w:p>
    <w:p>
      <w:pPr>
        <w:pStyle w:val="BodyText"/>
        <w:spacing w:before="242"/>
        <w:ind w:left="940" w:right="740" w:hanging="708"/>
        <w:jc w:val="both"/>
      </w:pPr>
      <w:r>
        <w:rPr/>
        <w:t>Orji, A. (2014). Analysis of financial openness and macroeconomic performance in Nigeria (1986-2011), unpublished PhD thesis, department f economic, University of Nigeria, </w:t>
      </w:r>
      <w:r>
        <w:rPr>
          <w:spacing w:val="-2"/>
        </w:rPr>
        <w:t>Nsuka.</w:t>
      </w:r>
    </w:p>
    <w:p>
      <w:pPr>
        <w:spacing w:before="239"/>
        <w:ind w:left="940" w:right="736" w:hanging="720"/>
        <w:jc w:val="both"/>
        <w:rPr>
          <w:sz w:val="25"/>
        </w:rPr>
      </w:pPr>
      <w:r>
        <w:rPr>
          <w:sz w:val="25"/>
        </w:rPr>
        <w:t>Orji, A., Uche, A.S. &amp; Ilori, E.A. (2014). Foreign capital inflows and growth: an empirical analysis of WAMZ Experience: </w:t>
      </w:r>
      <w:r>
        <w:rPr>
          <w:i/>
          <w:sz w:val="25"/>
        </w:rPr>
        <w:t>International Journal of Economics and Financial Issues</w:t>
      </w:r>
      <w:r>
        <w:rPr>
          <w:sz w:val="25"/>
        </w:rPr>
        <w:t>, 4(4), 971-983</w:t>
      </w:r>
    </w:p>
    <w:p>
      <w:pPr>
        <w:pStyle w:val="BodyText"/>
        <w:spacing w:before="239"/>
        <w:ind w:left="940" w:right="739" w:hanging="720"/>
        <w:jc w:val="both"/>
      </w:pPr>
      <w:r>
        <w:rPr/>
        <w:t>Osada, M., &amp; Saito M. (2010). Financial integration and economic growth: An empirical analysis using international panel data from 1974-2007. Research and Statistics Department, Bank of Japan.</w:t>
      </w:r>
    </w:p>
    <w:p>
      <w:pPr>
        <w:spacing w:before="242"/>
        <w:ind w:left="940" w:right="737" w:hanging="720"/>
        <w:jc w:val="both"/>
        <w:rPr>
          <w:sz w:val="25"/>
        </w:rPr>
      </w:pPr>
      <w:r>
        <w:rPr>
          <w:sz w:val="25"/>
        </w:rPr>
        <w:t>Oxelheim, L. (1990) </w:t>
      </w:r>
      <w:r>
        <w:rPr>
          <w:i/>
          <w:sz w:val="25"/>
        </w:rPr>
        <w:t>International financial integration</w:t>
      </w:r>
      <w:r>
        <w:rPr>
          <w:sz w:val="25"/>
        </w:rPr>
        <w:t>. Stockholm: The Industrial Institute for Economic and Social Research.</w:t>
      </w:r>
    </w:p>
    <w:p>
      <w:pPr>
        <w:spacing w:before="239"/>
        <w:ind w:left="940" w:right="736" w:hanging="720"/>
        <w:jc w:val="both"/>
        <w:rPr>
          <w:sz w:val="25"/>
        </w:rPr>
      </w:pPr>
      <w:r>
        <w:rPr>
          <w:sz w:val="25"/>
        </w:rPr>
        <w:t>Oyatoye,</w:t>
      </w:r>
      <w:r>
        <w:rPr>
          <w:spacing w:val="-1"/>
          <w:sz w:val="25"/>
        </w:rPr>
        <w:t> </w:t>
      </w:r>
      <w:r>
        <w:rPr>
          <w:sz w:val="25"/>
        </w:rPr>
        <w:t>E.O., Arogundade,</w:t>
      </w:r>
      <w:r>
        <w:rPr>
          <w:spacing w:val="-1"/>
          <w:sz w:val="25"/>
        </w:rPr>
        <w:t> </w:t>
      </w:r>
      <w:r>
        <w:rPr>
          <w:sz w:val="25"/>
        </w:rPr>
        <w:t>K.K,</w:t>
      </w:r>
      <w:r>
        <w:rPr>
          <w:spacing w:val="-1"/>
          <w:sz w:val="25"/>
        </w:rPr>
        <w:t> </w:t>
      </w:r>
      <w:r>
        <w:rPr>
          <w:sz w:val="25"/>
        </w:rPr>
        <w:t>Adebisi,</w:t>
      </w:r>
      <w:r>
        <w:rPr>
          <w:spacing w:val="-1"/>
          <w:sz w:val="25"/>
        </w:rPr>
        <w:t> </w:t>
      </w:r>
      <w:r>
        <w:rPr>
          <w:sz w:val="25"/>
        </w:rPr>
        <w:t>S.O., &amp;</w:t>
      </w:r>
      <w:r>
        <w:rPr>
          <w:spacing w:val="-1"/>
          <w:sz w:val="25"/>
        </w:rPr>
        <w:t> </w:t>
      </w:r>
      <w:r>
        <w:rPr>
          <w:sz w:val="25"/>
        </w:rPr>
        <w:t>Oluwakayode, E.F.</w:t>
      </w:r>
      <w:r>
        <w:rPr>
          <w:spacing w:val="-1"/>
          <w:sz w:val="25"/>
        </w:rPr>
        <w:t> </w:t>
      </w:r>
      <w:r>
        <w:rPr>
          <w:sz w:val="25"/>
        </w:rPr>
        <w:t>(2011)</w:t>
      </w:r>
      <w:r>
        <w:rPr>
          <w:spacing w:val="-1"/>
          <w:sz w:val="25"/>
        </w:rPr>
        <w:t> </w:t>
      </w:r>
      <w:r>
        <w:rPr>
          <w:sz w:val="25"/>
        </w:rPr>
        <w:t>Foreign</w:t>
      </w:r>
      <w:r>
        <w:rPr>
          <w:spacing w:val="-1"/>
          <w:sz w:val="25"/>
        </w:rPr>
        <w:t> </w:t>
      </w:r>
      <w:r>
        <w:rPr>
          <w:sz w:val="25"/>
        </w:rPr>
        <w:t>direct investment, export and economic growth in Nigeria. </w:t>
      </w:r>
      <w:r>
        <w:rPr>
          <w:i/>
          <w:sz w:val="25"/>
        </w:rPr>
        <w:t>European Journal of Humanities and Social Sciences. </w:t>
      </w:r>
      <w:r>
        <w:rPr>
          <w:sz w:val="25"/>
        </w:rPr>
        <w:t>2 (1) 66 – 86.</w:t>
      </w:r>
    </w:p>
    <w:p>
      <w:pPr>
        <w:spacing w:before="239"/>
        <w:ind w:left="940" w:right="740" w:hanging="720"/>
        <w:jc w:val="both"/>
        <w:rPr>
          <w:sz w:val="25"/>
        </w:rPr>
      </w:pPr>
      <w:r>
        <w:rPr>
          <w:sz w:val="25"/>
        </w:rPr>
        <w:t>Oyeniran, I.W., &amp; Temitope, M.W. (2015). Financial market integration and economic growth: An experience from Nigeria. </w:t>
      </w:r>
      <w:r>
        <w:rPr>
          <w:i/>
          <w:sz w:val="25"/>
        </w:rPr>
        <w:t>International Journal of Management, Accounting and Economics</w:t>
      </w:r>
      <w:r>
        <w:rPr>
          <w:sz w:val="25"/>
        </w:rPr>
        <w:t>, 2(7), 656 – 668.</w:t>
      </w:r>
    </w:p>
    <w:p>
      <w:pPr>
        <w:pStyle w:val="BodyText"/>
        <w:spacing w:before="242"/>
        <w:ind w:left="940" w:right="736" w:hanging="720"/>
        <w:jc w:val="both"/>
      </w:pPr>
      <w:r>
        <w:rPr/>
        <w:t>Oyeranti, A. O. (2003). Foreign direct investment: conceptual and theoretical issued. In Nnana, O. J., Okafor, C. M. and Odoko, F. O. (Eds). </w:t>
      </w:r>
      <w:r>
        <w:rPr>
          <w:i/>
        </w:rPr>
        <w:t>Foreign Direct Investment in Nigeria. </w:t>
      </w:r>
      <w:r>
        <w:rPr/>
        <w:t>Proceedings of the 12th Annual Conference of the Regional Research Units of the Central Banks of Nigeria, held at Hamdala Hotel, Kaduna, Kaduna State, September 1-5, 9 - 38.</w:t>
      </w:r>
    </w:p>
    <w:p>
      <w:pPr>
        <w:spacing w:line="276" w:lineRule="auto" w:before="240"/>
        <w:ind w:left="940" w:right="734" w:hanging="720"/>
        <w:jc w:val="both"/>
        <w:rPr>
          <w:sz w:val="25"/>
        </w:rPr>
      </w:pPr>
      <w:r>
        <w:rPr>
          <w:sz w:val="25"/>
        </w:rPr>
        <w:t>Pazarlıoglu, M. V. &amp; Gulay, E. (2007). Net portföy yatırımları ile reel faiz arasındaki ilişki: Turkiye örneği, (1992-2005). </w:t>
      </w:r>
      <w:r>
        <w:rPr>
          <w:i/>
          <w:sz w:val="25"/>
        </w:rPr>
        <w:t>D.E.U. Sosyal Bilimler Enstitüsü Dergisi</w:t>
      </w:r>
      <w:r>
        <w:rPr>
          <w:sz w:val="25"/>
        </w:rPr>
        <w:t>, 9(2).</w:t>
      </w:r>
    </w:p>
    <w:p>
      <w:pPr>
        <w:spacing w:after="0" w:line="276" w:lineRule="auto"/>
        <w:jc w:val="both"/>
        <w:rPr>
          <w:sz w:val="25"/>
        </w:rPr>
        <w:sectPr>
          <w:pgSz w:w="12240" w:h="15840"/>
          <w:pgMar w:header="0" w:footer="1012" w:top="1380" w:bottom="1200" w:left="1220" w:right="700"/>
        </w:sectPr>
      </w:pPr>
    </w:p>
    <w:p>
      <w:pPr>
        <w:spacing w:before="60"/>
        <w:ind w:left="940" w:right="734" w:hanging="720"/>
        <w:jc w:val="both"/>
        <w:rPr>
          <w:sz w:val="25"/>
        </w:rPr>
      </w:pPr>
      <w:r>
        <w:rPr>
          <w:sz w:val="25"/>
        </w:rPr>
        <w:t>Portes, R., &amp; Rey, H. (2015) The determinants of cross-border equity flows. J</w:t>
      </w:r>
      <w:r>
        <w:rPr>
          <w:i/>
          <w:sz w:val="25"/>
        </w:rPr>
        <w:t>ournal of International Economics</w:t>
      </w:r>
      <w:r>
        <w:rPr>
          <w:sz w:val="25"/>
        </w:rPr>
        <w:t>, 65: 269 - 296.</w:t>
      </w:r>
    </w:p>
    <w:p>
      <w:pPr>
        <w:spacing w:before="238"/>
        <w:ind w:left="940" w:right="739" w:hanging="720"/>
        <w:jc w:val="both"/>
        <w:rPr>
          <w:sz w:val="25"/>
        </w:rPr>
      </w:pPr>
      <w:r>
        <w:rPr>
          <w:sz w:val="25"/>
        </w:rPr>
        <w:t>Pourshahabi, F, D. Mahmoudinia and E. S. Soderjani (2011)</w:t>
      </w:r>
      <w:r>
        <w:rPr>
          <w:b/>
          <w:sz w:val="25"/>
        </w:rPr>
        <w:t>. </w:t>
      </w:r>
      <w:r>
        <w:rPr>
          <w:sz w:val="25"/>
        </w:rPr>
        <w:t>FDI, human capital, economic freedom and growth in OECD Countries. </w:t>
      </w:r>
      <w:r>
        <w:rPr>
          <w:i/>
          <w:sz w:val="25"/>
        </w:rPr>
        <w:t>Research Journal of International Studies, </w:t>
      </w:r>
      <w:r>
        <w:rPr>
          <w:sz w:val="25"/>
        </w:rPr>
        <w:t>19 (June), 134 - 146.</w:t>
      </w:r>
    </w:p>
    <w:p>
      <w:pPr>
        <w:spacing w:before="242"/>
        <w:ind w:left="940" w:right="734" w:hanging="720"/>
        <w:jc w:val="both"/>
        <w:rPr>
          <w:sz w:val="25"/>
        </w:rPr>
      </w:pPr>
      <w:r>
        <w:rPr/>
        <mc:AlternateContent>
          <mc:Choice Requires="wps">
            <w:drawing>
              <wp:anchor distT="0" distB="0" distL="0" distR="0" allowOverlap="1" layoutInCell="1" locked="0" behindDoc="1" simplePos="0" relativeHeight="478118400">
                <wp:simplePos x="0" y="0"/>
                <wp:positionH relativeFrom="page">
                  <wp:posOffset>950112</wp:posOffset>
                </wp:positionH>
                <wp:positionV relativeFrom="paragraph">
                  <wp:posOffset>219088</wp:posOffset>
                </wp:positionV>
                <wp:extent cx="5505450" cy="5661025"/>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17.251074pt;width:433.5pt;height:445.75pt;mso-position-horizontal-relative:page;mso-position-vertical-relative:paragraph;z-index:-25198080" id="docshape231" coordorigin="1496,345" coordsize="8670,8915" path="m2562,9065l1691,8194,1496,8389,2367,9260,2562,9065xm3154,8389l3153,8349,3148,8306,3139,8263,3125,8219,3106,8175,3083,8132,3055,8090,3025,8048,2991,8008,2954,7969,2435,7450,2241,7644,2772,8176,2805,8212,2829,8247,2846,8282,2856,8316,2858,8349,2851,8379,2837,8408,2816,8434,2790,8456,2761,8470,2730,8476,2697,8473,2663,8464,2628,8447,2593,8423,2557,8391,2026,7859,1831,8053,2351,8573,2385,8605,2424,8637,2468,8670,2516,8702,2548,8721,2583,8737,2620,8750,2658,8761,2697,8769,2733,8772,2767,8773,2800,8769,2831,8762,2863,8751,2895,8734,2926,8714,2957,8691,2985,8668,3011,8645,3035,8622,3071,8582,3102,8541,3125,8499,3142,8457,3150,8425,3154,8389xm3882,7605l3876,7541,3860,7476,3834,7409,3806,7355,3771,7299,3728,7241,3678,7182,3661,7163,3621,7122,3597,7099,3597,7593,3592,7634,3577,7670,3551,7703,3518,7729,3481,7744,3441,7748,3396,7742,3347,7724,3294,7692,3235,7647,3171,7588,3112,7524,3066,7465,3035,7411,3016,7362,3010,7317,3014,7277,3029,7241,3053,7209,3086,7184,3122,7168,3163,7163,3207,7168,3255,7186,3307,7216,3363,7258,3423,7313,3488,7383,3538,7445,3572,7501,3591,7550,3597,7593,3597,7099,3551,7057,3482,7002,3413,6956,3344,6921,3276,6895,3209,6879,3130,6874,3055,6884,2983,6909,2914,6950,2850,7005,2796,7069,2756,7136,2732,7208,2723,7284,2729,7363,2746,7432,2772,7501,2808,7570,2854,7640,2910,7711,2976,7782,3036,7839,3096,7888,3156,7930,3215,7965,3273,7992,3344,8017,3411,8030,3475,8034,3535,8028,3593,8011,3649,7984,3705,7946,3758,7898,3805,7845,3841,7788,3858,7748,3866,7730,3879,7668,3882,7605xm4153,7026l3966,6839,3712,7093,3899,7280,4153,7026xm4664,6963l3793,6092,3598,6287,4469,7158,4664,6963xm4998,6629l4675,6306,4781,6199,4832,6139,4837,6129,4866,6078,4883,6014,4882,5950,4866,5884,4843,5833,4836,5818,4792,5752,4733,5686,4670,5629,4607,5586,4598,5582,4598,5975,4597,6001,4587,6027,4570,6054,4546,6082,4498,6129,4304,5935,4359,5879,4386,5856,4412,5841,4438,5833,4462,5834,4486,5840,4509,5851,4531,5865,4552,5883,4570,5905,4584,5927,4593,5951,4598,5975,4598,5582,4544,5557,4483,5541,4423,5540,4365,5554,4309,5585,4255,5630,3931,5953,4803,6824,4998,6629xm5788,5839l5132,5183,5330,4985,5115,4770,4524,5361,4739,5576,4937,5378,5593,6034,5788,5839xm6423,5204l5767,4548,5966,4349,5751,4134,5159,4726,5374,4941,5573,4742,6229,5398,6423,5204xm7157,4331l7151,4266,7135,4201,7109,4134,7081,4080,7046,4024,7003,3966,6953,3907,6935,3888,6896,3847,6872,3825,6872,4318,6867,4359,6851,4395,6825,4429,6793,4454,6756,4469,6716,4473,6671,4467,6622,4449,6569,4417,6510,4372,6446,4313,6387,4249,6341,4190,6309,4136,6291,4087,6285,4042,6289,4002,6304,3966,6328,3935,6361,3909,6397,3894,6438,3888,6482,3894,6530,3911,6582,3941,6638,3983,6698,4038,6763,4108,6813,4170,6847,4226,6866,4275,6872,4318,6872,3825,6826,3782,6756,3727,6687,3682,6619,3646,6551,3621,6483,3605,6405,3599,6329,3609,6258,3634,6189,3675,6125,3730,6071,3794,6031,3862,6007,3933,5998,4009,6004,4089,6021,4157,6047,4226,6083,4295,6129,4365,6184,4436,6250,4507,6311,4564,6371,4613,6431,4656,6490,4690,6548,4718,6619,4742,6686,4756,6750,4759,6810,4753,6868,4737,6924,4709,6979,4672,7033,4624,7080,4570,7116,4514,7133,4473,7141,4455,7154,4394,7157,4331xm8170,3335l8165,3286,8153,3236,8134,3183,8109,3129,8079,3073,8041,3016,7980,3040,7799,3115,7831,3161,7855,3204,7873,3245,7884,3282,7887,3317,7881,3350,7866,3381,7843,3410,7812,3434,7778,3448,7740,3452,7700,3446,7653,3427,7600,3393,7538,3344,7469,3279,7417,3223,7375,3171,7344,3124,7324,3081,7311,3029,7312,2983,7325,2942,7352,2906,7367,2893,7384,2882,7402,2874,7422,2870,7442,2868,7464,2868,7486,2871,7509,2877,7524,2883,7542,2891,7563,2902,7586,2917,7705,2692,7622,2646,7543,2614,7469,2595,7400,2588,7333,2596,7269,2619,7206,2657,7146,2709,7092,2772,7054,2838,7030,2908,7021,2982,7027,3060,7044,3127,7070,3195,7106,3264,7153,3334,7209,3404,7276,3476,7341,3537,7404,3589,7467,3632,7529,3668,7590,3695,7662,3719,7730,3732,7791,3735,7847,3728,7900,3711,7952,3684,8004,3647,8056,3601,8094,3558,8125,3515,8147,3472,8161,3427,8169,3382,8170,3335xm8868,2620l8861,2556,8846,2490,8820,2423,8792,2369,8757,2313,8714,2255,8664,2196,8646,2178,8607,2136,8583,2114,8583,2608,8578,2648,8562,2685,8536,2718,8504,2743,8467,2758,8427,2763,8382,2756,8333,2738,8279,2707,8221,2661,8157,2602,8098,2538,8052,2479,8020,2425,8002,2376,7996,2332,8000,2291,8014,2255,8039,2224,8071,2198,8108,2183,8149,2178,8193,2183,8241,2200,8293,2230,8349,2272,8409,2327,8474,2397,8524,2460,8558,2515,8577,2564,8583,2608,8583,2114,8537,2071,8467,2016,8398,1971,8330,1935,8262,1910,8194,1894,8116,1888,8040,1898,7968,1924,7900,1964,7835,2020,7781,2083,7742,2151,7718,2222,7709,2298,7715,2378,7731,2446,7758,2515,7794,2585,7839,2655,7895,2725,7961,2796,8022,2853,8082,2903,8142,2945,8201,2979,8259,3007,8329,3031,8397,3045,8461,3048,8521,3042,8579,3026,8635,2999,8690,2961,8744,2913,8791,2859,8827,2803,8844,2763,8852,2744,8865,2683,8868,2620xm9348,2279l9025,1955,9132,1849,9182,1789,9188,1779,9216,1727,9233,1664,9233,1599,9217,1534,9194,1483,9187,1468,9142,1402,9084,1336,9020,1279,8957,1236,8948,1232,8948,1625,8947,1650,8938,1677,8921,1704,8896,1731,8849,1779,8654,1585,8710,1529,8737,1506,8763,1490,8788,1483,8812,1483,8836,1490,8859,1500,8881,1515,8902,1533,8920,1555,8934,1577,8943,1601,8948,1625,8948,1232,8895,1206,8833,1190,8773,1189,8715,1204,8659,1234,8605,1279,8282,1603,9153,2474,9348,2279xm10166,1461l9801,1096,9748,946,9593,495,9540,345,9325,560,9353,630,9436,841,9492,982,9422,953,9211,870,9071,814,8854,1030,9005,1083,9456,1239,9606,1291,9971,1656,10166,1461xe" filled="true" fillcolor="#c0c0c0" stroked="false">
                <v:path arrowok="t"/>
                <v:fill opacity="32896f" type="solid"/>
                <w10:wrap type="none"/>
              </v:shape>
            </w:pict>
          </mc:Fallback>
        </mc:AlternateContent>
      </w:r>
      <w:r>
        <w:rPr>
          <w:sz w:val="25"/>
        </w:rPr>
        <w:t>Pradhan, G., Upadhyay, M. &amp; Upadhyaya, K. (2008). Remittances and economic growth in developing countries. </w:t>
      </w:r>
      <w:r>
        <w:rPr>
          <w:i/>
          <w:sz w:val="25"/>
        </w:rPr>
        <w:t>The European Journal of Development Research</w:t>
      </w:r>
      <w:r>
        <w:rPr>
          <w:sz w:val="25"/>
        </w:rPr>
        <w:t>, 20(3): 497- </w:t>
      </w:r>
      <w:r>
        <w:rPr>
          <w:spacing w:val="-4"/>
          <w:sz w:val="25"/>
        </w:rPr>
        <w:t>506.</w:t>
      </w:r>
    </w:p>
    <w:p>
      <w:pPr>
        <w:pStyle w:val="BodyText"/>
        <w:spacing w:before="239"/>
        <w:ind w:left="940" w:right="734" w:hanging="720"/>
        <w:jc w:val="both"/>
      </w:pPr>
      <w:r>
        <w:rPr/>
        <w:t>Prasad, A., Rogoff, K., Wei S.-J., &amp; Kose, A. (2003), Effects of financial globalization on developing countries some empirical evidence. </w:t>
      </w:r>
      <w:r>
        <w:rPr>
          <w:i/>
        </w:rPr>
        <w:t>IMF Occasional paper </w:t>
      </w:r>
      <w:r>
        <w:rPr/>
        <w:t>220, IMF, </w:t>
      </w:r>
      <w:r>
        <w:rPr>
          <w:spacing w:val="-2"/>
        </w:rPr>
        <w:t>Washington.</w:t>
      </w:r>
    </w:p>
    <w:p>
      <w:pPr>
        <w:pStyle w:val="BodyText"/>
        <w:spacing w:before="240"/>
        <w:ind w:left="940" w:right="744" w:hanging="720"/>
        <w:jc w:val="both"/>
      </w:pPr>
      <w:r>
        <w:rPr/>
        <w:t>Prasad, E., Kose, M.A., &amp; Terrones, M. (2003). Financial integration and macroeconomic volatility. IMF Staff Papers No. 50.</w:t>
      </w:r>
    </w:p>
    <w:p>
      <w:pPr>
        <w:pStyle w:val="BodyText"/>
        <w:spacing w:before="241"/>
        <w:ind w:left="940" w:right="742" w:hanging="720"/>
        <w:jc w:val="both"/>
      </w:pPr>
      <w:r>
        <w:rPr/>
        <w:t>Raheem, I. D. (2015). Remittances, financial sector development and efficiency and growth in Africa. </w:t>
      </w:r>
      <w:r>
        <w:rPr>
          <w:i/>
        </w:rPr>
        <w:t>Indian Journal of Finance, </w:t>
      </w:r>
      <w:r>
        <w:rPr/>
        <w:t>9(2): 25-34.</w:t>
      </w:r>
    </w:p>
    <w:p>
      <w:pPr>
        <w:spacing w:before="241"/>
        <w:ind w:left="940" w:right="738" w:hanging="720"/>
        <w:jc w:val="both"/>
        <w:rPr>
          <w:sz w:val="25"/>
        </w:rPr>
      </w:pPr>
      <w:r>
        <w:rPr>
          <w:sz w:val="25"/>
        </w:rPr>
        <w:t>Rodrik, D., Ed. (1998). </w:t>
      </w:r>
      <w:r>
        <w:rPr>
          <w:i/>
          <w:sz w:val="25"/>
        </w:rPr>
        <w:t>Who needs capital-account convertibility?” Princeton studies in international finance</w:t>
      </w:r>
      <w:r>
        <w:rPr>
          <w:sz w:val="25"/>
        </w:rPr>
        <w:t>. Princeton, Princeton University Press.</w:t>
      </w:r>
    </w:p>
    <w:p>
      <w:pPr>
        <w:pStyle w:val="BodyText"/>
        <w:spacing w:before="238"/>
        <w:ind w:left="940" w:right="743" w:hanging="720"/>
        <w:jc w:val="both"/>
      </w:pPr>
      <w:r>
        <w:rPr/>
        <w:t>Rogoff, K., Kose, M.A., Prasad, E., &amp; Wei, S.J. (2006). Financial globalisation: A reappraisal, IMF Working Papers, no 06/189.</w:t>
      </w:r>
    </w:p>
    <w:p>
      <w:pPr>
        <w:spacing w:before="242"/>
        <w:ind w:left="940" w:right="736" w:hanging="720"/>
        <w:jc w:val="both"/>
        <w:rPr>
          <w:sz w:val="25"/>
        </w:rPr>
      </w:pPr>
      <w:r>
        <w:rPr>
          <w:sz w:val="25"/>
        </w:rPr>
        <w:t>Romer, M. (1987). Growth based on increasing returns due to specialization. </w:t>
      </w:r>
      <w:r>
        <w:rPr>
          <w:i/>
          <w:sz w:val="25"/>
        </w:rPr>
        <w:t>American Economic Review</w:t>
      </w:r>
      <w:r>
        <w:rPr>
          <w:sz w:val="25"/>
        </w:rPr>
        <w:t>, 77(1), 56 - 62.</w:t>
      </w:r>
    </w:p>
    <w:p>
      <w:pPr>
        <w:spacing w:before="239"/>
        <w:ind w:left="940" w:right="744" w:hanging="720"/>
        <w:jc w:val="both"/>
        <w:rPr>
          <w:sz w:val="25"/>
        </w:rPr>
      </w:pPr>
      <w:r>
        <w:rPr>
          <w:sz w:val="25"/>
        </w:rPr>
        <w:t>Rousseau, P. (2012). Historical perspectives on financial development and economic</w:t>
      </w:r>
      <w:r>
        <w:rPr>
          <w:spacing w:val="40"/>
          <w:sz w:val="25"/>
        </w:rPr>
        <w:t> </w:t>
      </w:r>
      <w:r>
        <w:rPr>
          <w:sz w:val="25"/>
        </w:rPr>
        <w:t>Growth. </w:t>
      </w:r>
      <w:r>
        <w:rPr>
          <w:i/>
          <w:sz w:val="25"/>
        </w:rPr>
        <w:t>NBER Working Paper No. 9333</w:t>
      </w:r>
      <w:r>
        <w:rPr>
          <w:sz w:val="25"/>
        </w:rPr>
        <w:t>.</w:t>
      </w:r>
    </w:p>
    <w:p>
      <w:pPr>
        <w:pStyle w:val="BodyText"/>
        <w:spacing w:before="241"/>
        <w:ind w:left="940" w:right="739" w:hanging="720"/>
        <w:jc w:val="both"/>
      </w:pPr>
      <w:r>
        <w:rPr/>
        <w:t>Saafi, S., Mohamed, M.B.H., &amp; Doudou, M.B. (2016). Causal nexus between financial integration and economic growth: Does nonlinearity matter? </w:t>
      </w:r>
      <w:r>
        <w:rPr>
          <w:i/>
        </w:rPr>
        <w:t>Journal of Economic Integration</w:t>
      </w:r>
      <w:r>
        <w:rPr/>
        <w:t>, 31(4), 817 – 854.</w:t>
      </w:r>
    </w:p>
    <w:p>
      <w:pPr>
        <w:pStyle w:val="BodyText"/>
        <w:spacing w:before="239"/>
        <w:ind w:left="940" w:right="739" w:hanging="720"/>
        <w:jc w:val="both"/>
      </w:pPr>
      <w:r>
        <w:rPr/>
        <w:t>Sami, S., Meriem, B.H.M., &amp; Makram, B.D. (2016). Causal nexus between financial integration and economic growth: Does nonlinearity matter? </w:t>
      </w:r>
      <w:r>
        <w:rPr>
          <w:i/>
          <w:color w:val="333333"/>
        </w:rPr>
        <w:t>Journal of Economic Integration</w:t>
      </w:r>
      <w:r>
        <w:rPr>
          <w:color w:val="333333"/>
        </w:rPr>
        <w:t>, 31(4), 817 – 854.</w:t>
      </w:r>
    </w:p>
    <w:p>
      <w:pPr>
        <w:pStyle w:val="BodyText"/>
        <w:spacing w:before="240"/>
      </w:pPr>
      <w:r>
        <w:rPr/>
        <w:t>Schäfer,</w:t>
      </w:r>
      <w:r>
        <w:rPr>
          <w:spacing w:val="-8"/>
        </w:rPr>
        <w:t> </w:t>
      </w:r>
      <w:r>
        <w:rPr/>
        <w:t>S.</w:t>
      </w:r>
      <w:r>
        <w:rPr>
          <w:spacing w:val="-7"/>
        </w:rPr>
        <w:t> </w:t>
      </w:r>
      <w:r>
        <w:rPr/>
        <w:t>(2009).</w:t>
      </w:r>
      <w:r>
        <w:rPr>
          <w:spacing w:val="-7"/>
        </w:rPr>
        <w:t> </w:t>
      </w:r>
      <w:r>
        <w:rPr/>
        <w:t>EU</w:t>
      </w:r>
      <w:r>
        <w:rPr>
          <w:spacing w:val="-7"/>
        </w:rPr>
        <w:t> </w:t>
      </w:r>
      <w:r>
        <w:rPr/>
        <w:t>retail</w:t>
      </w:r>
      <w:r>
        <w:rPr>
          <w:spacing w:val="-7"/>
        </w:rPr>
        <w:t> </w:t>
      </w:r>
      <w:r>
        <w:rPr/>
        <w:t>banking:</w:t>
      </w:r>
      <w:r>
        <w:rPr>
          <w:spacing w:val="-7"/>
        </w:rPr>
        <w:t> </w:t>
      </w:r>
      <w:r>
        <w:rPr/>
        <w:t>Measuring</w:t>
      </w:r>
      <w:r>
        <w:rPr>
          <w:spacing w:val="-7"/>
        </w:rPr>
        <w:t> </w:t>
      </w:r>
      <w:r>
        <w:rPr/>
        <w:t>integration.</w:t>
      </w:r>
      <w:r>
        <w:rPr>
          <w:spacing w:val="-7"/>
        </w:rPr>
        <w:t> </w:t>
      </w:r>
      <w:r>
        <w:rPr>
          <w:i/>
        </w:rPr>
        <w:t>EU</w:t>
      </w:r>
      <w:r>
        <w:rPr>
          <w:i/>
          <w:spacing w:val="-8"/>
        </w:rPr>
        <w:t> </w:t>
      </w:r>
      <w:r>
        <w:rPr>
          <w:i/>
        </w:rPr>
        <w:t>Monitor</w:t>
      </w:r>
      <w:r>
        <w:rPr/>
        <w:t>,</w:t>
      </w:r>
      <w:r>
        <w:rPr>
          <w:spacing w:val="-7"/>
        </w:rPr>
        <w:t> </w:t>
      </w:r>
      <w:r>
        <w:rPr/>
        <w:t>63:</w:t>
      </w:r>
      <w:r>
        <w:rPr>
          <w:spacing w:val="-7"/>
        </w:rPr>
        <w:t> </w:t>
      </w:r>
      <w:r>
        <w:rPr/>
        <w:t>1-</w:t>
      </w:r>
      <w:r>
        <w:rPr>
          <w:spacing w:val="-5"/>
        </w:rPr>
        <w:t>16.</w:t>
      </w:r>
    </w:p>
    <w:p>
      <w:pPr>
        <w:pStyle w:val="BodyText"/>
        <w:spacing w:before="240"/>
        <w:ind w:left="940" w:right="737" w:hanging="720"/>
        <w:jc w:val="both"/>
      </w:pPr>
      <w:r>
        <w:rPr/>
        <w:t>Schularick, M., &amp; Steger, M. (2006). Does financial integration spur economic growth? New evidence from the first era of financial globalization. Institute of Economic Research Economics Working Paper Series.</w:t>
      </w:r>
    </w:p>
    <w:p>
      <w:pPr>
        <w:spacing w:after="0"/>
        <w:jc w:val="both"/>
        <w:sectPr>
          <w:pgSz w:w="12240" w:h="15840"/>
          <w:pgMar w:header="0" w:footer="1012" w:top="1380" w:bottom="1200" w:left="1220" w:right="700"/>
        </w:sectPr>
      </w:pPr>
    </w:p>
    <w:p>
      <w:pPr>
        <w:pStyle w:val="BodyText"/>
        <w:spacing w:before="60"/>
        <w:ind w:left="940" w:right="739" w:hanging="720"/>
        <w:jc w:val="both"/>
      </w:pPr>
      <w:r>
        <w:rPr/>
        <w:t>Sedik, T.S., &amp; Sun, T. (2012). Effects of Capital Flow Liberalization- What is the Evidence from Recent Experiences of Emerging Market Economies? IMF Working paper No. </w:t>
      </w:r>
      <w:r>
        <w:rPr>
          <w:spacing w:val="-4"/>
        </w:rPr>
        <w:t>275.</w:t>
      </w:r>
    </w:p>
    <w:p>
      <w:pPr>
        <w:spacing w:line="276" w:lineRule="auto" w:before="239"/>
        <w:ind w:left="940" w:right="742" w:hanging="720"/>
        <w:jc w:val="both"/>
        <w:rPr>
          <w:sz w:val="25"/>
        </w:rPr>
      </w:pPr>
      <w:r>
        <w:rPr/>
        <mc:AlternateContent>
          <mc:Choice Requires="wps">
            <w:drawing>
              <wp:anchor distT="0" distB="0" distL="0" distR="0" allowOverlap="1" layoutInCell="1" locked="0" behindDoc="1" simplePos="0" relativeHeight="478118912">
                <wp:simplePos x="0" y="0"/>
                <wp:positionH relativeFrom="page">
                  <wp:posOffset>950112</wp:posOffset>
                </wp:positionH>
                <wp:positionV relativeFrom="paragraph">
                  <wp:posOffset>735312</wp:posOffset>
                </wp:positionV>
                <wp:extent cx="5505450" cy="5661025"/>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57.898632pt;width:433.5pt;height:445.75pt;mso-position-horizontal-relative:page;mso-position-vertical-relative:paragraph;z-index:-25197568" id="docshape232" coordorigin="1496,1158" coordsize="8670,8915" path="m2562,9878l1691,9007,1496,9202,2367,10073,2562,9878xm3154,9202l3153,9162,3148,9119,3139,9076,3125,9032,3106,8988,3083,8945,3055,8902,3025,8861,2991,8821,2954,8782,2435,8263,2241,8457,2772,8989,2805,9025,2829,9060,2846,9095,2856,9129,2858,9162,2851,9192,2837,9221,2816,9247,2790,9269,2761,9283,2730,9288,2697,9286,2663,9277,2628,9260,2593,9236,2557,9204,2026,8672,1831,8866,2351,9386,2385,9418,2424,9450,2468,9483,2516,9515,2548,9534,2583,9550,2620,9563,2658,9574,2697,9582,2733,9585,2767,9586,2800,9582,2831,9575,2863,9563,2895,9547,2926,9527,2957,9504,2985,9481,3011,9458,3035,9435,3071,9395,3102,9354,3125,9312,3142,9270,3150,9238,3154,9202xm3882,8418l3876,8354,3860,8289,3834,8222,3806,8168,3771,8112,3728,8054,3678,7995,3661,7976,3621,7935,3597,7912,3597,8406,3592,8446,3577,8483,3551,8516,3518,8542,3481,8557,3441,8561,3396,8555,3347,8537,3294,8505,3235,8460,3171,8401,3112,8337,3066,8278,3035,8224,3016,8175,3010,8130,3014,8090,3029,8054,3053,8022,3086,7997,3122,7981,3163,7976,3207,7981,3255,7999,3307,8028,3363,8071,3423,8126,3488,8195,3538,8258,3572,8314,3591,8363,3597,8406,3597,7912,3551,7870,3482,7814,3413,7769,3344,7734,3276,7708,3209,7692,3130,7687,3055,7697,2983,7722,2914,7763,2850,7818,2796,7882,2756,7949,2732,8021,2723,8097,2729,8176,2746,8245,2772,8314,2808,8383,2854,8453,2910,8524,2976,8595,3036,8652,3096,8701,3156,8743,3215,8778,3273,8805,3344,8830,3411,8843,3475,8847,3535,8841,3593,8824,3649,8797,3705,8759,3758,8711,3805,8658,3841,8601,3858,8561,3866,8543,3879,8481,3882,8418xm4153,7839l3966,7652,3712,7906,3899,8093,4153,7839xm4664,7776l3793,6905,3598,7100,4469,7971,4664,7776xm4998,7442l4675,7119,4781,7012,4832,6952,4837,6942,4866,6891,4883,6827,4882,6763,4866,6697,4843,6646,4836,6631,4792,6565,4733,6499,4670,6442,4607,6399,4598,6395,4598,6788,4597,6814,4587,6840,4570,6867,4546,6895,4498,6942,4304,6748,4359,6692,4386,6669,4412,6654,4438,6646,4462,6647,4486,6653,4509,6663,4531,6678,4552,6696,4570,6718,4584,6740,4593,6764,4598,6788,4598,6395,4544,6370,4483,6354,4423,6353,4365,6367,4309,6397,4255,6443,3931,6766,4803,7637,4998,7442xm5788,6652l5132,5996,5330,5798,5115,5583,4524,6174,4739,6389,4937,6191,5593,6847,5788,6652xm6423,6017l5767,5361,5966,5162,5751,4947,5159,5539,5374,5754,5573,5555,6229,6211,6423,6017xm7157,5144l7151,5079,7135,5014,7109,4947,7081,4893,7046,4837,7003,4779,6953,4720,6935,4701,6896,4660,6872,4638,6872,5131,6867,5172,6851,5208,6825,5242,6793,5267,6756,5282,6716,5286,6671,5280,6622,5262,6569,5230,6510,5185,6446,5126,6387,5062,6341,5003,6309,4949,6291,4900,6285,4855,6289,4815,6304,4779,6328,4748,6361,4722,6397,4707,6438,4701,6482,4707,6530,4724,6582,4754,6638,4796,6698,4851,6763,4921,6813,4983,6847,5039,6866,5088,6872,5131,6872,4638,6826,4595,6756,4540,6687,4495,6619,4459,6551,4434,6483,4418,6405,4412,6329,4422,6258,4447,6189,4488,6125,4543,6071,4607,6031,4674,6007,4746,5998,4822,6004,4902,6021,4970,6047,5039,6083,5108,6129,5178,6184,5249,6250,5320,6311,5377,6371,5426,6431,5468,6490,5503,6548,5531,6619,5555,6686,5569,6750,5572,6810,5566,6868,5549,6924,5522,6979,5485,7033,5437,7080,5383,7116,5326,7133,5286,7141,5268,7154,5207,7157,5144xm8170,4148l8165,4099,8153,4049,8134,3996,8109,3942,8079,3886,8041,3829,7980,3853,7799,3928,7831,3974,7855,4017,7873,4058,7884,4095,7887,4130,7881,4163,7866,4194,7843,4223,7812,4247,7778,4261,7740,4265,7700,4259,7653,4240,7600,4206,7538,4157,7469,4092,7417,4036,7375,3984,7344,3937,7324,3894,7311,3842,7312,3796,7325,3755,7352,3719,7367,3706,7384,3695,7402,3687,7422,3683,7442,3681,7464,3681,7486,3684,7509,3690,7524,3696,7542,3704,7563,3715,7586,3730,7705,3505,7622,3459,7543,3427,7469,3408,7400,3401,7333,3409,7269,3432,7206,3470,7146,3522,7092,3585,7054,3651,7030,3721,7021,3795,7027,3873,7044,3940,7070,4008,7106,4077,7153,4147,7209,4217,7276,4289,7341,4350,7404,4402,7467,4445,7529,4481,7590,4508,7662,4532,7730,4545,7791,4547,7847,4541,7900,4524,7952,4497,8004,4460,8056,4414,8094,4371,8125,4328,8147,4285,8161,4240,8169,4195,8170,4148xm8868,3433l8861,3369,8846,3303,8820,3236,8792,3182,8757,3126,8714,3068,8664,3009,8646,2990,8607,2949,8583,2927,8583,3421,8578,3461,8562,3497,8536,3531,8504,3556,8467,3571,8427,3575,8382,3569,8333,3551,8279,3520,8221,3474,8157,3415,8098,3351,8052,3292,8020,3238,8002,3189,7996,3144,8000,3104,8014,3068,8039,3037,8071,3011,8108,2996,8149,2990,8193,2996,8241,3013,8293,3043,8349,3085,8409,3140,8474,3210,8524,3273,8558,3328,8577,3377,8583,3421,8583,2927,8537,2884,8467,2829,8398,2784,8330,2748,8262,2723,8194,2707,8116,2701,8040,2711,7968,2737,7900,2777,7835,2833,7781,2896,7742,2964,7718,3035,7709,3111,7715,3191,7731,3259,7758,3328,7794,3398,7839,3468,7895,3538,7961,3609,8022,3666,8082,3716,8142,3758,8201,3792,8259,3820,8329,3844,8397,3858,8461,3861,8521,3855,8579,3839,8635,3811,8690,3774,8744,3726,8791,3672,8827,3616,8844,3575,8852,3557,8865,3496,8868,3433xm9348,3092l9025,2768,9132,2662,9182,2602,9188,2592,9216,2540,9233,2477,9233,2412,9217,2347,9194,2296,9187,2281,9142,2215,9084,2149,9020,2092,8957,2049,8948,2045,8948,2438,8947,2463,8938,2490,8921,2517,8896,2544,8849,2592,8654,2398,8710,2342,8737,2319,8763,2303,8788,2296,8812,2296,8836,2303,8859,2313,8881,2328,8902,2346,8920,2368,8934,2390,8943,2414,8948,2438,8948,2045,8895,2019,8833,2003,8773,2002,8715,2017,8659,2047,8605,2092,8282,2416,9153,3287,9348,3092xm10166,2274l9801,1909,9748,1759,9593,1308,9540,1158,9325,1373,9353,1443,9436,1654,9492,1795,9422,1766,9211,1683,9071,1627,8854,1843,9005,1896,9456,2051,9606,2104,9971,2469,10166,2274xe" filled="true" fillcolor="#c0c0c0" stroked="false">
                <v:path arrowok="t"/>
                <v:fill opacity="32896f" type="solid"/>
                <w10:wrap type="none"/>
              </v:shape>
            </w:pict>
          </mc:Fallback>
        </mc:AlternateContent>
      </w:r>
      <w:r>
        <w:rPr>
          <w:sz w:val="25"/>
        </w:rPr>
        <w:t>Sethi, N. (2013). Causal relationship between foreign capital inflows and economic growth: Empirical evidence from India. </w:t>
      </w:r>
      <w:r>
        <w:rPr>
          <w:i/>
          <w:sz w:val="25"/>
        </w:rPr>
        <w:t>International Journal of Economics, Finance and Management, </w:t>
      </w:r>
      <w:r>
        <w:rPr>
          <w:sz w:val="25"/>
        </w:rPr>
        <w:t>2(1), 65-69.</w:t>
      </w:r>
    </w:p>
    <w:p>
      <w:pPr>
        <w:pStyle w:val="BodyText"/>
        <w:spacing w:line="276" w:lineRule="auto" w:before="241"/>
        <w:ind w:left="940" w:right="738" w:hanging="720"/>
        <w:jc w:val="both"/>
      </w:pPr>
      <w:r>
        <w:rPr/>
        <w:t>Shahbaz, M. (2012). Does trade openness affect long run growth? Cointegration, causality and forecast error variance decomposition tests for Pakistan. </w:t>
      </w:r>
      <w:r>
        <w:rPr>
          <w:i/>
        </w:rPr>
        <w:t>Economic Modelling</w:t>
      </w:r>
      <w:r>
        <w:rPr/>
        <w:t>, </w:t>
      </w:r>
      <w:r>
        <w:rPr>
          <w:i/>
        </w:rPr>
        <w:t>29</w:t>
      </w:r>
      <w:r>
        <w:rPr/>
        <w:t>(6), 2325–2339.</w:t>
      </w:r>
    </w:p>
    <w:p>
      <w:pPr>
        <w:spacing w:before="240"/>
        <w:ind w:left="940" w:right="738" w:hanging="720"/>
        <w:jc w:val="both"/>
        <w:rPr>
          <w:sz w:val="25"/>
        </w:rPr>
      </w:pPr>
      <w:r>
        <w:rPr>
          <w:sz w:val="25"/>
        </w:rPr>
        <w:t>Shaw, E. S. (1973). </w:t>
      </w:r>
      <w:r>
        <w:rPr>
          <w:i/>
          <w:sz w:val="25"/>
        </w:rPr>
        <w:t>Financial deepening in economic development</w:t>
      </w:r>
      <w:r>
        <w:rPr>
          <w:sz w:val="25"/>
        </w:rPr>
        <w:t>. New York: Oxford University Press.</w:t>
      </w:r>
    </w:p>
    <w:p>
      <w:pPr>
        <w:spacing w:before="239"/>
        <w:ind w:left="940" w:right="736" w:hanging="720"/>
        <w:jc w:val="both"/>
        <w:rPr>
          <w:sz w:val="25"/>
        </w:rPr>
      </w:pPr>
      <w:r>
        <w:rPr>
          <w:sz w:val="25"/>
        </w:rPr>
        <w:t>Sibindi, A. B. (2014). Remittances, financial development and economic growth: empirical evidence from Lesotho. </w:t>
      </w:r>
      <w:r>
        <w:rPr>
          <w:i/>
          <w:sz w:val="25"/>
        </w:rPr>
        <w:t>Journal of Governance and Regulation</w:t>
      </w:r>
      <w:r>
        <w:rPr>
          <w:sz w:val="25"/>
        </w:rPr>
        <w:t>, 3(4): 116-124</w:t>
      </w:r>
    </w:p>
    <w:p>
      <w:pPr>
        <w:pStyle w:val="BodyText"/>
        <w:spacing w:line="276" w:lineRule="auto" w:before="241"/>
        <w:ind w:left="940" w:right="734" w:hanging="720"/>
        <w:jc w:val="both"/>
      </w:pPr>
      <w:r>
        <w:rPr/>
        <w:t>Smarzynska, B. K. (2002). Does foreign direct investment increase the productivity of domestic firms? In search of spillovers through backward linkages. </w:t>
      </w:r>
      <w:r>
        <w:rPr>
          <w:i/>
        </w:rPr>
        <w:t>Policy Research Working Paper No. 29. </w:t>
      </w:r>
      <w:r>
        <w:rPr/>
        <w:t>The World Bank, Washington, D.</w:t>
      </w:r>
    </w:p>
    <w:p>
      <w:pPr>
        <w:spacing w:before="240"/>
        <w:ind w:left="940" w:right="735" w:hanging="720"/>
        <w:jc w:val="both"/>
        <w:rPr>
          <w:sz w:val="25"/>
        </w:rPr>
      </w:pPr>
      <w:r>
        <w:rPr>
          <w:sz w:val="25"/>
        </w:rPr>
        <w:t>Stiglitz, J. (2004). Capital-market liberalization, globalization, and the IMF. </w:t>
      </w:r>
      <w:r>
        <w:rPr>
          <w:i/>
          <w:sz w:val="25"/>
        </w:rPr>
        <w:t>Oxford Review of Economic Policy, </w:t>
      </w:r>
      <w:r>
        <w:rPr>
          <w:sz w:val="25"/>
        </w:rPr>
        <w:t>20(1), 57–71.</w:t>
      </w:r>
    </w:p>
    <w:p>
      <w:pPr>
        <w:pStyle w:val="BodyText"/>
        <w:spacing w:before="241"/>
        <w:ind w:left="940" w:right="734" w:hanging="720"/>
        <w:jc w:val="both"/>
      </w:pPr>
      <w:r>
        <w:rPr/>
        <w:t>Stiglitz, J.E. (2000). Capital market liberalization, economic growth, and instability. </w:t>
      </w:r>
      <w:r>
        <w:rPr>
          <w:i/>
        </w:rPr>
        <w:t>World Development</w:t>
      </w:r>
      <w:r>
        <w:rPr/>
        <w:t>, 28(6), 1075 - 1086.</w:t>
      </w:r>
    </w:p>
    <w:p>
      <w:pPr>
        <w:pStyle w:val="BodyText"/>
        <w:spacing w:before="239"/>
      </w:pPr>
      <w:r>
        <w:rPr/>
        <w:t>Stulz,</w:t>
      </w:r>
      <w:r>
        <w:rPr>
          <w:spacing w:val="-7"/>
        </w:rPr>
        <w:t> </w:t>
      </w:r>
      <w:r>
        <w:rPr/>
        <w:t>R.</w:t>
      </w:r>
      <w:r>
        <w:rPr>
          <w:spacing w:val="-7"/>
        </w:rPr>
        <w:t> </w:t>
      </w:r>
      <w:r>
        <w:rPr/>
        <w:t>(2005).</w:t>
      </w:r>
      <w:r>
        <w:rPr>
          <w:spacing w:val="-7"/>
        </w:rPr>
        <w:t> </w:t>
      </w:r>
      <w:r>
        <w:rPr/>
        <w:t>The</w:t>
      </w:r>
      <w:r>
        <w:rPr>
          <w:spacing w:val="-6"/>
        </w:rPr>
        <w:t> </w:t>
      </w:r>
      <w:r>
        <w:rPr/>
        <w:t>limits</w:t>
      </w:r>
      <w:r>
        <w:rPr>
          <w:spacing w:val="-5"/>
        </w:rPr>
        <w:t> </w:t>
      </w:r>
      <w:r>
        <w:rPr/>
        <w:t>of</w:t>
      </w:r>
      <w:r>
        <w:rPr>
          <w:spacing w:val="-6"/>
        </w:rPr>
        <w:t> </w:t>
      </w:r>
      <w:r>
        <w:rPr/>
        <w:t>financial</w:t>
      </w:r>
      <w:r>
        <w:rPr>
          <w:spacing w:val="-7"/>
        </w:rPr>
        <w:t> </w:t>
      </w:r>
      <w:r>
        <w:rPr/>
        <w:t>globalization.</w:t>
      </w:r>
      <w:r>
        <w:rPr>
          <w:spacing w:val="-6"/>
        </w:rPr>
        <w:t> </w:t>
      </w:r>
      <w:r>
        <w:rPr>
          <w:i/>
        </w:rPr>
        <w:t>Journal</w:t>
      </w:r>
      <w:r>
        <w:rPr>
          <w:i/>
          <w:spacing w:val="-7"/>
        </w:rPr>
        <w:t> </w:t>
      </w:r>
      <w:r>
        <w:rPr>
          <w:i/>
        </w:rPr>
        <w:t>of</w:t>
      </w:r>
      <w:r>
        <w:rPr>
          <w:i/>
          <w:spacing w:val="-6"/>
        </w:rPr>
        <w:t> </w:t>
      </w:r>
      <w:r>
        <w:rPr>
          <w:i/>
        </w:rPr>
        <w:t>Finance</w:t>
      </w:r>
      <w:r>
        <w:rPr/>
        <w:t>,</w:t>
      </w:r>
      <w:r>
        <w:rPr>
          <w:spacing w:val="-7"/>
        </w:rPr>
        <w:t> </w:t>
      </w:r>
      <w:r>
        <w:rPr/>
        <w:t>60(4),</w:t>
      </w:r>
      <w:r>
        <w:rPr>
          <w:spacing w:val="-7"/>
        </w:rPr>
        <w:t> </w:t>
      </w:r>
      <w:r>
        <w:rPr/>
        <w:t>1595</w:t>
      </w:r>
      <w:r>
        <w:rPr>
          <w:spacing w:val="-7"/>
        </w:rPr>
        <w:t> </w:t>
      </w:r>
      <w:r>
        <w:rPr>
          <w:spacing w:val="-2"/>
        </w:rPr>
        <w:t>1637.</w:t>
      </w:r>
    </w:p>
    <w:p>
      <w:pPr>
        <w:spacing w:before="240"/>
        <w:ind w:left="940" w:right="747" w:hanging="720"/>
        <w:jc w:val="both"/>
        <w:rPr>
          <w:sz w:val="25"/>
        </w:rPr>
      </w:pPr>
      <w:r>
        <w:rPr>
          <w:sz w:val="25"/>
        </w:rPr>
        <w:t>Tewolde, T. (2005). Remittances as a tool for development and reconstruction in Eritrea. An economic analysis:</w:t>
      </w:r>
      <w:r>
        <w:rPr>
          <w:spacing w:val="40"/>
          <w:sz w:val="25"/>
        </w:rPr>
        <w:t> </w:t>
      </w:r>
      <w:r>
        <w:rPr>
          <w:i/>
          <w:sz w:val="25"/>
        </w:rPr>
        <w:t>Journal of Middle Eastern Geopolitics, 1(2), </w:t>
      </w:r>
      <w:r>
        <w:rPr>
          <w:sz w:val="25"/>
        </w:rPr>
        <w:t>14 – 24.</w:t>
      </w:r>
    </w:p>
    <w:p>
      <w:pPr>
        <w:pStyle w:val="BodyText"/>
        <w:spacing w:before="239"/>
        <w:ind w:left="940" w:right="737" w:hanging="720"/>
        <w:jc w:val="both"/>
      </w:pPr>
      <w:r>
        <w:rPr/>
        <w:t>Trichet, J.C. (2015). Financial markets integration in Europe: the ECB’s view. </w:t>
      </w:r>
      <w:r>
        <w:rPr>
          <w:i/>
        </w:rPr>
        <w:t>BIS Review</w:t>
      </w:r>
      <w:r>
        <w:rPr/>
        <w:t>, 39: 1-5.</w:t>
      </w:r>
    </w:p>
    <w:p>
      <w:pPr>
        <w:pStyle w:val="BodyText"/>
        <w:spacing w:line="276" w:lineRule="auto" w:before="242"/>
        <w:ind w:left="940" w:right="741" w:hanging="720"/>
        <w:jc w:val="both"/>
      </w:pPr>
      <w:r>
        <w:rPr/>
        <w:t>UNCTAD. (2014). The Economic development in Africa: Catalyzing investment for transformative growth in Africa. Retrieved from </w:t>
      </w:r>
      <w:hyperlink r:id="rId11">
        <w:r>
          <w:rPr/>
          <w:t>http://unctad.org/en/Publications</w:t>
        </w:r>
      </w:hyperlink>
      <w:r>
        <w:rPr/>
        <w:t> </w:t>
      </w:r>
      <w:r>
        <w:rPr>
          <w:spacing w:val="-2"/>
        </w:rPr>
        <w:t>Library/aldcafrica2014_en.pdf</w:t>
      </w:r>
    </w:p>
    <w:p>
      <w:pPr>
        <w:pStyle w:val="BodyText"/>
        <w:spacing w:before="239"/>
        <w:ind w:left="940" w:right="737" w:hanging="720"/>
        <w:jc w:val="both"/>
      </w:pPr>
      <w:r>
        <w:rPr/>
        <w:t>Unite, A., &amp; Sullivan M. (2003). The effect of foreign entry and ownership structure on the philippine domestic banking market. </w:t>
      </w:r>
      <w:r>
        <w:rPr>
          <w:i/>
        </w:rPr>
        <w:t>Journal of Banking and Finance</w:t>
      </w:r>
      <w:r>
        <w:rPr/>
        <w:t>, 27(12), 2323– </w:t>
      </w:r>
      <w:r>
        <w:rPr>
          <w:spacing w:val="-2"/>
        </w:rPr>
        <w:t>2345.</w:t>
      </w:r>
    </w:p>
    <w:p>
      <w:pPr>
        <w:spacing w:after="0"/>
        <w:jc w:val="both"/>
        <w:sectPr>
          <w:pgSz w:w="12240" w:h="15840"/>
          <w:pgMar w:header="0" w:footer="1012" w:top="1380" w:bottom="1200" w:left="1220" w:right="700"/>
        </w:sectPr>
      </w:pPr>
    </w:p>
    <w:p>
      <w:pPr>
        <w:pStyle w:val="BodyText"/>
        <w:spacing w:before="60"/>
        <w:ind w:left="940" w:right="740" w:hanging="720"/>
        <w:jc w:val="both"/>
      </w:pPr>
      <w:r>
        <w:rPr/>
        <w:t>Valickova, P., Havranek, T. &amp; Horvath, R. (2015). Financial development and economic growth: a meta-analysis. </w:t>
      </w:r>
      <w:r>
        <w:rPr>
          <w:i/>
        </w:rPr>
        <w:t>Journal of Economic Surveys, </w:t>
      </w:r>
      <w:r>
        <w:rPr/>
        <w:t>29(3): 506-526.</w:t>
      </w:r>
    </w:p>
    <w:p>
      <w:pPr>
        <w:spacing w:before="238"/>
        <w:ind w:left="940" w:right="745" w:hanging="720"/>
        <w:jc w:val="both"/>
        <w:rPr>
          <w:sz w:val="25"/>
        </w:rPr>
      </w:pPr>
      <w:r>
        <w:rPr>
          <w:sz w:val="25"/>
        </w:rPr>
        <w:t>Wafa, G., &amp; Saoussen, O. (2015). The determinants of international financial integration in the MENA. </w:t>
      </w:r>
      <w:r>
        <w:rPr>
          <w:i/>
          <w:sz w:val="25"/>
        </w:rPr>
        <w:t>Procedia Economics and Finance</w:t>
      </w:r>
      <w:r>
        <w:rPr>
          <w:sz w:val="25"/>
        </w:rPr>
        <w:t>, 26, 535 – 541</w:t>
      </w:r>
    </w:p>
    <w:p>
      <w:pPr>
        <w:pStyle w:val="BodyText"/>
        <w:tabs>
          <w:tab w:pos="3012" w:val="left" w:leader="none"/>
        </w:tabs>
        <w:spacing w:before="241"/>
      </w:pPr>
      <w:r>
        <w:rPr/>
        <w:t>Wambugu,</w:t>
      </w:r>
      <w:r>
        <w:rPr>
          <w:spacing w:val="36"/>
        </w:rPr>
        <w:t> </w:t>
      </w:r>
      <w:r>
        <w:rPr/>
        <w:t>B.W.</w:t>
      </w:r>
      <w:r>
        <w:rPr>
          <w:spacing w:val="35"/>
        </w:rPr>
        <w:t> </w:t>
      </w:r>
      <w:r>
        <w:rPr>
          <w:spacing w:val="-2"/>
        </w:rPr>
        <w:t>(2018).</w:t>
      </w:r>
      <w:r>
        <w:rPr/>
        <w:tab/>
        <w:t>Effects</w:t>
      </w:r>
      <w:r>
        <w:rPr>
          <w:spacing w:val="38"/>
        </w:rPr>
        <w:t> </w:t>
      </w:r>
      <w:r>
        <w:rPr/>
        <w:t>of</w:t>
      </w:r>
      <w:r>
        <w:rPr>
          <w:spacing w:val="38"/>
        </w:rPr>
        <w:t> </w:t>
      </w:r>
      <w:r>
        <w:rPr/>
        <w:t>financial</w:t>
      </w:r>
      <w:r>
        <w:rPr>
          <w:spacing w:val="38"/>
        </w:rPr>
        <w:t> </w:t>
      </w:r>
      <w:r>
        <w:rPr/>
        <w:t>integration</w:t>
      </w:r>
      <w:r>
        <w:rPr>
          <w:spacing w:val="36"/>
        </w:rPr>
        <w:t> </w:t>
      </w:r>
      <w:r>
        <w:rPr/>
        <w:t>on</w:t>
      </w:r>
      <w:r>
        <w:rPr>
          <w:spacing w:val="37"/>
        </w:rPr>
        <w:t> </w:t>
      </w:r>
      <w:r>
        <w:rPr/>
        <w:t>economic</w:t>
      </w:r>
      <w:r>
        <w:rPr>
          <w:spacing w:val="37"/>
        </w:rPr>
        <w:t> </w:t>
      </w:r>
      <w:r>
        <w:rPr/>
        <w:t>growth</w:t>
      </w:r>
      <w:r>
        <w:rPr>
          <w:spacing w:val="37"/>
        </w:rPr>
        <w:t> </w:t>
      </w:r>
      <w:r>
        <w:rPr/>
        <w:t>in</w:t>
      </w:r>
      <w:r>
        <w:rPr>
          <w:spacing w:val="38"/>
        </w:rPr>
        <w:t> </w:t>
      </w:r>
      <w:r>
        <w:rPr>
          <w:spacing w:val="-2"/>
        </w:rPr>
        <w:t>Kenya.</w:t>
      </w:r>
    </w:p>
    <w:p>
      <w:pPr>
        <w:spacing w:before="1"/>
        <w:ind w:left="940" w:right="0" w:firstLine="0"/>
        <w:jc w:val="left"/>
        <w:rPr>
          <w:sz w:val="25"/>
        </w:rPr>
      </w:pPr>
      <w:r>
        <w:rPr/>
        <mc:AlternateContent>
          <mc:Choice Requires="wps">
            <w:drawing>
              <wp:anchor distT="0" distB="0" distL="0" distR="0" allowOverlap="1" layoutInCell="1" locked="0" behindDoc="1" simplePos="0" relativeHeight="478119424">
                <wp:simplePos x="0" y="0"/>
                <wp:positionH relativeFrom="page">
                  <wp:posOffset>950112</wp:posOffset>
                </wp:positionH>
                <wp:positionV relativeFrom="paragraph">
                  <wp:posOffset>66053</wp:posOffset>
                </wp:positionV>
                <wp:extent cx="5505450" cy="5661025"/>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40" y="5144859"/>
                              </a:lnTo>
                              <a:lnTo>
                                <a:pt x="673709" y="5109210"/>
                              </a:lnTo>
                              <a:lnTo>
                                <a:pt x="336143" y="4771517"/>
                              </a:lnTo>
                              <a:lnTo>
                                <a:pt x="212750" y="4894834"/>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210"/>
                              </a:lnTo>
                              <a:lnTo>
                                <a:pt x="1304518" y="4672584"/>
                              </a:lnTo>
                              <a:lnTo>
                                <a:pt x="1260602" y="4698276"/>
                              </a:lnTo>
                              <a:lnTo>
                                <a:pt x="1234897" y="4701095"/>
                              </a:lnTo>
                              <a:lnTo>
                                <a:pt x="1206601" y="4697095"/>
                              </a:lnTo>
                              <a:lnTo>
                                <a:pt x="1141285" y="4665535"/>
                              </a:lnTo>
                              <a:lnTo>
                                <a:pt x="1103972" y="4636846"/>
                              </a:lnTo>
                              <a:lnTo>
                                <a:pt x="1063599" y="4599317"/>
                              </a:lnTo>
                              <a:lnTo>
                                <a:pt x="1025931" y="4558728"/>
                              </a:lnTo>
                              <a:lnTo>
                                <a:pt x="997051" y="4521212"/>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099"/>
                              </a:lnTo>
                              <a:lnTo>
                                <a:pt x="1173124" y="4871567"/>
                              </a:lnTo>
                              <a:lnTo>
                                <a:pt x="1215783" y="4880241"/>
                              </a:lnTo>
                              <a:lnTo>
                                <a:pt x="1256322" y="4882426"/>
                              </a:lnTo>
                              <a:lnTo>
                                <a:pt x="1294739" y="4878451"/>
                              </a:lnTo>
                              <a:lnTo>
                                <a:pt x="1331429" y="4868151"/>
                              </a:lnTo>
                              <a:lnTo>
                                <a:pt x="1367269" y="4850917"/>
                              </a:lnTo>
                              <a:lnTo>
                                <a:pt x="1402270" y="4826927"/>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41"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74"/>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19"/>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08"/>
                              </a:lnTo>
                              <a:lnTo>
                                <a:pt x="3762603" y="1603121"/>
                              </a:lnTo>
                              <a:lnTo>
                                <a:pt x="3775748" y="1601851"/>
                              </a:lnTo>
                              <a:lnTo>
                                <a:pt x="3789349" y="1602105"/>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39"/>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58"/>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75"/>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75"/>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5.201074pt;width:433.5pt;height:445.75pt;mso-position-horizontal-relative:page;mso-position-vertical-relative:paragraph;z-index:-25197056" id="docshape233" coordorigin="1496,104" coordsize="8670,8915" path="m2562,8824l1691,7953,1496,8148,2367,9019,2562,8824xm3154,8148l3153,8108,3148,8065,3139,8022,3125,7978,3106,7934,3083,7891,3055,7849,3025,7807,2991,7767,2954,7728,2435,7209,2241,7403,2772,7935,2805,7971,2829,8006,2846,8041,2856,8075,2858,8108,2851,8138,2837,8167,2816,8193,2790,8215,2761,8229,2730,8235,2697,8232,2663,8223,2628,8206,2593,8182,2557,8150,2026,7618,1831,7812,2351,8332,2385,8364,2424,8396,2468,8429,2516,8461,2548,8480,2583,8496,2620,8509,2658,8520,2697,8528,2733,8531,2767,8532,2800,8528,2831,8521,2863,8510,2895,8493,2926,8473,2957,8450,2985,8427,3011,8404,3035,8381,3071,8341,3102,8300,3125,8258,3142,8216,3150,8184,3154,8148xm3882,7364l3876,7300,3860,7235,3834,7168,3806,7114,3771,7058,3728,7000,3678,6941,3661,6922,3621,6881,3597,6858,3597,7352,3592,7393,3577,7429,3551,7462,3518,7488,3481,7503,3441,7507,3396,7501,3347,7483,3294,7451,3235,7406,3171,7347,3112,7283,3066,7224,3035,7170,3016,7121,3010,7076,3014,7036,3029,7000,3053,6968,3086,6943,3122,6927,3163,6922,3207,6927,3255,6945,3307,6975,3363,7017,3423,7072,3488,7142,3538,7204,3572,7260,3591,7309,3597,7352,3597,6858,3551,6816,3482,6761,3413,6715,3344,6680,3276,6654,3209,6638,3130,6633,3055,6643,2983,6668,2914,6709,2850,6764,2796,6828,2756,6895,2732,6967,2723,7043,2729,7122,2746,7191,2772,7260,2808,7329,2854,7399,2910,7470,2976,7541,3036,7598,3096,7647,3156,7689,3215,7724,3273,7751,3344,7776,3411,7789,3475,7793,3535,7787,3593,7770,3649,7743,3705,7705,3758,7657,3805,7604,3841,7547,3858,7507,3866,7489,3879,7427,3882,7364xm4153,6785l3966,6598,3712,6852,3899,7039,4153,6785xm4664,6722l3793,5851,3598,6046,4469,6917,4664,6722xm4998,6388l4675,6065,4781,5958,4832,5898,4837,5888,4866,5837,4883,5773,4882,5709,4866,5643,4843,5592,4836,5577,4792,5511,4733,5445,4670,5388,4607,5345,4598,5341,4598,5734,4597,5760,4587,5786,4570,5813,4546,5841,4498,5888,4304,5694,4359,5638,4386,5615,4412,5600,4438,5592,4462,5593,4486,5599,4509,5610,4531,5624,4552,5642,4570,5664,4584,5686,4593,5710,4598,5734,4598,5341,4544,5316,4483,5300,4423,5299,4365,5313,4309,5344,4255,5389,3931,5712,4803,6583,4998,6388xm5788,5598l5132,4942,5330,4744,5115,4529,4524,5120,4739,5335,4937,5137,5593,5793,5788,5598xm6423,4963l5767,4307,5966,4108,5751,3893,5159,4485,5374,4700,5573,4501,6229,5157,6423,4963xm7157,4090l7151,4025,7135,3960,7109,3893,7081,3839,7046,3783,7003,3725,6953,3666,6935,3647,6896,3606,6872,3584,6872,4077,6867,4118,6851,4154,6825,4188,6793,4213,6756,4228,6716,4232,6671,4226,6622,4208,6569,4176,6510,4131,6446,4072,6387,4008,6341,3949,6309,3895,6291,3846,6285,3801,6289,3761,6304,3725,6328,3694,6361,3668,6397,3653,6438,3647,6482,3653,6530,3670,6582,3700,6638,3742,6698,3797,6763,3867,6813,3929,6847,3985,6866,4034,6872,4077,6872,3584,6826,3541,6756,3486,6687,3441,6619,3405,6551,3380,6483,3364,6405,3358,6329,3368,6258,3393,6189,3434,6125,3489,6071,3553,6031,3621,6007,3692,5998,3768,6004,3848,6021,3916,6047,3985,6083,4054,6129,4124,6184,4195,6250,4266,6311,4323,6371,4372,6431,4415,6490,4449,6548,4477,6619,4501,6686,4515,6750,4518,6810,4512,6868,4496,6924,4468,6979,4431,7033,4383,7080,4329,7116,4273,7133,4232,7141,4214,7154,4153,7157,4090xm8170,3094l8165,3045,8153,2995,8134,2942,8109,2888,8079,2832,8041,2775,7980,2799,7799,2874,7831,2920,7855,2963,7873,3004,7884,3041,7887,3076,7881,3109,7866,3140,7843,3169,7812,3193,7778,3207,7740,3211,7700,3205,7653,3186,7600,3152,7538,3103,7469,3038,7417,2982,7375,2930,7344,2883,7324,2840,7311,2788,7312,2742,7325,2701,7352,2665,7367,2652,7384,2641,7402,2633,7422,2629,7442,2627,7464,2627,7486,2630,7509,2636,7524,2642,7542,2650,7563,2661,7586,2676,7705,2451,7622,2405,7543,2373,7469,2354,7400,2347,7333,2355,7269,2378,7206,2416,7146,2468,7092,2531,7054,2597,7030,2667,7021,2741,7027,2819,7044,2886,7070,2954,7106,3023,7153,3093,7209,3163,7276,3235,7341,3296,7404,3348,7467,3391,7529,3427,7590,3454,7662,3478,7730,3491,7791,3494,7847,3487,7900,3470,7952,3443,8004,3406,8056,3360,8094,3317,8125,3274,8147,3231,8161,3186,8169,3141,8170,3094xm8868,2379l8861,2315,8846,2249,8820,2182,8792,2128,8757,2072,8714,2014,8664,1955,8646,1937,8607,1895,8583,1873,8583,2367,8578,2407,8562,2444,8536,2477,8504,2502,8467,2517,8427,2522,8382,2515,8333,2497,8279,2466,8221,2420,8157,2361,8098,2297,8052,2238,8020,2184,8002,2135,7996,2091,8000,2050,8014,2014,8039,1983,8071,1957,8108,1942,8149,1937,8193,1942,8241,1959,8293,1989,8349,2031,8409,2086,8474,2156,8524,2219,8558,2274,8577,2323,8583,2367,8583,1873,8537,1830,8467,1775,8398,1730,8330,1694,8262,1669,8194,1653,8116,1647,8040,1657,7968,1683,7900,1723,7835,1779,7781,1842,7742,1910,7718,1981,7709,2057,7715,2137,7731,2205,7758,2274,7794,2344,7839,2414,7895,2484,7961,2555,8022,2612,8082,2662,8142,2704,8201,2738,8259,2766,8329,2790,8397,2804,8461,2807,8521,2801,8579,2785,8635,2758,8690,2720,8744,2672,8791,2618,8827,2562,8844,2522,8852,2503,8865,2442,8868,2379xm9348,2038l9025,1714,9132,1608,9182,1548,9188,1538,9216,1486,9233,1423,9233,1358,9217,1293,9194,1242,9187,1227,9142,1161,9084,1095,9020,1038,8957,995,8948,991,8948,1384,8947,1409,8938,1436,8921,1463,8896,1490,8849,1538,8654,1344,8710,1288,8737,1265,8763,1249,8788,1242,8812,1242,8836,1249,8859,1259,8881,1274,8902,1292,8920,1314,8934,1336,8943,1360,8948,1384,8948,991,8895,965,8833,949,8773,948,8715,963,8659,993,8605,1038,8282,1362,9153,2233,9348,2038xm10166,1220l9801,855,9748,705,9593,254,9540,104,9325,319,9353,389,9436,600,9492,741,9422,712,9211,629,9071,573,8854,789,9005,842,9456,998,9606,1050,9971,1415,10166,1220xe" filled="true" fillcolor="#c0c0c0" stroked="false">
                <v:path arrowok="t"/>
                <v:fill opacity="32896f" type="solid"/>
                <w10:wrap type="none"/>
              </v:shape>
            </w:pict>
          </mc:Fallback>
        </mc:AlternateContent>
      </w:r>
      <w:r>
        <w:rPr>
          <w:i/>
          <w:sz w:val="25"/>
        </w:rPr>
        <w:t>Master</w:t>
      </w:r>
      <w:r>
        <w:rPr>
          <w:i/>
          <w:spacing w:val="-8"/>
          <w:sz w:val="25"/>
        </w:rPr>
        <w:t> </w:t>
      </w:r>
      <w:r>
        <w:rPr>
          <w:i/>
          <w:sz w:val="25"/>
        </w:rPr>
        <w:t>of</w:t>
      </w:r>
      <w:r>
        <w:rPr>
          <w:i/>
          <w:spacing w:val="-8"/>
          <w:sz w:val="25"/>
        </w:rPr>
        <w:t> </w:t>
      </w:r>
      <w:r>
        <w:rPr>
          <w:i/>
          <w:sz w:val="25"/>
        </w:rPr>
        <w:t>Economics</w:t>
      </w:r>
      <w:r>
        <w:rPr>
          <w:i/>
          <w:spacing w:val="-7"/>
          <w:sz w:val="25"/>
        </w:rPr>
        <w:t> </w:t>
      </w:r>
      <w:r>
        <w:rPr>
          <w:i/>
          <w:sz w:val="25"/>
        </w:rPr>
        <w:t>Thesis</w:t>
      </w:r>
      <w:r>
        <w:rPr>
          <w:sz w:val="25"/>
        </w:rPr>
        <w:t>,</w:t>
      </w:r>
      <w:r>
        <w:rPr>
          <w:spacing w:val="-9"/>
          <w:sz w:val="25"/>
        </w:rPr>
        <w:t> </w:t>
      </w:r>
      <w:r>
        <w:rPr>
          <w:sz w:val="25"/>
        </w:rPr>
        <w:t>Department</w:t>
      </w:r>
      <w:r>
        <w:rPr>
          <w:spacing w:val="-8"/>
          <w:sz w:val="25"/>
        </w:rPr>
        <w:t> </w:t>
      </w:r>
      <w:r>
        <w:rPr>
          <w:sz w:val="25"/>
        </w:rPr>
        <w:t>of</w:t>
      </w:r>
      <w:r>
        <w:rPr>
          <w:spacing w:val="-7"/>
          <w:sz w:val="25"/>
        </w:rPr>
        <w:t> </w:t>
      </w:r>
      <w:r>
        <w:rPr>
          <w:sz w:val="25"/>
        </w:rPr>
        <w:t>Economic</w:t>
      </w:r>
      <w:r>
        <w:rPr>
          <w:spacing w:val="-9"/>
          <w:sz w:val="25"/>
        </w:rPr>
        <w:t> </w:t>
      </w:r>
      <w:r>
        <w:rPr>
          <w:sz w:val="25"/>
        </w:rPr>
        <w:t>Theory,</w:t>
      </w:r>
      <w:r>
        <w:rPr>
          <w:spacing w:val="-8"/>
          <w:sz w:val="25"/>
        </w:rPr>
        <w:t> </w:t>
      </w:r>
      <w:r>
        <w:rPr>
          <w:sz w:val="25"/>
        </w:rPr>
        <w:t>Kenyatta</w:t>
      </w:r>
      <w:r>
        <w:rPr>
          <w:spacing w:val="-5"/>
          <w:sz w:val="25"/>
        </w:rPr>
        <w:t> </w:t>
      </w:r>
      <w:r>
        <w:rPr>
          <w:spacing w:val="-2"/>
          <w:sz w:val="25"/>
        </w:rPr>
        <w:t>University.</w:t>
      </w:r>
    </w:p>
    <w:p>
      <w:pPr>
        <w:pStyle w:val="BodyText"/>
        <w:spacing w:before="238"/>
        <w:ind w:left="940" w:right="742" w:hanging="720"/>
        <w:jc w:val="both"/>
      </w:pPr>
      <w:r>
        <w:rPr/>
        <w:t>World Bank (2010). Investing across borders: Indicators of foreign direct investment regulation</w:t>
      </w:r>
      <w:r>
        <w:rPr>
          <w:spacing w:val="2"/>
        </w:rPr>
        <w:t> </w:t>
      </w:r>
      <w:r>
        <w:rPr/>
        <w:t>in</w:t>
      </w:r>
      <w:r>
        <w:rPr>
          <w:spacing w:val="3"/>
        </w:rPr>
        <w:t> </w:t>
      </w:r>
      <w:r>
        <w:rPr/>
        <w:t>87</w:t>
      </w:r>
      <w:r>
        <w:rPr>
          <w:spacing w:val="3"/>
        </w:rPr>
        <w:t> </w:t>
      </w:r>
      <w:r>
        <w:rPr/>
        <w:t>economies.</w:t>
      </w:r>
      <w:r>
        <w:rPr>
          <w:spacing w:val="3"/>
        </w:rPr>
        <w:t> </w:t>
      </w:r>
      <w:r>
        <w:rPr/>
        <w:t>The</w:t>
      </w:r>
      <w:r>
        <w:rPr>
          <w:spacing w:val="2"/>
        </w:rPr>
        <w:t> </w:t>
      </w:r>
      <w:r>
        <w:rPr/>
        <w:t>World</w:t>
      </w:r>
      <w:r>
        <w:rPr>
          <w:spacing w:val="2"/>
        </w:rPr>
        <w:t> </w:t>
      </w:r>
      <w:r>
        <w:rPr/>
        <w:t>Bank Group,</w:t>
      </w:r>
      <w:r>
        <w:rPr>
          <w:spacing w:val="3"/>
        </w:rPr>
        <w:t> </w:t>
      </w:r>
      <w:r>
        <w:rPr/>
        <w:t>1818H</w:t>
      </w:r>
      <w:r>
        <w:rPr>
          <w:spacing w:val="3"/>
        </w:rPr>
        <w:t> </w:t>
      </w:r>
      <w:r>
        <w:rPr/>
        <w:t>Street</w:t>
      </w:r>
      <w:r>
        <w:rPr>
          <w:spacing w:val="3"/>
        </w:rPr>
        <w:t> </w:t>
      </w:r>
      <w:r>
        <w:rPr/>
        <w:t>NW,</w:t>
      </w:r>
      <w:r>
        <w:rPr>
          <w:spacing w:val="2"/>
        </w:rPr>
        <w:t> </w:t>
      </w:r>
      <w:r>
        <w:rPr>
          <w:spacing w:val="-2"/>
        </w:rPr>
        <w:t>Washington,</w:t>
      </w:r>
    </w:p>
    <w:p>
      <w:pPr>
        <w:pStyle w:val="BodyText"/>
        <w:spacing w:before="1"/>
        <w:ind w:left="940"/>
      </w:pPr>
      <w:r>
        <w:rPr/>
        <w:t>D.C.</w:t>
      </w:r>
      <w:r>
        <w:rPr>
          <w:spacing w:val="-7"/>
        </w:rPr>
        <w:t> </w:t>
      </w:r>
      <w:r>
        <w:rPr>
          <w:spacing w:val="-2"/>
        </w:rPr>
        <w:t>20433.</w:t>
      </w:r>
    </w:p>
    <w:p>
      <w:pPr>
        <w:spacing w:before="241"/>
        <w:ind w:left="940" w:right="744" w:hanging="720"/>
        <w:jc w:val="both"/>
        <w:rPr>
          <w:sz w:val="25"/>
        </w:rPr>
      </w:pPr>
      <w:r>
        <w:rPr>
          <w:sz w:val="25"/>
        </w:rPr>
        <w:t>Yabara, M. (2012). </w:t>
      </w:r>
      <w:r>
        <w:rPr>
          <w:i/>
          <w:sz w:val="25"/>
        </w:rPr>
        <w:t>Capital market integration: Progress Ahead of the East African Community Monetary Union. Working Paper No. 1218</w:t>
      </w:r>
      <w:r>
        <w:rPr>
          <w:sz w:val="25"/>
        </w:rPr>
        <w:t>, International Monetary Fund.</w:t>
      </w:r>
    </w:p>
    <w:p>
      <w:pPr>
        <w:pStyle w:val="BodyText"/>
        <w:spacing w:before="239"/>
        <w:ind w:left="940" w:right="736" w:hanging="720"/>
        <w:jc w:val="both"/>
      </w:pPr>
      <w:r>
        <w:rPr/>
        <w:t>Yang, D. (2008). International migration, remittances and household investment: Evidence from Philippine migrants’ exchange rate shocks. </w:t>
      </w:r>
      <w:r>
        <w:rPr>
          <w:i/>
        </w:rPr>
        <w:t>The Economic Journal, </w:t>
      </w:r>
      <w:r>
        <w:rPr/>
        <w:t>118(528): </w:t>
      </w:r>
      <w:r>
        <w:rPr>
          <w:spacing w:val="-2"/>
        </w:rPr>
        <w:t>591-630.</w:t>
      </w:r>
    </w:p>
    <w:p>
      <w:pPr>
        <w:pStyle w:val="BodyText"/>
        <w:spacing w:line="276" w:lineRule="auto" w:before="241"/>
        <w:ind w:left="940" w:right="741" w:hanging="720"/>
        <w:jc w:val="both"/>
      </w:pPr>
      <w:r>
        <w:rPr/>
        <w:t>Zahonogo, P. (2016). Trade and economic growth in developing countries: Evidence from sub-Saharan Africa. </w:t>
      </w:r>
      <w:r>
        <w:rPr>
          <w:i/>
        </w:rPr>
        <w:t>Journal of African Trade</w:t>
      </w:r>
      <w:r>
        <w:rPr/>
        <w:t>, </w:t>
      </w:r>
      <w:r>
        <w:rPr>
          <w:i/>
        </w:rPr>
        <w:t>3</w:t>
      </w:r>
      <w:r>
        <w:rPr/>
        <w:t>(1–2), 41–56.</w:t>
      </w:r>
      <w:r>
        <w:rPr>
          <w:spacing w:val="40"/>
        </w:rPr>
        <w:t> </w:t>
      </w:r>
      <w:r>
        <w:rPr/>
        <w:t>.</w:t>
      </w:r>
    </w:p>
    <w:p>
      <w:pPr>
        <w:pStyle w:val="BodyText"/>
        <w:spacing w:before="239"/>
        <w:ind w:left="940" w:right="742" w:hanging="720"/>
        <w:jc w:val="both"/>
      </w:pPr>
      <w:r>
        <w:rPr/>
        <w:t>Zenasni, S., &amp; Benhabib, A. (2013) Foreign direct investment, financial integration, and growth: Panel data analysis for North African countries, The 12th Annual GEP Postgraduate Conference 2013, University of Nottingham, United Kingdom.</w:t>
      </w:r>
    </w:p>
    <w:p>
      <w:pPr>
        <w:spacing w:after="0"/>
        <w:jc w:val="both"/>
        <w:sectPr>
          <w:pgSz w:w="12240" w:h="15840"/>
          <w:pgMar w:header="0" w:footer="1012" w:top="1380" w:bottom="1200" w:left="1220" w:right="700"/>
        </w:sectPr>
      </w:pPr>
    </w:p>
    <w:p>
      <w:pPr>
        <w:spacing w:before="60"/>
        <w:ind w:left="977" w:right="0" w:firstLine="0"/>
        <w:jc w:val="center"/>
        <w:rPr>
          <w:b/>
          <w:sz w:val="25"/>
        </w:rPr>
      </w:pPr>
      <w:r>
        <w:rPr/>
        <mc:AlternateContent>
          <mc:Choice Requires="wps">
            <w:drawing>
              <wp:anchor distT="0" distB="0" distL="0" distR="0" allowOverlap="1" layoutInCell="1" locked="0" behindDoc="1" simplePos="0" relativeHeight="478119936">
                <wp:simplePos x="0" y="0"/>
                <wp:positionH relativeFrom="page">
                  <wp:posOffset>2093087</wp:posOffset>
                </wp:positionH>
                <wp:positionV relativeFrom="page">
                  <wp:posOffset>1054353</wp:posOffset>
                </wp:positionV>
                <wp:extent cx="5505450" cy="5661025"/>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5505450" cy="5661025"/>
                        </a:xfrm>
                        <a:custGeom>
                          <a:avLst/>
                          <a:gdLst/>
                          <a:ahLst/>
                          <a:cxnLst/>
                          <a:rect l="l" t="t" r="r" b="b"/>
                          <a:pathLst>
                            <a:path w="5505450" h="5661025">
                              <a:moveTo>
                                <a:pt x="677037" y="5536984"/>
                              </a:moveTo>
                              <a:lnTo>
                                <a:pt x="123825" y="4983861"/>
                              </a:lnTo>
                              <a:lnTo>
                                <a:pt x="0" y="5107686"/>
                              </a:lnTo>
                              <a:lnTo>
                                <a:pt x="553212" y="5660809"/>
                              </a:lnTo>
                              <a:lnTo>
                                <a:pt x="677037" y="5536984"/>
                              </a:lnTo>
                              <a:close/>
                            </a:path>
                            <a:path w="5505450" h="5661025">
                              <a:moveTo>
                                <a:pt x="1052703" y="5107749"/>
                              </a:moveTo>
                              <a:lnTo>
                                <a:pt x="1049020" y="5055489"/>
                              </a:lnTo>
                              <a:lnTo>
                                <a:pt x="1033995" y="4999825"/>
                              </a:lnTo>
                              <a:lnTo>
                                <a:pt x="1007364" y="4944618"/>
                              </a:lnTo>
                              <a:lnTo>
                                <a:pt x="970749" y="4891671"/>
                              </a:lnTo>
                              <a:lnTo>
                                <a:pt x="925957" y="4841367"/>
                              </a:lnTo>
                              <a:lnTo>
                                <a:pt x="596138" y="4511548"/>
                              </a:lnTo>
                              <a:lnTo>
                                <a:pt x="472821" y="4634865"/>
                              </a:lnTo>
                              <a:lnTo>
                                <a:pt x="810387" y="4972558"/>
                              </a:lnTo>
                              <a:lnTo>
                                <a:pt x="830897" y="4995367"/>
                              </a:lnTo>
                              <a:lnTo>
                                <a:pt x="846543" y="5017833"/>
                              </a:lnTo>
                              <a:lnTo>
                                <a:pt x="857389" y="5039931"/>
                              </a:lnTo>
                              <a:lnTo>
                                <a:pt x="863473" y="5061585"/>
                              </a:lnTo>
                              <a:lnTo>
                                <a:pt x="864425" y="5082425"/>
                              </a:lnTo>
                              <a:lnTo>
                                <a:pt x="860488" y="5101869"/>
                              </a:lnTo>
                              <a:lnTo>
                                <a:pt x="838073" y="5136515"/>
                              </a:lnTo>
                              <a:lnTo>
                                <a:pt x="803160" y="5159083"/>
                              </a:lnTo>
                              <a:lnTo>
                                <a:pt x="783615" y="5162867"/>
                              </a:lnTo>
                              <a:lnTo>
                                <a:pt x="762635" y="5161534"/>
                              </a:lnTo>
                              <a:lnTo>
                                <a:pt x="718566" y="5144859"/>
                              </a:lnTo>
                              <a:lnTo>
                                <a:pt x="673735" y="5109210"/>
                              </a:lnTo>
                              <a:lnTo>
                                <a:pt x="336169" y="4771517"/>
                              </a:lnTo>
                              <a:lnTo>
                                <a:pt x="212725" y="4894834"/>
                              </a:lnTo>
                              <a:lnTo>
                                <a:pt x="542544" y="5224653"/>
                              </a:lnTo>
                              <a:lnTo>
                                <a:pt x="589292" y="5265547"/>
                              </a:lnTo>
                              <a:lnTo>
                                <a:pt x="647573" y="5306822"/>
                              </a:lnTo>
                              <a:lnTo>
                                <a:pt x="690054" y="5328818"/>
                              </a:lnTo>
                              <a:lnTo>
                                <a:pt x="737870" y="5344033"/>
                              </a:lnTo>
                              <a:lnTo>
                                <a:pt x="785342" y="5351424"/>
                              </a:lnTo>
                              <a:lnTo>
                                <a:pt x="807173" y="5351526"/>
                              </a:lnTo>
                              <a:lnTo>
                                <a:pt x="827786" y="5349367"/>
                              </a:lnTo>
                              <a:lnTo>
                                <a:pt x="867879" y="5337492"/>
                              </a:lnTo>
                              <a:lnTo>
                                <a:pt x="908177" y="5314188"/>
                              </a:lnTo>
                              <a:lnTo>
                                <a:pt x="945210" y="5284952"/>
                              </a:lnTo>
                              <a:lnTo>
                                <a:pt x="977011" y="5255895"/>
                              </a:lnTo>
                              <a:lnTo>
                                <a:pt x="1019365" y="5204485"/>
                              </a:lnTo>
                              <a:lnTo>
                                <a:pt x="1045337" y="5151247"/>
                              </a:lnTo>
                              <a:lnTo>
                                <a:pt x="1050340" y="5130609"/>
                              </a:lnTo>
                              <a:lnTo>
                                <a:pt x="1052703" y="5107749"/>
                              </a:lnTo>
                              <a:close/>
                            </a:path>
                            <a:path w="5505450" h="5661025">
                              <a:moveTo>
                                <a:pt x="1514906" y="4610379"/>
                              </a:moveTo>
                              <a:lnTo>
                                <a:pt x="1510944" y="4569625"/>
                              </a:lnTo>
                              <a:lnTo>
                                <a:pt x="1500924" y="4528058"/>
                              </a:lnTo>
                              <a:lnTo>
                                <a:pt x="1484630" y="4485640"/>
                              </a:lnTo>
                              <a:lnTo>
                                <a:pt x="1466799" y="4451121"/>
                              </a:lnTo>
                              <a:lnTo>
                                <a:pt x="1444396" y="4415548"/>
                              </a:lnTo>
                              <a:lnTo>
                                <a:pt x="1417332" y="4378972"/>
                              </a:lnTo>
                              <a:lnTo>
                                <a:pt x="1385658" y="4341507"/>
                              </a:lnTo>
                              <a:lnTo>
                                <a:pt x="1374343" y="4329595"/>
                              </a:lnTo>
                              <a:lnTo>
                                <a:pt x="1349248" y="4303141"/>
                              </a:lnTo>
                              <a:lnTo>
                                <a:pt x="1334071" y="4289018"/>
                              </a:lnTo>
                              <a:lnTo>
                                <a:pt x="1334071" y="4602658"/>
                              </a:lnTo>
                              <a:lnTo>
                                <a:pt x="1330960" y="4628210"/>
                              </a:lnTo>
                              <a:lnTo>
                                <a:pt x="1304544" y="4672584"/>
                              </a:lnTo>
                              <a:lnTo>
                                <a:pt x="1260627" y="4698276"/>
                              </a:lnTo>
                              <a:lnTo>
                                <a:pt x="1234922" y="4701095"/>
                              </a:lnTo>
                              <a:lnTo>
                                <a:pt x="1206627" y="4697095"/>
                              </a:lnTo>
                              <a:lnTo>
                                <a:pt x="1141310" y="4665548"/>
                              </a:lnTo>
                              <a:lnTo>
                                <a:pt x="1103998" y="4636846"/>
                              </a:lnTo>
                              <a:lnTo>
                                <a:pt x="1063625" y="4599305"/>
                              </a:lnTo>
                              <a:lnTo>
                                <a:pt x="1025956" y="4558728"/>
                              </a:lnTo>
                              <a:lnTo>
                                <a:pt x="997077" y="4521200"/>
                              </a:lnTo>
                              <a:lnTo>
                                <a:pt x="976858" y="4486834"/>
                              </a:lnTo>
                              <a:lnTo>
                                <a:pt x="961186" y="4427385"/>
                              </a:lnTo>
                              <a:lnTo>
                                <a:pt x="963891" y="4401807"/>
                              </a:lnTo>
                              <a:lnTo>
                                <a:pt x="988695" y="4358894"/>
                              </a:lnTo>
                              <a:lnTo>
                                <a:pt x="1032675" y="4332884"/>
                              </a:lnTo>
                              <a:lnTo>
                                <a:pt x="1058392" y="4329595"/>
                              </a:lnTo>
                              <a:lnTo>
                                <a:pt x="1086523" y="4332884"/>
                              </a:lnTo>
                              <a:lnTo>
                                <a:pt x="1150073" y="4362755"/>
                              </a:lnTo>
                              <a:lnTo>
                                <a:pt x="1185532" y="4389602"/>
                              </a:lnTo>
                              <a:lnTo>
                                <a:pt x="1223391" y="4424553"/>
                              </a:lnTo>
                              <a:lnTo>
                                <a:pt x="1264805" y="4468812"/>
                              </a:lnTo>
                              <a:lnTo>
                                <a:pt x="1296377" y="4508716"/>
                              </a:lnTo>
                              <a:lnTo>
                                <a:pt x="1318183" y="4544161"/>
                              </a:lnTo>
                              <a:lnTo>
                                <a:pt x="1334071" y="4602658"/>
                              </a:lnTo>
                              <a:lnTo>
                                <a:pt x="1334071" y="4289018"/>
                              </a:lnTo>
                              <a:lnTo>
                                <a:pt x="1304861" y="4261828"/>
                              </a:lnTo>
                              <a:lnTo>
                                <a:pt x="1260741" y="4226865"/>
                              </a:lnTo>
                              <a:lnTo>
                                <a:pt x="1216926" y="4198201"/>
                              </a:lnTo>
                              <a:lnTo>
                                <a:pt x="1173403" y="4175760"/>
                              </a:lnTo>
                              <a:lnTo>
                                <a:pt x="1130211" y="4159504"/>
                              </a:lnTo>
                              <a:lnTo>
                                <a:pt x="1087374" y="4149344"/>
                              </a:lnTo>
                              <a:lnTo>
                                <a:pt x="1037336" y="4145813"/>
                              </a:lnTo>
                              <a:lnTo>
                                <a:pt x="989520" y="4152163"/>
                              </a:lnTo>
                              <a:lnTo>
                                <a:pt x="943940" y="4168292"/>
                              </a:lnTo>
                              <a:lnTo>
                                <a:pt x="900595" y="4194073"/>
                              </a:lnTo>
                              <a:lnTo>
                                <a:pt x="859536" y="4229354"/>
                              </a:lnTo>
                              <a:lnTo>
                                <a:pt x="825195" y="4269638"/>
                              </a:lnTo>
                              <a:lnTo>
                                <a:pt x="800277" y="4312539"/>
                              </a:lnTo>
                              <a:lnTo>
                                <a:pt x="784872" y="4358056"/>
                              </a:lnTo>
                              <a:lnTo>
                                <a:pt x="779068" y="4406112"/>
                              </a:lnTo>
                              <a:lnTo>
                                <a:pt x="782955" y="4456684"/>
                              </a:lnTo>
                              <a:lnTo>
                                <a:pt x="793432" y="4500080"/>
                              </a:lnTo>
                              <a:lnTo>
                                <a:pt x="810082" y="4543882"/>
                              </a:lnTo>
                              <a:lnTo>
                                <a:pt x="832942" y="4588040"/>
                              </a:lnTo>
                              <a:lnTo>
                                <a:pt x="862076" y="4632515"/>
                              </a:lnTo>
                              <a:lnTo>
                                <a:pt x="897547" y="4677270"/>
                              </a:lnTo>
                              <a:lnTo>
                                <a:pt x="939419" y="4722241"/>
                              </a:lnTo>
                              <a:lnTo>
                                <a:pt x="977925" y="4758525"/>
                              </a:lnTo>
                              <a:lnTo>
                                <a:pt x="1016152" y="4789995"/>
                              </a:lnTo>
                              <a:lnTo>
                                <a:pt x="1054023" y="4816703"/>
                              </a:lnTo>
                              <a:lnTo>
                                <a:pt x="1091463" y="4838725"/>
                              </a:lnTo>
                              <a:lnTo>
                                <a:pt x="1128395" y="4856099"/>
                              </a:lnTo>
                              <a:lnTo>
                                <a:pt x="1173149" y="4871567"/>
                              </a:lnTo>
                              <a:lnTo>
                                <a:pt x="1215809" y="4880241"/>
                              </a:lnTo>
                              <a:lnTo>
                                <a:pt x="1256347" y="4882426"/>
                              </a:lnTo>
                              <a:lnTo>
                                <a:pt x="1294765" y="4878451"/>
                              </a:lnTo>
                              <a:lnTo>
                                <a:pt x="1331455" y="4868176"/>
                              </a:lnTo>
                              <a:lnTo>
                                <a:pt x="1367294" y="4850955"/>
                              </a:lnTo>
                              <a:lnTo>
                                <a:pt x="1402295" y="4826990"/>
                              </a:lnTo>
                              <a:lnTo>
                                <a:pt x="1436497" y="4796409"/>
                              </a:lnTo>
                              <a:lnTo>
                                <a:pt x="1466329" y="4762271"/>
                              </a:lnTo>
                              <a:lnTo>
                                <a:pt x="1489113" y="4726533"/>
                              </a:lnTo>
                              <a:lnTo>
                                <a:pt x="1504734" y="4689221"/>
                              </a:lnTo>
                              <a:lnTo>
                                <a:pt x="1513078" y="4650359"/>
                              </a:lnTo>
                              <a:lnTo>
                                <a:pt x="1514906" y="4610379"/>
                              </a:lnTo>
                              <a:close/>
                            </a:path>
                            <a:path w="5505450" h="5661025">
                              <a:moveTo>
                                <a:pt x="1687068" y="4242308"/>
                              </a:moveTo>
                              <a:lnTo>
                                <a:pt x="1568323" y="4123436"/>
                              </a:lnTo>
                              <a:lnTo>
                                <a:pt x="1406906" y="4284980"/>
                              </a:lnTo>
                              <a:lnTo>
                                <a:pt x="1525651" y="4403725"/>
                              </a:lnTo>
                              <a:lnTo>
                                <a:pt x="1687068" y="4242308"/>
                              </a:lnTo>
                              <a:close/>
                            </a:path>
                            <a:path w="5505450" h="5661025">
                              <a:moveTo>
                                <a:pt x="2011426" y="4202557"/>
                              </a:moveTo>
                              <a:lnTo>
                                <a:pt x="1458214" y="3649345"/>
                              </a:lnTo>
                              <a:lnTo>
                                <a:pt x="1334389" y="3773170"/>
                              </a:lnTo>
                              <a:lnTo>
                                <a:pt x="1887601" y="4326382"/>
                              </a:lnTo>
                              <a:lnTo>
                                <a:pt x="2011426" y="4202557"/>
                              </a:lnTo>
                              <a:close/>
                            </a:path>
                            <a:path w="5505450" h="5661025">
                              <a:moveTo>
                                <a:pt x="2223643" y="3990340"/>
                              </a:moveTo>
                              <a:lnTo>
                                <a:pt x="2018411" y="3784981"/>
                              </a:lnTo>
                              <a:lnTo>
                                <a:pt x="2086102" y="3717290"/>
                              </a:lnTo>
                              <a:lnTo>
                                <a:pt x="2118220" y="3679304"/>
                              </a:lnTo>
                              <a:lnTo>
                                <a:pt x="2121700" y="3672967"/>
                              </a:lnTo>
                              <a:lnTo>
                                <a:pt x="2139683" y="3640201"/>
                              </a:lnTo>
                              <a:lnTo>
                                <a:pt x="2150389" y="3600069"/>
                              </a:lnTo>
                              <a:lnTo>
                                <a:pt x="2150237" y="3558921"/>
                              </a:lnTo>
                              <a:lnTo>
                                <a:pt x="2140077" y="3517239"/>
                              </a:lnTo>
                              <a:lnTo>
                                <a:pt x="2125307" y="3484930"/>
                              </a:lnTo>
                              <a:lnTo>
                                <a:pt x="2120976" y="3475444"/>
                              </a:lnTo>
                              <a:lnTo>
                                <a:pt x="2092845" y="3433572"/>
                              </a:lnTo>
                              <a:lnTo>
                                <a:pt x="2055622" y="3391662"/>
                              </a:lnTo>
                              <a:lnTo>
                                <a:pt x="2015096" y="3355416"/>
                              </a:lnTo>
                              <a:lnTo>
                                <a:pt x="1975065" y="3328060"/>
                              </a:lnTo>
                              <a:lnTo>
                                <a:pt x="1969516" y="3325444"/>
                              </a:lnTo>
                              <a:lnTo>
                                <a:pt x="1969516" y="3575050"/>
                              </a:lnTo>
                              <a:lnTo>
                                <a:pt x="1968728" y="3591293"/>
                              </a:lnTo>
                              <a:lnTo>
                                <a:pt x="1962873" y="3607993"/>
                              </a:lnTo>
                              <a:lnTo>
                                <a:pt x="1952117" y="3625151"/>
                              </a:lnTo>
                              <a:lnTo>
                                <a:pt x="1936623" y="3642741"/>
                              </a:lnTo>
                              <a:lnTo>
                                <a:pt x="1906397" y="3672967"/>
                              </a:lnTo>
                              <a:lnTo>
                                <a:pt x="1782953" y="3549523"/>
                              </a:lnTo>
                              <a:lnTo>
                                <a:pt x="1818132" y="3514344"/>
                              </a:lnTo>
                              <a:lnTo>
                                <a:pt x="1835251" y="3499459"/>
                              </a:lnTo>
                              <a:lnTo>
                                <a:pt x="1851812" y="3489668"/>
                              </a:lnTo>
                              <a:lnTo>
                                <a:pt x="1867852" y="3484930"/>
                              </a:lnTo>
                              <a:lnTo>
                                <a:pt x="1883410" y="3485261"/>
                              </a:lnTo>
                              <a:lnTo>
                                <a:pt x="1926856" y="3505149"/>
                              </a:lnTo>
                              <a:lnTo>
                                <a:pt x="1960791" y="3544824"/>
                              </a:lnTo>
                              <a:lnTo>
                                <a:pt x="1969516" y="3575050"/>
                              </a:lnTo>
                              <a:lnTo>
                                <a:pt x="1969516" y="3325444"/>
                              </a:lnTo>
                              <a:lnTo>
                                <a:pt x="1935568" y="3309391"/>
                              </a:lnTo>
                              <a:lnTo>
                                <a:pt x="1896618" y="3299206"/>
                              </a:lnTo>
                              <a:lnTo>
                                <a:pt x="1858467" y="3298609"/>
                              </a:lnTo>
                              <a:lnTo>
                                <a:pt x="1821599" y="3307956"/>
                              </a:lnTo>
                              <a:lnTo>
                                <a:pt x="1786039" y="3327095"/>
                              </a:lnTo>
                              <a:lnTo>
                                <a:pt x="1751838" y="3355848"/>
                              </a:lnTo>
                              <a:lnTo>
                                <a:pt x="1546352" y="3561207"/>
                              </a:lnTo>
                              <a:lnTo>
                                <a:pt x="2099564" y="4114419"/>
                              </a:lnTo>
                              <a:lnTo>
                                <a:pt x="2223643" y="3990340"/>
                              </a:lnTo>
                              <a:close/>
                            </a:path>
                            <a:path w="5505450" h="5661025">
                              <a:moveTo>
                                <a:pt x="2725166" y="3488817"/>
                              </a:moveTo>
                              <a:lnTo>
                                <a:pt x="2308479" y="3072257"/>
                              </a:lnTo>
                              <a:lnTo>
                                <a:pt x="2434590" y="2946146"/>
                              </a:lnTo>
                              <a:lnTo>
                                <a:pt x="2298065" y="2809621"/>
                              </a:lnTo>
                              <a:lnTo>
                                <a:pt x="1922399" y="3185287"/>
                              </a:lnTo>
                              <a:lnTo>
                                <a:pt x="2058924" y="3321812"/>
                              </a:lnTo>
                              <a:lnTo>
                                <a:pt x="2184908" y="3195828"/>
                              </a:lnTo>
                              <a:lnTo>
                                <a:pt x="2601595" y="3612388"/>
                              </a:lnTo>
                              <a:lnTo>
                                <a:pt x="2725166" y="3488817"/>
                              </a:lnTo>
                              <a:close/>
                            </a:path>
                            <a:path w="5505450" h="5661025">
                              <a:moveTo>
                                <a:pt x="3128645" y="3085338"/>
                              </a:moveTo>
                              <a:lnTo>
                                <a:pt x="2712085" y="2668651"/>
                              </a:lnTo>
                              <a:lnTo>
                                <a:pt x="2838069" y="2542667"/>
                              </a:lnTo>
                              <a:lnTo>
                                <a:pt x="2701544" y="2406142"/>
                              </a:lnTo>
                              <a:lnTo>
                                <a:pt x="2325878" y="2781808"/>
                              </a:lnTo>
                              <a:lnTo>
                                <a:pt x="2462530" y="2918333"/>
                              </a:lnTo>
                              <a:lnTo>
                                <a:pt x="2588514" y="2792349"/>
                              </a:lnTo>
                              <a:lnTo>
                                <a:pt x="3005074" y="3208909"/>
                              </a:lnTo>
                              <a:lnTo>
                                <a:pt x="3128645" y="3085338"/>
                              </a:lnTo>
                              <a:close/>
                            </a:path>
                            <a:path w="5505450" h="5661025">
                              <a:moveTo>
                                <a:pt x="3594430" y="2530856"/>
                              </a:moveTo>
                              <a:lnTo>
                                <a:pt x="3590506" y="2490063"/>
                              </a:lnTo>
                              <a:lnTo>
                                <a:pt x="3580536" y="2448458"/>
                              </a:lnTo>
                              <a:lnTo>
                                <a:pt x="3564255" y="2406015"/>
                              </a:lnTo>
                              <a:lnTo>
                                <a:pt x="3546360" y="2371560"/>
                              </a:lnTo>
                              <a:lnTo>
                                <a:pt x="3523919" y="2336038"/>
                              </a:lnTo>
                              <a:lnTo>
                                <a:pt x="3496805" y="2299449"/>
                              </a:lnTo>
                              <a:lnTo>
                                <a:pt x="3465157" y="2262073"/>
                              </a:lnTo>
                              <a:lnTo>
                                <a:pt x="3453765" y="2250097"/>
                              </a:lnTo>
                              <a:lnTo>
                                <a:pt x="3428746" y="2223770"/>
                              </a:lnTo>
                              <a:lnTo>
                                <a:pt x="3413569" y="2209635"/>
                              </a:lnTo>
                              <a:lnTo>
                                <a:pt x="3413569" y="2523134"/>
                              </a:lnTo>
                              <a:lnTo>
                                <a:pt x="3410432" y="2548661"/>
                              </a:lnTo>
                              <a:lnTo>
                                <a:pt x="3383915" y="2593086"/>
                              </a:lnTo>
                              <a:lnTo>
                                <a:pt x="3340176" y="2618714"/>
                              </a:lnTo>
                              <a:lnTo>
                                <a:pt x="3314522" y="2621483"/>
                              </a:lnTo>
                              <a:lnTo>
                                <a:pt x="3286252" y="2617470"/>
                              </a:lnTo>
                              <a:lnTo>
                                <a:pt x="3220936" y="2585936"/>
                              </a:lnTo>
                              <a:lnTo>
                                <a:pt x="3183623" y="2557272"/>
                              </a:lnTo>
                              <a:lnTo>
                                <a:pt x="3143250" y="2519807"/>
                              </a:lnTo>
                              <a:lnTo>
                                <a:pt x="3105505" y="2479154"/>
                              </a:lnTo>
                              <a:lnTo>
                                <a:pt x="3076600" y="2441600"/>
                              </a:lnTo>
                              <a:lnTo>
                                <a:pt x="3056407" y="2407208"/>
                              </a:lnTo>
                              <a:lnTo>
                                <a:pt x="3040786" y="2347785"/>
                              </a:lnTo>
                              <a:lnTo>
                                <a:pt x="3043453" y="2322245"/>
                              </a:lnTo>
                              <a:lnTo>
                                <a:pt x="3068193" y="2279396"/>
                              </a:lnTo>
                              <a:lnTo>
                                <a:pt x="3112173" y="2253386"/>
                              </a:lnTo>
                              <a:lnTo>
                                <a:pt x="3137890" y="2250097"/>
                              </a:lnTo>
                              <a:lnTo>
                                <a:pt x="3166021" y="2253386"/>
                              </a:lnTo>
                              <a:lnTo>
                                <a:pt x="3229521" y="2283256"/>
                              </a:lnTo>
                              <a:lnTo>
                                <a:pt x="3265005" y="2310104"/>
                              </a:lnTo>
                              <a:lnTo>
                                <a:pt x="3302889" y="2345055"/>
                              </a:lnTo>
                              <a:lnTo>
                                <a:pt x="3344329" y="2389289"/>
                              </a:lnTo>
                              <a:lnTo>
                                <a:pt x="3375926" y="2429167"/>
                              </a:lnTo>
                              <a:lnTo>
                                <a:pt x="3397732" y="2464612"/>
                              </a:lnTo>
                              <a:lnTo>
                                <a:pt x="3413569" y="2523134"/>
                              </a:lnTo>
                              <a:lnTo>
                                <a:pt x="3413569" y="2209635"/>
                              </a:lnTo>
                              <a:lnTo>
                                <a:pt x="3384359" y="2182406"/>
                              </a:lnTo>
                              <a:lnTo>
                                <a:pt x="3340239" y="2147405"/>
                              </a:lnTo>
                              <a:lnTo>
                                <a:pt x="3296424" y="2118715"/>
                              </a:lnTo>
                              <a:lnTo>
                                <a:pt x="3252901" y="2096274"/>
                              </a:lnTo>
                              <a:lnTo>
                                <a:pt x="3209709" y="2080006"/>
                              </a:lnTo>
                              <a:lnTo>
                                <a:pt x="3166872" y="2069846"/>
                              </a:lnTo>
                              <a:lnTo>
                                <a:pt x="3116834" y="2066315"/>
                              </a:lnTo>
                              <a:lnTo>
                                <a:pt x="3069018" y="2072665"/>
                              </a:lnTo>
                              <a:lnTo>
                                <a:pt x="3023438" y="2088769"/>
                              </a:lnTo>
                              <a:lnTo>
                                <a:pt x="2980093" y="2114512"/>
                              </a:lnTo>
                              <a:lnTo>
                                <a:pt x="2939034" y="2149729"/>
                              </a:lnTo>
                              <a:lnTo>
                                <a:pt x="2904744" y="2190026"/>
                              </a:lnTo>
                              <a:lnTo>
                                <a:pt x="2879839" y="2232964"/>
                              </a:lnTo>
                              <a:lnTo>
                                <a:pt x="2864434" y="2278507"/>
                              </a:lnTo>
                              <a:lnTo>
                                <a:pt x="2858643" y="2326602"/>
                              </a:lnTo>
                              <a:lnTo>
                                <a:pt x="2862580" y="2377186"/>
                              </a:lnTo>
                              <a:lnTo>
                                <a:pt x="2873006" y="2420582"/>
                              </a:lnTo>
                              <a:lnTo>
                                <a:pt x="2889618" y="2464346"/>
                              </a:lnTo>
                              <a:lnTo>
                                <a:pt x="2912453" y="2508478"/>
                              </a:lnTo>
                              <a:lnTo>
                                <a:pt x="2941574" y="2552928"/>
                              </a:lnTo>
                              <a:lnTo>
                                <a:pt x="2977045" y="2597645"/>
                              </a:lnTo>
                              <a:lnTo>
                                <a:pt x="3018917" y="2642616"/>
                              </a:lnTo>
                              <a:lnTo>
                                <a:pt x="3057474" y="2678912"/>
                              </a:lnTo>
                              <a:lnTo>
                                <a:pt x="3095714" y="2710408"/>
                              </a:lnTo>
                              <a:lnTo>
                                <a:pt x="3133560" y="2737167"/>
                              </a:lnTo>
                              <a:lnTo>
                                <a:pt x="3170974" y="2759214"/>
                              </a:lnTo>
                              <a:lnTo>
                                <a:pt x="3207893" y="2776601"/>
                              </a:lnTo>
                              <a:lnTo>
                                <a:pt x="3252711" y="2792006"/>
                              </a:lnTo>
                              <a:lnTo>
                                <a:pt x="3295358" y="2800693"/>
                              </a:lnTo>
                              <a:lnTo>
                                <a:pt x="3335871" y="2802915"/>
                              </a:lnTo>
                              <a:lnTo>
                                <a:pt x="3374263" y="2798953"/>
                              </a:lnTo>
                              <a:lnTo>
                                <a:pt x="3410978" y="2788602"/>
                              </a:lnTo>
                              <a:lnTo>
                                <a:pt x="3446843" y="2771368"/>
                              </a:lnTo>
                              <a:lnTo>
                                <a:pt x="3481844" y="2747416"/>
                              </a:lnTo>
                              <a:lnTo>
                                <a:pt x="3515995" y="2716911"/>
                              </a:lnTo>
                              <a:lnTo>
                                <a:pt x="3545852" y="2682722"/>
                              </a:lnTo>
                              <a:lnTo>
                                <a:pt x="3568662" y="2646984"/>
                              </a:lnTo>
                              <a:lnTo>
                                <a:pt x="3579342" y="2621483"/>
                              </a:lnTo>
                              <a:lnTo>
                                <a:pt x="3584283" y="2609710"/>
                              </a:lnTo>
                              <a:lnTo>
                                <a:pt x="3592576" y="2570861"/>
                              </a:lnTo>
                              <a:lnTo>
                                <a:pt x="3594430" y="2530856"/>
                              </a:lnTo>
                              <a:close/>
                            </a:path>
                            <a:path w="5505450" h="5661025">
                              <a:moveTo>
                                <a:pt x="4237799" y="1898713"/>
                              </a:moveTo>
                              <a:lnTo>
                                <a:pt x="4226814" y="1835531"/>
                              </a:lnTo>
                              <a:lnTo>
                                <a:pt x="4199420" y="1767636"/>
                              </a:lnTo>
                              <a:lnTo>
                                <a:pt x="4179786" y="1732191"/>
                              </a:lnTo>
                              <a:lnTo>
                                <a:pt x="4155948" y="1695831"/>
                              </a:lnTo>
                              <a:lnTo>
                                <a:pt x="4117517" y="1711452"/>
                              </a:lnTo>
                              <a:lnTo>
                                <a:pt x="4002278" y="1758823"/>
                              </a:lnTo>
                              <a:lnTo>
                                <a:pt x="4022331" y="1788236"/>
                              </a:lnTo>
                              <a:lnTo>
                                <a:pt x="4037863" y="1815719"/>
                              </a:lnTo>
                              <a:lnTo>
                                <a:pt x="4049064" y="1841309"/>
                              </a:lnTo>
                              <a:lnTo>
                                <a:pt x="4056126" y="1864995"/>
                              </a:lnTo>
                              <a:lnTo>
                                <a:pt x="4058107" y="1887347"/>
                              </a:lnTo>
                              <a:lnTo>
                                <a:pt x="4054373" y="1908327"/>
                              </a:lnTo>
                              <a:lnTo>
                                <a:pt x="4029964" y="1946402"/>
                              </a:lnTo>
                              <a:lnTo>
                                <a:pt x="3988892" y="1970443"/>
                              </a:lnTo>
                              <a:lnTo>
                                <a:pt x="3965079" y="1973021"/>
                              </a:lnTo>
                              <a:lnTo>
                                <a:pt x="3939159" y="1969135"/>
                              </a:lnTo>
                              <a:lnTo>
                                <a:pt x="3875684" y="1935657"/>
                              </a:lnTo>
                              <a:lnTo>
                                <a:pt x="3836708" y="1904365"/>
                              </a:lnTo>
                              <a:lnTo>
                                <a:pt x="3792982" y="1863217"/>
                              </a:lnTo>
                              <a:lnTo>
                                <a:pt x="3759441" y="1827504"/>
                              </a:lnTo>
                              <a:lnTo>
                                <a:pt x="3732936" y="1794510"/>
                              </a:lnTo>
                              <a:lnTo>
                                <a:pt x="3700907" y="1737233"/>
                              </a:lnTo>
                              <a:lnTo>
                                <a:pt x="3692626" y="1704390"/>
                              </a:lnTo>
                              <a:lnTo>
                                <a:pt x="3692868" y="1674964"/>
                              </a:lnTo>
                              <a:lnTo>
                                <a:pt x="3718560" y="1626108"/>
                              </a:lnTo>
                              <a:lnTo>
                                <a:pt x="3762629" y="1603121"/>
                              </a:lnTo>
                              <a:lnTo>
                                <a:pt x="3775773" y="1601851"/>
                              </a:lnTo>
                              <a:lnTo>
                                <a:pt x="3789375" y="1602105"/>
                              </a:lnTo>
                              <a:lnTo>
                                <a:pt x="3827894" y="1611642"/>
                              </a:lnTo>
                              <a:lnTo>
                                <a:pt x="3867150" y="1632966"/>
                              </a:lnTo>
                              <a:lnTo>
                                <a:pt x="3942588" y="1490218"/>
                              </a:lnTo>
                              <a:lnTo>
                                <a:pt x="3889870" y="1461084"/>
                              </a:lnTo>
                              <a:lnTo>
                                <a:pt x="3839959" y="1440662"/>
                              </a:lnTo>
                              <a:lnTo>
                                <a:pt x="3792918" y="1428572"/>
                              </a:lnTo>
                              <a:lnTo>
                                <a:pt x="3748786" y="1424432"/>
                              </a:lnTo>
                              <a:lnTo>
                                <a:pt x="3706520" y="1429385"/>
                              </a:lnTo>
                              <a:lnTo>
                                <a:pt x="3665626" y="1443939"/>
                              </a:lnTo>
                              <a:lnTo>
                                <a:pt x="3626015" y="1467904"/>
                              </a:lnTo>
                              <a:lnTo>
                                <a:pt x="3587623" y="1501140"/>
                              </a:lnTo>
                              <a:lnTo>
                                <a:pt x="3553612" y="1540979"/>
                              </a:lnTo>
                              <a:lnTo>
                                <a:pt x="3528949" y="1583207"/>
                              </a:lnTo>
                              <a:lnTo>
                                <a:pt x="3513709" y="1627797"/>
                              </a:lnTo>
                              <a:lnTo>
                                <a:pt x="3508006" y="1674749"/>
                              </a:lnTo>
                              <a:lnTo>
                                <a:pt x="3511931" y="1724025"/>
                              </a:lnTo>
                              <a:lnTo>
                                <a:pt x="3522535" y="1766570"/>
                              </a:lnTo>
                              <a:lnTo>
                                <a:pt x="3539325" y="1809699"/>
                              </a:lnTo>
                              <a:lnTo>
                                <a:pt x="3562375" y="1853438"/>
                              </a:lnTo>
                              <a:lnTo>
                                <a:pt x="3591801" y="1897773"/>
                              </a:lnTo>
                              <a:lnTo>
                                <a:pt x="3627704" y="1942693"/>
                              </a:lnTo>
                              <a:lnTo>
                                <a:pt x="3670173" y="1988185"/>
                              </a:lnTo>
                              <a:lnTo>
                                <a:pt x="3711130" y="2026716"/>
                              </a:lnTo>
                              <a:lnTo>
                                <a:pt x="3751542" y="2059787"/>
                              </a:lnTo>
                              <a:lnTo>
                                <a:pt x="3791394" y="2087511"/>
                              </a:lnTo>
                              <a:lnTo>
                                <a:pt x="3830663" y="2110003"/>
                              </a:lnTo>
                              <a:lnTo>
                                <a:pt x="3869309" y="2127377"/>
                              </a:lnTo>
                              <a:lnTo>
                                <a:pt x="3915486" y="2142363"/>
                              </a:lnTo>
                              <a:lnTo>
                                <a:pt x="3958183" y="2150580"/>
                              </a:lnTo>
                              <a:lnTo>
                                <a:pt x="3997337" y="2152332"/>
                              </a:lnTo>
                              <a:lnTo>
                                <a:pt x="4032885" y="2147951"/>
                              </a:lnTo>
                              <a:lnTo>
                                <a:pt x="4099725" y="2120328"/>
                              </a:lnTo>
                              <a:lnTo>
                                <a:pt x="4132694" y="2097024"/>
                              </a:lnTo>
                              <a:lnTo>
                                <a:pt x="4165346" y="2067560"/>
                              </a:lnTo>
                              <a:lnTo>
                                <a:pt x="4209059" y="2013115"/>
                              </a:lnTo>
                              <a:lnTo>
                                <a:pt x="4232402" y="1957324"/>
                              </a:lnTo>
                              <a:lnTo>
                                <a:pt x="4237025" y="1928583"/>
                              </a:lnTo>
                              <a:lnTo>
                                <a:pt x="4237799" y="1898713"/>
                              </a:lnTo>
                              <a:close/>
                            </a:path>
                            <a:path w="5505450" h="5661025">
                              <a:moveTo>
                                <a:pt x="4680788" y="1444447"/>
                              </a:moveTo>
                              <a:lnTo>
                                <a:pt x="4676864" y="1403692"/>
                              </a:lnTo>
                              <a:lnTo>
                                <a:pt x="4666894" y="1362100"/>
                              </a:lnTo>
                              <a:lnTo>
                                <a:pt x="4650613" y="1319657"/>
                              </a:lnTo>
                              <a:lnTo>
                                <a:pt x="4632769" y="1285138"/>
                              </a:lnTo>
                              <a:lnTo>
                                <a:pt x="4610341" y="1249578"/>
                              </a:lnTo>
                              <a:lnTo>
                                <a:pt x="4583290" y="1213040"/>
                              </a:lnTo>
                              <a:lnTo>
                                <a:pt x="4551591" y="1175588"/>
                              </a:lnTo>
                              <a:lnTo>
                                <a:pt x="4515231" y="1137285"/>
                              </a:lnTo>
                              <a:lnTo>
                                <a:pt x="4499927" y="1123035"/>
                              </a:lnTo>
                              <a:lnTo>
                                <a:pt x="4499927" y="1436776"/>
                              </a:lnTo>
                              <a:lnTo>
                                <a:pt x="4496816" y="1462278"/>
                              </a:lnTo>
                              <a:lnTo>
                                <a:pt x="4470387" y="1506601"/>
                              </a:lnTo>
                              <a:lnTo>
                                <a:pt x="4426597" y="1532293"/>
                              </a:lnTo>
                              <a:lnTo>
                                <a:pt x="4400905" y="1535112"/>
                              </a:lnTo>
                              <a:lnTo>
                                <a:pt x="4372610" y="1531112"/>
                              </a:lnTo>
                              <a:lnTo>
                                <a:pt x="4307294" y="1499577"/>
                              </a:lnTo>
                              <a:lnTo>
                                <a:pt x="4269981" y="1470914"/>
                              </a:lnTo>
                              <a:lnTo>
                                <a:pt x="4229608" y="1433449"/>
                              </a:lnTo>
                              <a:lnTo>
                                <a:pt x="4191863" y="1392796"/>
                              </a:lnTo>
                              <a:lnTo>
                                <a:pt x="4162958" y="1355242"/>
                              </a:lnTo>
                              <a:lnTo>
                                <a:pt x="4142765" y="1320850"/>
                              </a:lnTo>
                              <a:lnTo>
                                <a:pt x="4127169" y="1261414"/>
                              </a:lnTo>
                              <a:lnTo>
                                <a:pt x="4129862" y="1235837"/>
                              </a:lnTo>
                              <a:lnTo>
                                <a:pt x="4154551" y="1193038"/>
                              </a:lnTo>
                              <a:lnTo>
                                <a:pt x="4198556" y="1166964"/>
                              </a:lnTo>
                              <a:lnTo>
                                <a:pt x="4224299" y="1163624"/>
                              </a:lnTo>
                              <a:lnTo>
                                <a:pt x="4252468" y="1166876"/>
                              </a:lnTo>
                              <a:lnTo>
                                <a:pt x="4316006" y="1196771"/>
                              </a:lnTo>
                              <a:lnTo>
                                <a:pt x="4351490" y="1223619"/>
                              </a:lnTo>
                              <a:lnTo>
                                <a:pt x="4389374" y="1258570"/>
                              </a:lnTo>
                              <a:lnTo>
                                <a:pt x="4430788" y="1302829"/>
                              </a:lnTo>
                              <a:lnTo>
                                <a:pt x="4462348" y="1342745"/>
                              </a:lnTo>
                              <a:lnTo>
                                <a:pt x="4484116" y="1378229"/>
                              </a:lnTo>
                              <a:lnTo>
                                <a:pt x="4499927" y="1436776"/>
                              </a:lnTo>
                              <a:lnTo>
                                <a:pt x="4499927" y="1123035"/>
                              </a:lnTo>
                              <a:lnTo>
                                <a:pt x="4470844" y="1095921"/>
                              </a:lnTo>
                              <a:lnTo>
                                <a:pt x="4426724" y="1060919"/>
                              </a:lnTo>
                              <a:lnTo>
                                <a:pt x="4382909" y="1032230"/>
                              </a:lnTo>
                              <a:lnTo>
                                <a:pt x="4339387" y="1009789"/>
                              </a:lnTo>
                              <a:lnTo>
                                <a:pt x="4296194" y="993521"/>
                              </a:lnTo>
                              <a:lnTo>
                                <a:pt x="4253357" y="983361"/>
                              </a:lnTo>
                              <a:lnTo>
                                <a:pt x="4203268" y="979881"/>
                              </a:lnTo>
                              <a:lnTo>
                                <a:pt x="4155440" y="986269"/>
                              </a:lnTo>
                              <a:lnTo>
                                <a:pt x="4109859" y="1002411"/>
                              </a:lnTo>
                              <a:lnTo>
                                <a:pt x="4066502" y="1028153"/>
                              </a:lnTo>
                              <a:lnTo>
                                <a:pt x="4025392" y="1063371"/>
                              </a:lnTo>
                              <a:lnTo>
                                <a:pt x="3991102" y="1103668"/>
                              </a:lnTo>
                              <a:lnTo>
                                <a:pt x="3966197" y="1146606"/>
                              </a:lnTo>
                              <a:lnTo>
                                <a:pt x="3950792" y="1192149"/>
                              </a:lnTo>
                              <a:lnTo>
                                <a:pt x="3945001" y="1240243"/>
                              </a:lnTo>
                              <a:lnTo>
                                <a:pt x="3948938" y="1290828"/>
                              </a:lnTo>
                              <a:lnTo>
                                <a:pt x="3959364" y="1334223"/>
                              </a:lnTo>
                              <a:lnTo>
                                <a:pt x="3975976" y="1377988"/>
                              </a:lnTo>
                              <a:lnTo>
                                <a:pt x="3998811" y="1422120"/>
                              </a:lnTo>
                              <a:lnTo>
                                <a:pt x="4027932" y="1466570"/>
                              </a:lnTo>
                              <a:lnTo>
                                <a:pt x="4063403" y="1511287"/>
                              </a:lnTo>
                              <a:lnTo>
                                <a:pt x="4105275" y="1556258"/>
                              </a:lnTo>
                              <a:lnTo>
                                <a:pt x="4143832" y="1592554"/>
                              </a:lnTo>
                              <a:lnTo>
                                <a:pt x="4182072" y="1624050"/>
                              </a:lnTo>
                              <a:lnTo>
                                <a:pt x="4219943" y="1650809"/>
                              </a:lnTo>
                              <a:lnTo>
                                <a:pt x="4257395" y="1672856"/>
                              </a:lnTo>
                              <a:lnTo>
                                <a:pt x="4294378" y="1690243"/>
                              </a:lnTo>
                              <a:lnTo>
                                <a:pt x="4339133" y="1705635"/>
                              </a:lnTo>
                              <a:lnTo>
                                <a:pt x="4381792" y="1714271"/>
                              </a:lnTo>
                              <a:lnTo>
                                <a:pt x="4422330" y="1716443"/>
                              </a:lnTo>
                              <a:lnTo>
                                <a:pt x="4460735" y="1712468"/>
                              </a:lnTo>
                              <a:lnTo>
                                <a:pt x="4533227" y="1684972"/>
                              </a:lnTo>
                              <a:lnTo>
                                <a:pt x="4568253" y="1661007"/>
                              </a:lnTo>
                              <a:lnTo>
                                <a:pt x="4602480" y="1630426"/>
                              </a:lnTo>
                              <a:lnTo>
                                <a:pt x="4632261" y="1596301"/>
                              </a:lnTo>
                              <a:lnTo>
                                <a:pt x="4655032" y="1560601"/>
                              </a:lnTo>
                              <a:lnTo>
                                <a:pt x="4670641" y="1523288"/>
                              </a:lnTo>
                              <a:lnTo>
                                <a:pt x="4678934" y="1484376"/>
                              </a:lnTo>
                              <a:lnTo>
                                <a:pt x="4680788" y="1444447"/>
                              </a:lnTo>
                              <a:close/>
                            </a:path>
                            <a:path w="5505450" h="5661025">
                              <a:moveTo>
                                <a:pt x="4986147" y="1227963"/>
                              </a:moveTo>
                              <a:lnTo>
                                <a:pt x="4780788" y="1022604"/>
                              </a:lnTo>
                              <a:lnTo>
                                <a:pt x="4848479" y="954913"/>
                              </a:lnTo>
                              <a:lnTo>
                                <a:pt x="4880622" y="916901"/>
                              </a:lnTo>
                              <a:lnTo>
                                <a:pt x="4884090" y="910590"/>
                              </a:lnTo>
                              <a:lnTo>
                                <a:pt x="4902111" y="877760"/>
                              </a:lnTo>
                              <a:lnTo>
                                <a:pt x="4912817" y="837577"/>
                              </a:lnTo>
                              <a:lnTo>
                                <a:pt x="4912614" y="796417"/>
                              </a:lnTo>
                              <a:lnTo>
                                <a:pt x="4902517" y="754748"/>
                              </a:lnTo>
                              <a:lnTo>
                                <a:pt x="4883442" y="713003"/>
                              </a:lnTo>
                              <a:lnTo>
                                <a:pt x="4855299" y="671169"/>
                              </a:lnTo>
                              <a:lnTo>
                                <a:pt x="4817999" y="629285"/>
                              </a:lnTo>
                              <a:lnTo>
                                <a:pt x="4777473" y="593026"/>
                              </a:lnTo>
                              <a:lnTo>
                                <a:pt x="4737443" y="565632"/>
                              </a:lnTo>
                              <a:lnTo>
                                <a:pt x="4731893" y="563016"/>
                              </a:lnTo>
                              <a:lnTo>
                                <a:pt x="4731893" y="812673"/>
                              </a:lnTo>
                              <a:lnTo>
                                <a:pt x="4731131" y="828903"/>
                              </a:lnTo>
                              <a:lnTo>
                                <a:pt x="4725314" y="845553"/>
                              </a:lnTo>
                              <a:lnTo>
                                <a:pt x="4714595" y="862672"/>
                              </a:lnTo>
                              <a:lnTo>
                                <a:pt x="4699127" y="880237"/>
                              </a:lnTo>
                              <a:lnTo>
                                <a:pt x="4668774" y="910590"/>
                              </a:lnTo>
                              <a:lnTo>
                                <a:pt x="4545330" y="787146"/>
                              </a:lnTo>
                              <a:lnTo>
                                <a:pt x="4580509" y="751967"/>
                              </a:lnTo>
                              <a:lnTo>
                                <a:pt x="4597628" y="737082"/>
                              </a:lnTo>
                              <a:lnTo>
                                <a:pt x="4614189" y="727290"/>
                              </a:lnTo>
                              <a:lnTo>
                                <a:pt x="4630229" y="722553"/>
                              </a:lnTo>
                              <a:lnTo>
                                <a:pt x="4645787" y="722884"/>
                              </a:lnTo>
                              <a:lnTo>
                                <a:pt x="4689233" y="742772"/>
                              </a:lnTo>
                              <a:lnTo>
                                <a:pt x="4723168" y="782447"/>
                              </a:lnTo>
                              <a:lnTo>
                                <a:pt x="4731893" y="812673"/>
                              </a:lnTo>
                              <a:lnTo>
                                <a:pt x="4731893" y="563016"/>
                              </a:lnTo>
                              <a:lnTo>
                                <a:pt x="4697946" y="546963"/>
                              </a:lnTo>
                              <a:lnTo>
                                <a:pt x="4658995" y="536829"/>
                              </a:lnTo>
                              <a:lnTo>
                                <a:pt x="4620869" y="536219"/>
                              </a:lnTo>
                              <a:lnTo>
                                <a:pt x="4584039" y="545515"/>
                              </a:lnTo>
                              <a:lnTo>
                                <a:pt x="4548530" y="564603"/>
                              </a:lnTo>
                              <a:lnTo>
                                <a:pt x="4514342" y="593344"/>
                              </a:lnTo>
                              <a:lnTo>
                                <a:pt x="4308729" y="798830"/>
                              </a:lnTo>
                              <a:lnTo>
                                <a:pt x="4861941" y="1352042"/>
                              </a:lnTo>
                              <a:lnTo>
                                <a:pt x="4986147" y="1227963"/>
                              </a:lnTo>
                              <a:close/>
                            </a:path>
                            <a:path w="5505450" h="5661025">
                              <a:moveTo>
                                <a:pt x="5505323" y="708660"/>
                              </a:moveTo>
                              <a:lnTo>
                                <a:pt x="5273548" y="477012"/>
                              </a:lnTo>
                              <a:lnTo>
                                <a:pt x="5240020" y="381711"/>
                              </a:lnTo>
                              <a:lnTo>
                                <a:pt x="5141201" y="95250"/>
                              </a:lnTo>
                              <a:lnTo>
                                <a:pt x="5107686" y="0"/>
                              </a:lnTo>
                              <a:lnTo>
                                <a:pt x="4971034" y="136652"/>
                              </a:lnTo>
                              <a:lnTo>
                                <a:pt x="4988852" y="181178"/>
                              </a:lnTo>
                              <a:lnTo>
                                <a:pt x="5041531" y="315112"/>
                              </a:lnTo>
                              <a:lnTo>
                                <a:pt x="5077079" y="404241"/>
                              </a:lnTo>
                              <a:lnTo>
                                <a:pt x="5032565" y="386359"/>
                              </a:lnTo>
                              <a:lnTo>
                                <a:pt x="4898745" y="333527"/>
                              </a:lnTo>
                              <a:lnTo>
                                <a:pt x="4809744" y="297942"/>
                              </a:lnTo>
                              <a:lnTo>
                                <a:pt x="4672457" y="435229"/>
                              </a:lnTo>
                              <a:lnTo>
                                <a:pt x="4767770" y="468693"/>
                              </a:lnTo>
                              <a:lnTo>
                                <a:pt x="5054397" y="567385"/>
                              </a:lnTo>
                              <a:lnTo>
                                <a:pt x="5149723" y="600837"/>
                              </a:lnTo>
                              <a:lnTo>
                                <a:pt x="5381498" y="832485"/>
                              </a:lnTo>
                              <a:lnTo>
                                <a:pt x="5505323"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64.810013pt;margin-top:83.019974pt;width:433.5pt;height:445.75pt;mso-position-horizontal-relative:page;mso-position-vertical-relative:page;z-index:-25196544" id="docshape235" coordorigin="3296,1660" coordsize="8670,8915" path="m4362,10380l3491,9509,3296,9704,4167,10575,4362,10380xm4954,9704l4953,9665,4948,9622,4939,9578,4925,9534,4906,9490,4883,9447,4855,9405,4825,9364,4791,9324,4754,9285,4235,8765,4041,8959,4572,9491,4605,9527,4629,9562,4646,9597,4656,9631,4658,9664,4651,9695,4637,9723,4616,9749,4590,9771,4561,9785,4530,9791,4497,9789,4463,9779,4428,9763,4393,9738,4357,9706,3826,9175,3631,9369,4151,9888,4185,9920,4224,9953,4268,9985,4316,10018,4348,10036,4383,10052,4420,10065,4458,10076,4497,10084,4533,10088,4567,10088,4600,10085,4631,10078,4663,10066,4695,10050,4726,10029,4757,10006,4785,9983,4811,9960,4835,9937,4871,9897,4902,9856,4925,9815,4942,9773,4950,9740,4954,9704xm5682,8921l5676,8857,5660,8791,5634,8724,5606,8670,5571,8614,5528,8556,5478,8497,5461,8479,5421,8437,5397,8415,5397,8909,5392,8949,5377,8986,5351,9019,5318,9044,5281,9059,5241,9064,5196,9057,5147,9039,5094,9008,5035,8963,4971,8903,4912,8839,4866,8780,4835,8726,4816,8677,4810,8633,4814,8592,4829,8556,4853,8525,4886,8499,4922,8484,4963,8479,5007,8484,5055,8501,5107,8531,5163,8573,5223,8628,5288,8698,5338,8761,5372,8817,5391,8865,5397,8909,5397,8415,5351,8372,5282,8317,5213,8272,5144,8236,5076,8211,5009,8195,4930,8189,4855,8199,4783,8225,4714,8265,4650,8321,4596,8384,4556,8452,4532,8523,4523,8599,4529,8679,4546,8747,4572,8816,4608,8886,4654,8956,4710,9026,4776,9097,4836,9154,4896,9204,4956,9246,5015,9280,5073,9308,5144,9332,5211,9346,5275,9349,5335,9343,5393,9327,5449,9300,5505,9262,5558,9214,5605,9160,5641,9104,5658,9064,5666,9045,5679,8984,5682,8921xm5953,8341l5766,8154,5512,8408,5699,8595,5953,8341xm6464,8279l5593,7407,5398,7602,6269,8474,6464,8279xm6798,7944l6475,7621,6581,7514,6632,7455,6637,7445,6666,7393,6683,7330,6682,7265,6666,7199,6643,7148,6636,7134,6592,7068,6533,7002,6470,6945,6407,6901,6398,6897,6398,7290,6397,7316,6387,7342,6370,7369,6346,7397,6298,7445,6104,7250,6159,7195,6186,7171,6212,7156,6238,7148,6262,7149,6286,7155,6309,7166,6331,7180,6352,7199,6370,7220,6384,7243,6393,7266,6398,7290,6398,6897,6344,6872,6283,6856,6223,6855,6165,6870,6109,6900,6055,6945,5731,7269,6603,8140,6798,7944xm7588,7155l6932,6499,7130,6300,6915,6085,6324,6677,6539,6892,6737,6693,7393,7349,7588,7155xm8223,6519l7567,5863,7766,5665,7551,5450,6959,6041,7174,6256,7373,6058,8029,6714,8223,6519xm8957,5646l8951,5582,8935,5516,8909,5449,8881,5395,8846,5339,8803,5282,8753,5223,8735,5204,8696,5162,8672,5140,8672,5634,8667,5674,8651,5711,8625,5744,8593,5769,8556,5784,8516,5789,8471,5782,8422,5764,8369,5733,8310,5688,8246,5629,8187,5565,8141,5505,8109,5451,8091,5402,8085,5358,8089,5317,8104,5282,8128,5250,8161,5224,8197,5209,8238,5204,8282,5209,8330,5226,8382,5256,8438,5298,8498,5353,8563,5423,8613,5486,8647,5542,8666,5590,8672,5634,8672,5140,8626,5097,8556,5042,8487,4997,8419,4962,8351,4936,8283,4920,8205,4914,8129,4924,8058,4950,7989,4990,7925,5046,7871,5109,7831,5177,7807,5249,7798,5324,7804,5404,7821,5472,7847,5541,7883,5611,7929,5681,7984,5751,8050,5822,8111,5879,8171,5929,8231,5971,8290,6006,8348,6033,8419,6057,8486,6071,8550,6074,8610,6068,8668,6052,8724,6025,8779,5987,8833,5939,8880,5885,8916,5829,8933,5789,8941,5770,8954,5709,8957,5646xm9970,4650l9965,4602,9953,4551,9934,4498,9909,4444,9879,4388,9841,4331,9780,4356,9599,4430,9631,4477,9655,4520,9673,4560,9684,4597,9687,4633,9681,4666,9666,4697,9643,4726,9612,4749,9578,4763,9540,4768,9500,4761,9453,4743,9400,4709,9338,4659,9269,4595,9217,4538,9175,4486,9144,4439,9124,4396,9111,4344,9112,4298,9125,4257,9152,4221,9167,4208,9184,4198,9202,4190,9222,4185,9242,4183,9264,4183,9286,4187,9309,4193,9324,4198,9342,4207,9363,4218,9386,4232,9505,4007,9422,3961,9343,3929,9269,3910,9200,3904,9133,3911,9069,3934,9006,3972,8946,4024,8892,4087,8854,4154,8830,4224,8821,4298,8827,4375,8844,4442,8870,4510,8906,4579,8953,4649,9009,4720,9076,4791,9141,4852,9204,4904,9267,4948,9329,4983,9390,5011,9462,5034,9530,5047,9591,5050,9647,5043,9700,5026,9752,4999,9804,4963,9856,4916,9894,4874,9925,4831,9947,4787,9961,4743,9969,4698,9970,4650xm10668,3935l10661,3871,10646,3805,10620,3739,10592,3684,10557,3628,10514,3571,10464,3512,10446,3493,10407,3451,10383,3429,10383,3923,10378,3963,10362,4000,10336,4033,10304,4058,10267,4073,10227,4078,10182,4072,10133,4053,10079,4022,10021,3977,9957,3918,9898,3854,9852,3795,9820,3740,9802,3691,9796,3647,9800,3607,9814,3571,9839,3539,9871,3514,9908,3498,9949,3493,9993,3498,10041,3515,10093,3545,10149,3587,10209,3642,10274,3712,10324,3775,10358,3831,10377,3880,10383,3923,10383,3429,10337,3386,10267,3331,10198,3286,10130,3251,10062,3225,9994,3209,9916,3204,9840,3214,9768,3239,9700,3280,9635,3335,9581,3398,9542,3466,9518,3538,9509,3614,9515,3693,9531,3762,9558,3830,9594,3900,9639,3970,9695,4040,9761,4111,9822,4168,9882,4218,9942,4260,10001,4295,10059,4322,10129,4346,10197,4360,10261,4363,10321,4357,10379,4341,10435,4314,10490,4276,10544,4228,10591,4174,10627,4118,10644,4078,10652,4059,10665,3998,10668,3935xm11148,3594l10825,3271,10932,3164,10982,3104,10988,3094,11016,3043,11033,2979,11033,2915,11017,2849,10994,2798,10987,2783,10942,2717,10884,2651,10820,2594,10757,2551,10748,2547,10748,2940,10747,2966,10738,2992,10721,3019,10696,3047,10649,3094,10454,2900,10510,2845,10537,2821,10563,2806,10588,2798,10612,2799,10636,2805,10659,2816,10681,2830,10702,2849,10720,2870,10734,2893,10743,2916,10748,2940,10748,2547,10695,2522,10633,2506,10573,2505,10515,2519,10459,2550,10405,2595,10082,2918,10953,3790,11148,3594xm11966,2776l11601,2412,11548,2262,11393,1810,11340,1660,11125,1876,11153,1946,11236,2157,11292,2297,11222,2269,11011,2186,10871,2130,10654,2346,10805,2398,11256,2554,11406,2607,11771,2971,11966,2776xe" filled="true" fillcolor="#c0c0c0" stroked="false">
                <v:path arrowok="t"/>
                <v:fill opacity="32896f" type="solid"/>
                <w10:wrap type="none"/>
              </v:shape>
            </w:pict>
          </mc:Fallback>
        </mc:AlternateContent>
      </w:r>
      <w:r>
        <w:rPr>
          <w:b/>
          <w:sz w:val="25"/>
        </w:rPr>
        <w:t>APPENDIX</w:t>
      </w:r>
      <w:r>
        <w:rPr>
          <w:b/>
          <w:spacing w:val="-15"/>
          <w:sz w:val="25"/>
        </w:rPr>
        <w:t> </w:t>
      </w:r>
      <w:r>
        <w:rPr>
          <w:b/>
          <w:spacing w:val="-10"/>
          <w:sz w:val="25"/>
        </w:rPr>
        <w:t>I</w:t>
      </w:r>
    </w:p>
    <w:p>
      <w:pPr>
        <w:pStyle w:val="BodyText"/>
        <w:ind w:left="0"/>
        <w:rPr>
          <w:b/>
        </w:rPr>
      </w:pPr>
    </w:p>
    <w:p>
      <w:pPr>
        <w:spacing w:before="1"/>
        <w:ind w:left="977" w:right="0" w:firstLine="0"/>
        <w:jc w:val="center"/>
        <w:rPr>
          <w:b/>
          <w:sz w:val="25"/>
        </w:rPr>
      </w:pPr>
      <w:r>
        <w:rPr>
          <w:b/>
          <w:sz w:val="25"/>
        </w:rPr>
        <w:t>LOG</w:t>
      </w:r>
      <w:r>
        <w:rPr>
          <w:b/>
          <w:spacing w:val="-7"/>
          <w:sz w:val="25"/>
        </w:rPr>
        <w:t> </w:t>
      </w:r>
      <w:r>
        <w:rPr>
          <w:b/>
          <w:sz w:val="25"/>
        </w:rPr>
        <w:t>DATA</w:t>
      </w:r>
      <w:r>
        <w:rPr>
          <w:b/>
          <w:spacing w:val="-7"/>
          <w:sz w:val="25"/>
        </w:rPr>
        <w:t> </w:t>
      </w:r>
      <w:r>
        <w:rPr>
          <w:b/>
          <w:sz w:val="25"/>
        </w:rPr>
        <w:t>FOR</w:t>
      </w:r>
      <w:r>
        <w:rPr>
          <w:b/>
          <w:spacing w:val="-6"/>
          <w:sz w:val="25"/>
        </w:rPr>
        <w:t> </w:t>
      </w:r>
      <w:r>
        <w:rPr>
          <w:b/>
          <w:sz w:val="25"/>
        </w:rPr>
        <w:t>THE</w:t>
      </w:r>
      <w:r>
        <w:rPr>
          <w:b/>
          <w:spacing w:val="-8"/>
          <w:sz w:val="25"/>
        </w:rPr>
        <w:t> </w:t>
      </w:r>
      <w:r>
        <w:rPr>
          <w:b/>
          <w:spacing w:val="-2"/>
          <w:sz w:val="25"/>
        </w:rPr>
        <w:t>ANALYSIS</w:t>
      </w:r>
    </w:p>
    <w:p>
      <w:pPr>
        <w:pStyle w:val="BodyText"/>
        <w:spacing w:before="80" w:after="1"/>
        <w:ind w:left="0"/>
        <w:rPr>
          <w:b/>
          <w:sz w:val="20"/>
        </w:rPr>
      </w:pPr>
    </w:p>
    <w:tbl>
      <w:tblPr>
        <w:tblW w:w="0" w:type="auto"/>
        <w:jc w:val="left"/>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3"/>
        <w:gridCol w:w="957"/>
        <w:gridCol w:w="901"/>
        <w:gridCol w:w="990"/>
        <w:gridCol w:w="989"/>
        <w:gridCol w:w="913"/>
        <w:gridCol w:w="1018"/>
        <w:gridCol w:w="1034"/>
        <w:gridCol w:w="976"/>
        <w:gridCol w:w="1069"/>
      </w:tblGrid>
      <w:tr>
        <w:trPr>
          <w:trHeight w:val="212" w:hRule="atLeast"/>
        </w:trPr>
        <w:tc>
          <w:tcPr>
            <w:tcW w:w="583" w:type="dxa"/>
          </w:tcPr>
          <w:p>
            <w:pPr>
              <w:pStyle w:val="TableParagraph"/>
              <w:spacing w:line="240" w:lineRule="auto" w:before="0"/>
              <w:rPr>
                <w:rFonts w:ascii="Times New Roman"/>
                <w:sz w:val="14"/>
              </w:rPr>
            </w:pPr>
          </w:p>
        </w:tc>
        <w:tc>
          <w:tcPr>
            <w:tcW w:w="957" w:type="dxa"/>
          </w:tcPr>
          <w:p>
            <w:pPr>
              <w:pStyle w:val="TableParagraph"/>
              <w:spacing w:line="192" w:lineRule="exact" w:before="0"/>
              <w:ind w:right="73"/>
              <w:jc w:val="right"/>
              <w:rPr>
                <w:sz w:val="18"/>
              </w:rPr>
            </w:pPr>
            <w:r>
              <w:rPr>
                <w:spacing w:val="-4"/>
                <w:sz w:val="18"/>
              </w:rPr>
              <w:t>LTOP</w:t>
            </w:r>
          </w:p>
        </w:tc>
        <w:tc>
          <w:tcPr>
            <w:tcW w:w="901" w:type="dxa"/>
          </w:tcPr>
          <w:p>
            <w:pPr>
              <w:pStyle w:val="TableParagraph"/>
              <w:spacing w:line="192" w:lineRule="exact" w:before="0"/>
              <w:ind w:right="72"/>
              <w:jc w:val="right"/>
              <w:rPr>
                <w:sz w:val="18"/>
              </w:rPr>
            </w:pPr>
            <w:r>
              <w:rPr>
                <w:spacing w:val="-4"/>
                <w:sz w:val="18"/>
              </w:rPr>
              <w:t>LRGDP</w:t>
            </w:r>
          </w:p>
        </w:tc>
        <w:tc>
          <w:tcPr>
            <w:tcW w:w="990" w:type="dxa"/>
          </w:tcPr>
          <w:p>
            <w:pPr>
              <w:pStyle w:val="TableParagraph"/>
              <w:spacing w:line="192" w:lineRule="exact" w:before="0"/>
              <w:ind w:right="161"/>
              <w:jc w:val="right"/>
              <w:rPr>
                <w:sz w:val="18"/>
              </w:rPr>
            </w:pPr>
            <w:r>
              <w:rPr>
                <w:spacing w:val="-4"/>
                <w:sz w:val="18"/>
              </w:rPr>
              <w:t>LREM</w:t>
            </w:r>
          </w:p>
        </w:tc>
        <w:tc>
          <w:tcPr>
            <w:tcW w:w="989" w:type="dxa"/>
          </w:tcPr>
          <w:p>
            <w:pPr>
              <w:pStyle w:val="TableParagraph"/>
              <w:spacing w:line="192" w:lineRule="exact" w:before="0"/>
              <w:ind w:right="70"/>
              <w:jc w:val="right"/>
              <w:rPr>
                <w:sz w:val="18"/>
              </w:rPr>
            </w:pPr>
            <w:r>
              <w:rPr>
                <w:spacing w:val="-4"/>
                <w:sz w:val="18"/>
              </w:rPr>
              <w:t>LODA</w:t>
            </w:r>
          </w:p>
        </w:tc>
        <w:tc>
          <w:tcPr>
            <w:tcW w:w="913" w:type="dxa"/>
          </w:tcPr>
          <w:p>
            <w:pPr>
              <w:pStyle w:val="TableParagraph"/>
              <w:spacing w:line="192" w:lineRule="exact" w:before="0"/>
              <w:ind w:right="84"/>
              <w:jc w:val="right"/>
              <w:rPr>
                <w:sz w:val="18"/>
              </w:rPr>
            </w:pPr>
            <w:r>
              <w:rPr>
                <w:spacing w:val="-4"/>
                <w:sz w:val="18"/>
              </w:rPr>
              <w:t>LINT</w:t>
            </w:r>
          </w:p>
        </w:tc>
        <w:tc>
          <w:tcPr>
            <w:tcW w:w="1018" w:type="dxa"/>
          </w:tcPr>
          <w:p>
            <w:pPr>
              <w:pStyle w:val="TableParagraph"/>
              <w:spacing w:line="192" w:lineRule="exact" w:before="0"/>
              <w:ind w:right="111"/>
              <w:jc w:val="right"/>
              <w:rPr>
                <w:sz w:val="18"/>
              </w:rPr>
            </w:pPr>
            <w:r>
              <w:rPr>
                <w:spacing w:val="-4"/>
                <w:sz w:val="18"/>
              </w:rPr>
              <w:t>LFPI</w:t>
            </w:r>
          </w:p>
        </w:tc>
        <w:tc>
          <w:tcPr>
            <w:tcW w:w="1034" w:type="dxa"/>
          </w:tcPr>
          <w:p>
            <w:pPr>
              <w:pStyle w:val="TableParagraph"/>
              <w:spacing w:line="192" w:lineRule="exact" w:before="0"/>
              <w:ind w:right="158"/>
              <w:jc w:val="right"/>
              <w:rPr>
                <w:sz w:val="18"/>
              </w:rPr>
            </w:pPr>
            <w:r>
              <w:rPr>
                <w:spacing w:val="-4"/>
                <w:sz w:val="18"/>
              </w:rPr>
              <w:t>LFDI</w:t>
            </w:r>
          </w:p>
        </w:tc>
        <w:tc>
          <w:tcPr>
            <w:tcW w:w="976" w:type="dxa"/>
          </w:tcPr>
          <w:p>
            <w:pPr>
              <w:pStyle w:val="TableParagraph"/>
              <w:spacing w:line="192" w:lineRule="exact" w:before="0"/>
              <w:ind w:right="50"/>
              <w:jc w:val="right"/>
              <w:rPr>
                <w:sz w:val="18"/>
              </w:rPr>
            </w:pPr>
            <w:r>
              <w:rPr>
                <w:spacing w:val="-2"/>
                <w:sz w:val="18"/>
              </w:rPr>
              <w:t>LEXCH</w:t>
            </w:r>
          </w:p>
        </w:tc>
        <w:tc>
          <w:tcPr>
            <w:tcW w:w="1069" w:type="dxa"/>
          </w:tcPr>
          <w:p>
            <w:pPr>
              <w:pStyle w:val="TableParagraph"/>
              <w:spacing w:line="192" w:lineRule="exact" w:before="0"/>
              <w:ind w:right="40"/>
              <w:jc w:val="right"/>
              <w:rPr>
                <w:sz w:val="18"/>
              </w:rPr>
            </w:pPr>
            <w:r>
              <w:rPr>
                <w:spacing w:val="-2"/>
                <w:sz w:val="18"/>
              </w:rPr>
              <w:t>LCPS_GDP</w:t>
            </w:r>
          </w:p>
        </w:tc>
      </w:tr>
      <w:tr>
        <w:trPr>
          <w:trHeight w:val="224" w:hRule="atLeast"/>
        </w:trPr>
        <w:tc>
          <w:tcPr>
            <w:tcW w:w="583" w:type="dxa"/>
          </w:tcPr>
          <w:p>
            <w:pPr>
              <w:pStyle w:val="TableParagraph"/>
              <w:spacing w:before="5"/>
              <w:ind w:right="77"/>
              <w:jc w:val="center"/>
              <w:rPr>
                <w:sz w:val="18"/>
              </w:rPr>
            </w:pPr>
            <w:r>
              <w:rPr>
                <w:spacing w:val="-4"/>
                <w:sz w:val="18"/>
              </w:rPr>
              <w:t>1986</w:t>
            </w:r>
          </w:p>
        </w:tc>
        <w:tc>
          <w:tcPr>
            <w:tcW w:w="957" w:type="dxa"/>
          </w:tcPr>
          <w:p>
            <w:pPr>
              <w:pStyle w:val="TableParagraph"/>
              <w:spacing w:before="5"/>
              <w:ind w:right="73"/>
              <w:jc w:val="right"/>
              <w:rPr>
                <w:sz w:val="18"/>
              </w:rPr>
            </w:pPr>
            <w:r>
              <w:rPr>
                <w:spacing w:val="-2"/>
                <w:sz w:val="18"/>
              </w:rPr>
              <w:t>3.975936</w:t>
            </w:r>
          </w:p>
        </w:tc>
        <w:tc>
          <w:tcPr>
            <w:tcW w:w="901" w:type="dxa"/>
          </w:tcPr>
          <w:p>
            <w:pPr>
              <w:pStyle w:val="TableParagraph"/>
              <w:spacing w:before="5"/>
              <w:ind w:right="71"/>
              <w:jc w:val="right"/>
              <w:rPr>
                <w:sz w:val="18"/>
              </w:rPr>
            </w:pPr>
            <w:r>
              <w:rPr>
                <w:spacing w:val="-2"/>
                <w:sz w:val="18"/>
              </w:rPr>
              <w:t>9.631547</w:t>
            </w:r>
          </w:p>
        </w:tc>
        <w:tc>
          <w:tcPr>
            <w:tcW w:w="990" w:type="dxa"/>
          </w:tcPr>
          <w:p>
            <w:pPr>
              <w:pStyle w:val="TableParagraph"/>
              <w:spacing w:before="5"/>
              <w:ind w:right="161"/>
              <w:jc w:val="right"/>
              <w:rPr>
                <w:sz w:val="18"/>
              </w:rPr>
            </w:pPr>
            <w:r>
              <w:rPr>
                <w:spacing w:val="-2"/>
                <w:sz w:val="18"/>
              </w:rPr>
              <w:t>2.587012</w:t>
            </w:r>
          </w:p>
        </w:tc>
        <w:tc>
          <w:tcPr>
            <w:tcW w:w="989" w:type="dxa"/>
          </w:tcPr>
          <w:p>
            <w:pPr>
              <w:pStyle w:val="TableParagraph"/>
              <w:spacing w:before="5"/>
              <w:ind w:right="70"/>
              <w:jc w:val="right"/>
              <w:rPr>
                <w:sz w:val="18"/>
              </w:rPr>
            </w:pPr>
            <w:r>
              <w:rPr>
                <w:spacing w:val="-2"/>
                <w:sz w:val="18"/>
              </w:rPr>
              <w:t>4.908233</w:t>
            </w:r>
          </w:p>
        </w:tc>
        <w:tc>
          <w:tcPr>
            <w:tcW w:w="913" w:type="dxa"/>
          </w:tcPr>
          <w:p>
            <w:pPr>
              <w:pStyle w:val="TableParagraph"/>
              <w:spacing w:before="5"/>
              <w:ind w:right="83"/>
              <w:jc w:val="right"/>
              <w:rPr>
                <w:sz w:val="18"/>
              </w:rPr>
            </w:pPr>
            <w:r>
              <w:rPr>
                <w:spacing w:val="-2"/>
                <w:sz w:val="18"/>
              </w:rPr>
              <w:t>2.351375</w:t>
            </w:r>
          </w:p>
        </w:tc>
        <w:tc>
          <w:tcPr>
            <w:tcW w:w="1018" w:type="dxa"/>
          </w:tcPr>
          <w:p>
            <w:pPr>
              <w:pStyle w:val="TableParagraph"/>
              <w:spacing w:before="5"/>
              <w:ind w:right="112"/>
              <w:jc w:val="right"/>
              <w:rPr>
                <w:sz w:val="18"/>
              </w:rPr>
            </w:pPr>
            <w:r>
              <w:rPr>
                <w:spacing w:val="-2"/>
                <w:sz w:val="18"/>
              </w:rPr>
              <w:t>-0.116534</w:t>
            </w:r>
          </w:p>
        </w:tc>
        <w:tc>
          <w:tcPr>
            <w:tcW w:w="1034" w:type="dxa"/>
          </w:tcPr>
          <w:p>
            <w:pPr>
              <w:pStyle w:val="TableParagraph"/>
              <w:spacing w:before="5"/>
              <w:ind w:right="157"/>
              <w:jc w:val="right"/>
              <w:rPr>
                <w:sz w:val="18"/>
              </w:rPr>
            </w:pPr>
            <w:r>
              <w:rPr>
                <w:spacing w:val="-2"/>
                <w:sz w:val="18"/>
              </w:rPr>
              <w:t>3.770459</w:t>
            </w:r>
          </w:p>
        </w:tc>
        <w:tc>
          <w:tcPr>
            <w:tcW w:w="976" w:type="dxa"/>
          </w:tcPr>
          <w:p>
            <w:pPr>
              <w:pStyle w:val="TableParagraph"/>
              <w:spacing w:before="5"/>
              <w:ind w:right="50"/>
              <w:jc w:val="right"/>
              <w:rPr>
                <w:sz w:val="18"/>
              </w:rPr>
            </w:pPr>
            <w:r>
              <w:rPr>
                <w:spacing w:val="-2"/>
                <w:sz w:val="18"/>
              </w:rPr>
              <w:t>0.703098</w:t>
            </w:r>
          </w:p>
        </w:tc>
        <w:tc>
          <w:tcPr>
            <w:tcW w:w="1069" w:type="dxa"/>
          </w:tcPr>
          <w:p>
            <w:pPr>
              <w:pStyle w:val="TableParagraph"/>
              <w:spacing w:before="5"/>
              <w:ind w:right="39"/>
              <w:jc w:val="right"/>
              <w:rPr>
                <w:sz w:val="18"/>
              </w:rPr>
            </w:pPr>
            <w:r>
              <w:rPr>
                <w:spacing w:val="-2"/>
                <w:sz w:val="18"/>
              </w:rPr>
              <w:t>2.040694</w:t>
            </w:r>
          </w:p>
        </w:tc>
      </w:tr>
      <w:tr>
        <w:trPr>
          <w:trHeight w:val="225" w:hRule="atLeast"/>
        </w:trPr>
        <w:tc>
          <w:tcPr>
            <w:tcW w:w="583" w:type="dxa"/>
          </w:tcPr>
          <w:p>
            <w:pPr>
              <w:pStyle w:val="TableParagraph"/>
              <w:ind w:right="77"/>
              <w:jc w:val="center"/>
              <w:rPr>
                <w:sz w:val="18"/>
              </w:rPr>
            </w:pPr>
            <w:r>
              <w:rPr>
                <w:spacing w:val="-4"/>
                <w:sz w:val="18"/>
              </w:rPr>
              <w:t>1987</w:t>
            </w:r>
          </w:p>
        </w:tc>
        <w:tc>
          <w:tcPr>
            <w:tcW w:w="957" w:type="dxa"/>
          </w:tcPr>
          <w:p>
            <w:pPr>
              <w:pStyle w:val="TableParagraph"/>
              <w:ind w:right="73"/>
              <w:jc w:val="right"/>
              <w:rPr>
                <w:sz w:val="18"/>
              </w:rPr>
            </w:pPr>
            <w:r>
              <w:rPr>
                <w:spacing w:val="-2"/>
                <w:sz w:val="18"/>
              </w:rPr>
              <w:t>3.811097</w:t>
            </w:r>
          </w:p>
        </w:tc>
        <w:tc>
          <w:tcPr>
            <w:tcW w:w="901" w:type="dxa"/>
          </w:tcPr>
          <w:p>
            <w:pPr>
              <w:pStyle w:val="TableParagraph"/>
              <w:ind w:right="71"/>
              <w:jc w:val="right"/>
              <w:rPr>
                <w:sz w:val="18"/>
              </w:rPr>
            </w:pPr>
            <w:r>
              <w:rPr>
                <w:spacing w:val="-2"/>
                <w:sz w:val="18"/>
              </w:rPr>
              <w:t>9.633248</w:t>
            </w:r>
          </w:p>
        </w:tc>
        <w:tc>
          <w:tcPr>
            <w:tcW w:w="990" w:type="dxa"/>
          </w:tcPr>
          <w:p>
            <w:pPr>
              <w:pStyle w:val="TableParagraph"/>
              <w:ind w:right="161"/>
              <w:jc w:val="right"/>
              <w:rPr>
                <w:sz w:val="18"/>
              </w:rPr>
            </w:pPr>
            <w:r>
              <w:rPr>
                <w:spacing w:val="-2"/>
                <w:sz w:val="18"/>
              </w:rPr>
              <w:t>2.436241</w:t>
            </w:r>
          </w:p>
        </w:tc>
        <w:tc>
          <w:tcPr>
            <w:tcW w:w="989" w:type="dxa"/>
          </w:tcPr>
          <w:p>
            <w:pPr>
              <w:pStyle w:val="TableParagraph"/>
              <w:ind w:right="70"/>
              <w:jc w:val="right"/>
              <w:rPr>
                <w:sz w:val="18"/>
              </w:rPr>
            </w:pPr>
            <w:r>
              <w:rPr>
                <w:spacing w:val="-2"/>
                <w:sz w:val="18"/>
              </w:rPr>
              <w:t>4.887865</w:t>
            </w:r>
          </w:p>
        </w:tc>
        <w:tc>
          <w:tcPr>
            <w:tcW w:w="913" w:type="dxa"/>
          </w:tcPr>
          <w:p>
            <w:pPr>
              <w:pStyle w:val="TableParagraph"/>
              <w:ind w:right="83"/>
              <w:jc w:val="right"/>
              <w:rPr>
                <w:sz w:val="18"/>
              </w:rPr>
            </w:pPr>
            <w:r>
              <w:rPr>
                <w:spacing w:val="-2"/>
                <w:sz w:val="18"/>
              </w:rPr>
              <w:t>2.862201</w:t>
            </w:r>
          </w:p>
        </w:tc>
        <w:tc>
          <w:tcPr>
            <w:tcW w:w="1018" w:type="dxa"/>
          </w:tcPr>
          <w:p>
            <w:pPr>
              <w:pStyle w:val="TableParagraph"/>
              <w:ind w:right="112"/>
              <w:jc w:val="right"/>
              <w:rPr>
                <w:sz w:val="18"/>
              </w:rPr>
            </w:pPr>
            <w:r>
              <w:rPr>
                <w:spacing w:val="-2"/>
                <w:sz w:val="18"/>
              </w:rPr>
              <w:t>0.703098</w:t>
            </w:r>
          </w:p>
        </w:tc>
        <w:tc>
          <w:tcPr>
            <w:tcW w:w="1034" w:type="dxa"/>
          </w:tcPr>
          <w:p>
            <w:pPr>
              <w:pStyle w:val="TableParagraph"/>
              <w:ind w:right="157"/>
              <w:jc w:val="right"/>
              <w:rPr>
                <w:sz w:val="18"/>
              </w:rPr>
            </w:pPr>
            <w:r>
              <w:rPr>
                <w:spacing w:val="-2"/>
                <w:sz w:val="18"/>
              </w:rPr>
              <w:t>4.298645</w:t>
            </w:r>
          </w:p>
        </w:tc>
        <w:tc>
          <w:tcPr>
            <w:tcW w:w="976" w:type="dxa"/>
          </w:tcPr>
          <w:p>
            <w:pPr>
              <w:pStyle w:val="TableParagraph"/>
              <w:ind w:right="50"/>
              <w:jc w:val="right"/>
              <w:rPr>
                <w:sz w:val="18"/>
              </w:rPr>
            </w:pPr>
            <w:r>
              <w:rPr>
                <w:spacing w:val="-2"/>
                <w:sz w:val="18"/>
              </w:rPr>
              <w:t>1.391282</w:t>
            </w:r>
          </w:p>
        </w:tc>
        <w:tc>
          <w:tcPr>
            <w:tcW w:w="1069" w:type="dxa"/>
          </w:tcPr>
          <w:p>
            <w:pPr>
              <w:pStyle w:val="TableParagraph"/>
              <w:ind w:right="39"/>
              <w:jc w:val="right"/>
              <w:rPr>
                <w:sz w:val="18"/>
              </w:rPr>
            </w:pPr>
            <w:r>
              <w:rPr>
                <w:spacing w:val="-2"/>
                <w:sz w:val="18"/>
              </w:rPr>
              <w:t>2.153685</w:t>
            </w:r>
          </w:p>
        </w:tc>
      </w:tr>
      <w:tr>
        <w:trPr>
          <w:trHeight w:val="225" w:hRule="atLeast"/>
        </w:trPr>
        <w:tc>
          <w:tcPr>
            <w:tcW w:w="583" w:type="dxa"/>
          </w:tcPr>
          <w:p>
            <w:pPr>
              <w:pStyle w:val="TableParagraph"/>
              <w:ind w:right="77"/>
              <w:jc w:val="center"/>
              <w:rPr>
                <w:sz w:val="18"/>
              </w:rPr>
            </w:pPr>
            <w:r>
              <w:rPr>
                <w:spacing w:val="-4"/>
                <w:sz w:val="18"/>
              </w:rPr>
              <w:t>1988</w:t>
            </w:r>
          </w:p>
        </w:tc>
        <w:tc>
          <w:tcPr>
            <w:tcW w:w="957" w:type="dxa"/>
          </w:tcPr>
          <w:p>
            <w:pPr>
              <w:pStyle w:val="TableParagraph"/>
              <w:ind w:right="73"/>
              <w:jc w:val="right"/>
              <w:rPr>
                <w:sz w:val="18"/>
              </w:rPr>
            </w:pPr>
            <w:r>
              <w:rPr>
                <w:spacing w:val="-2"/>
                <w:sz w:val="18"/>
              </w:rPr>
              <w:t>4.058717</w:t>
            </w:r>
          </w:p>
        </w:tc>
        <w:tc>
          <w:tcPr>
            <w:tcW w:w="901" w:type="dxa"/>
          </w:tcPr>
          <w:p>
            <w:pPr>
              <w:pStyle w:val="TableParagraph"/>
              <w:ind w:right="71"/>
              <w:jc w:val="right"/>
              <w:rPr>
                <w:sz w:val="18"/>
              </w:rPr>
            </w:pPr>
            <w:r>
              <w:rPr>
                <w:spacing w:val="-2"/>
                <w:sz w:val="18"/>
              </w:rPr>
              <w:t>9.693715</w:t>
            </w:r>
          </w:p>
        </w:tc>
        <w:tc>
          <w:tcPr>
            <w:tcW w:w="990" w:type="dxa"/>
          </w:tcPr>
          <w:p>
            <w:pPr>
              <w:pStyle w:val="TableParagraph"/>
              <w:ind w:right="161"/>
              <w:jc w:val="right"/>
              <w:rPr>
                <w:sz w:val="18"/>
              </w:rPr>
            </w:pPr>
            <w:r>
              <w:rPr>
                <w:spacing w:val="-2"/>
                <w:sz w:val="18"/>
              </w:rPr>
              <w:t>2.352327</w:t>
            </w:r>
          </w:p>
        </w:tc>
        <w:tc>
          <w:tcPr>
            <w:tcW w:w="989" w:type="dxa"/>
          </w:tcPr>
          <w:p>
            <w:pPr>
              <w:pStyle w:val="TableParagraph"/>
              <w:ind w:right="70"/>
              <w:jc w:val="right"/>
              <w:rPr>
                <w:sz w:val="18"/>
              </w:rPr>
            </w:pPr>
            <w:r>
              <w:rPr>
                <w:spacing w:val="-2"/>
                <w:sz w:val="18"/>
              </w:rPr>
              <w:t>4.869763</w:t>
            </w:r>
          </w:p>
        </w:tc>
        <w:tc>
          <w:tcPr>
            <w:tcW w:w="913" w:type="dxa"/>
          </w:tcPr>
          <w:p>
            <w:pPr>
              <w:pStyle w:val="TableParagraph"/>
              <w:ind w:right="83"/>
              <w:jc w:val="right"/>
              <w:rPr>
                <w:sz w:val="18"/>
              </w:rPr>
            </w:pPr>
            <w:r>
              <w:rPr>
                <w:spacing w:val="-2"/>
                <w:sz w:val="18"/>
              </w:rPr>
              <w:t>2.803360</w:t>
            </w:r>
          </w:p>
        </w:tc>
        <w:tc>
          <w:tcPr>
            <w:tcW w:w="1018" w:type="dxa"/>
          </w:tcPr>
          <w:p>
            <w:pPr>
              <w:pStyle w:val="TableParagraph"/>
              <w:ind w:right="112"/>
              <w:jc w:val="right"/>
              <w:rPr>
                <w:sz w:val="18"/>
              </w:rPr>
            </w:pPr>
            <w:r>
              <w:rPr>
                <w:spacing w:val="-2"/>
                <w:sz w:val="18"/>
              </w:rPr>
              <w:t>1.391282</w:t>
            </w:r>
          </w:p>
        </w:tc>
        <w:tc>
          <w:tcPr>
            <w:tcW w:w="1034" w:type="dxa"/>
          </w:tcPr>
          <w:p>
            <w:pPr>
              <w:pStyle w:val="TableParagraph"/>
              <w:ind w:right="157"/>
              <w:jc w:val="right"/>
              <w:rPr>
                <w:sz w:val="18"/>
              </w:rPr>
            </w:pPr>
            <w:r>
              <w:rPr>
                <w:spacing w:val="-2"/>
                <w:sz w:val="18"/>
              </w:rPr>
              <w:t>5.502074</w:t>
            </w:r>
          </w:p>
        </w:tc>
        <w:tc>
          <w:tcPr>
            <w:tcW w:w="976" w:type="dxa"/>
          </w:tcPr>
          <w:p>
            <w:pPr>
              <w:pStyle w:val="TableParagraph"/>
              <w:ind w:right="50"/>
              <w:jc w:val="right"/>
              <w:rPr>
                <w:sz w:val="18"/>
              </w:rPr>
            </w:pPr>
            <w:r>
              <w:rPr>
                <w:spacing w:val="-2"/>
                <w:sz w:val="18"/>
              </w:rPr>
              <w:t>1.512927</w:t>
            </w:r>
          </w:p>
        </w:tc>
        <w:tc>
          <w:tcPr>
            <w:tcW w:w="1069" w:type="dxa"/>
          </w:tcPr>
          <w:p>
            <w:pPr>
              <w:pStyle w:val="TableParagraph"/>
              <w:ind w:right="39"/>
              <w:jc w:val="right"/>
              <w:rPr>
                <w:sz w:val="18"/>
              </w:rPr>
            </w:pPr>
            <w:r>
              <w:rPr>
                <w:spacing w:val="-2"/>
                <w:sz w:val="18"/>
              </w:rPr>
              <w:t>2.158500</w:t>
            </w:r>
          </w:p>
        </w:tc>
      </w:tr>
      <w:tr>
        <w:trPr>
          <w:trHeight w:val="224" w:hRule="atLeast"/>
        </w:trPr>
        <w:tc>
          <w:tcPr>
            <w:tcW w:w="583" w:type="dxa"/>
          </w:tcPr>
          <w:p>
            <w:pPr>
              <w:pStyle w:val="TableParagraph"/>
              <w:spacing w:line="198" w:lineRule="exact"/>
              <w:ind w:right="77"/>
              <w:jc w:val="center"/>
              <w:rPr>
                <w:sz w:val="18"/>
              </w:rPr>
            </w:pPr>
            <w:r>
              <w:rPr>
                <w:spacing w:val="-4"/>
                <w:sz w:val="18"/>
              </w:rPr>
              <w:t>1989</w:t>
            </w:r>
          </w:p>
        </w:tc>
        <w:tc>
          <w:tcPr>
            <w:tcW w:w="957" w:type="dxa"/>
          </w:tcPr>
          <w:p>
            <w:pPr>
              <w:pStyle w:val="TableParagraph"/>
              <w:spacing w:line="198" w:lineRule="exact"/>
              <w:ind w:right="73"/>
              <w:jc w:val="right"/>
              <w:rPr>
                <w:sz w:val="18"/>
              </w:rPr>
            </w:pPr>
            <w:r>
              <w:rPr>
                <w:spacing w:val="-2"/>
                <w:sz w:val="18"/>
              </w:rPr>
              <w:t>4.044804</w:t>
            </w:r>
          </w:p>
        </w:tc>
        <w:tc>
          <w:tcPr>
            <w:tcW w:w="901" w:type="dxa"/>
          </w:tcPr>
          <w:p>
            <w:pPr>
              <w:pStyle w:val="TableParagraph"/>
              <w:spacing w:line="198" w:lineRule="exact"/>
              <w:ind w:right="71"/>
              <w:jc w:val="right"/>
              <w:rPr>
                <w:sz w:val="18"/>
              </w:rPr>
            </w:pPr>
            <w:r>
              <w:rPr>
                <w:spacing w:val="-2"/>
                <w:sz w:val="18"/>
              </w:rPr>
              <w:t>9.758154</w:t>
            </w:r>
          </w:p>
        </w:tc>
        <w:tc>
          <w:tcPr>
            <w:tcW w:w="990" w:type="dxa"/>
          </w:tcPr>
          <w:p>
            <w:pPr>
              <w:pStyle w:val="TableParagraph"/>
              <w:spacing w:line="198" w:lineRule="exact"/>
              <w:ind w:right="161"/>
              <w:jc w:val="right"/>
              <w:rPr>
                <w:sz w:val="18"/>
              </w:rPr>
            </w:pPr>
            <w:r>
              <w:rPr>
                <w:spacing w:val="-2"/>
                <w:sz w:val="18"/>
              </w:rPr>
              <w:t>2.420368</w:t>
            </w:r>
          </w:p>
        </w:tc>
        <w:tc>
          <w:tcPr>
            <w:tcW w:w="989" w:type="dxa"/>
          </w:tcPr>
          <w:p>
            <w:pPr>
              <w:pStyle w:val="TableParagraph"/>
              <w:spacing w:line="198" w:lineRule="exact"/>
              <w:ind w:right="70"/>
              <w:jc w:val="right"/>
              <w:rPr>
                <w:sz w:val="18"/>
              </w:rPr>
            </w:pPr>
            <w:r>
              <w:rPr>
                <w:spacing w:val="-2"/>
                <w:sz w:val="18"/>
              </w:rPr>
              <w:t>4.854137</w:t>
            </w:r>
          </w:p>
        </w:tc>
        <w:tc>
          <w:tcPr>
            <w:tcW w:w="913" w:type="dxa"/>
          </w:tcPr>
          <w:p>
            <w:pPr>
              <w:pStyle w:val="TableParagraph"/>
              <w:spacing w:line="198" w:lineRule="exact"/>
              <w:ind w:right="83"/>
              <w:jc w:val="right"/>
              <w:rPr>
                <w:sz w:val="18"/>
              </w:rPr>
            </w:pPr>
            <w:r>
              <w:rPr>
                <w:spacing w:val="-2"/>
                <w:sz w:val="18"/>
              </w:rPr>
              <w:t>3.288402</w:t>
            </w:r>
          </w:p>
        </w:tc>
        <w:tc>
          <w:tcPr>
            <w:tcW w:w="1018" w:type="dxa"/>
          </w:tcPr>
          <w:p>
            <w:pPr>
              <w:pStyle w:val="TableParagraph"/>
              <w:spacing w:line="198" w:lineRule="exact"/>
              <w:ind w:right="112"/>
              <w:jc w:val="right"/>
              <w:rPr>
                <w:sz w:val="18"/>
              </w:rPr>
            </w:pPr>
            <w:r>
              <w:rPr>
                <w:spacing w:val="-2"/>
                <w:sz w:val="18"/>
              </w:rPr>
              <w:t>1.512927</w:t>
            </w:r>
          </w:p>
        </w:tc>
        <w:tc>
          <w:tcPr>
            <w:tcW w:w="1034" w:type="dxa"/>
          </w:tcPr>
          <w:p>
            <w:pPr>
              <w:pStyle w:val="TableParagraph"/>
              <w:spacing w:line="198" w:lineRule="exact"/>
              <w:ind w:right="157"/>
              <w:jc w:val="right"/>
              <w:rPr>
                <w:sz w:val="18"/>
              </w:rPr>
            </w:pPr>
            <w:r>
              <w:rPr>
                <w:spacing w:val="-2"/>
                <w:sz w:val="18"/>
              </w:rPr>
              <w:t>5.146331</w:t>
            </w:r>
          </w:p>
        </w:tc>
        <w:tc>
          <w:tcPr>
            <w:tcW w:w="976" w:type="dxa"/>
          </w:tcPr>
          <w:p>
            <w:pPr>
              <w:pStyle w:val="TableParagraph"/>
              <w:spacing w:line="198" w:lineRule="exact"/>
              <w:ind w:right="50"/>
              <w:jc w:val="right"/>
              <w:rPr>
                <w:sz w:val="18"/>
              </w:rPr>
            </w:pPr>
            <w:r>
              <w:rPr>
                <w:spacing w:val="-2"/>
                <w:sz w:val="18"/>
              </w:rPr>
              <w:t>2.000128</w:t>
            </w:r>
          </w:p>
        </w:tc>
        <w:tc>
          <w:tcPr>
            <w:tcW w:w="1069" w:type="dxa"/>
          </w:tcPr>
          <w:p>
            <w:pPr>
              <w:pStyle w:val="TableParagraph"/>
              <w:spacing w:line="198" w:lineRule="exact"/>
              <w:ind w:right="39"/>
              <w:jc w:val="right"/>
              <w:rPr>
                <w:sz w:val="18"/>
              </w:rPr>
            </w:pPr>
            <w:r>
              <w:rPr>
                <w:spacing w:val="-2"/>
                <w:sz w:val="18"/>
              </w:rPr>
              <w:t>1.991775</w:t>
            </w:r>
          </w:p>
        </w:tc>
      </w:tr>
      <w:tr>
        <w:trPr>
          <w:trHeight w:val="224" w:hRule="atLeast"/>
        </w:trPr>
        <w:tc>
          <w:tcPr>
            <w:tcW w:w="583" w:type="dxa"/>
          </w:tcPr>
          <w:p>
            <w:pPr>
              <w:pStyle w:val="TableParagraph"/>
              <w:spacing w:before="5"/>
              <w:ind w:right="77"/>
              <w:jc w:val="center"/>
              <w:rPr>
                <w:sz w:val="18"/>
              </w:rPr>
            </w:pPr>
            <w:r>
              <w:rPr>
                <w:spacing w:val="-4"/>
                <w:sz w:val="18"/>
              </w:rPr>
              <w:t>1990</w:t>
            </w:r>
          </w:p>
        </w:tc>
        <w:tc>
          <w:tcPr>
            <w:tcW w:w="957" w:type="dxa"/>
          </w:tcPr>
          <w:p>
            <w:pPr>
              <w:pStyle w:val="TableParagraph"/>
              <w:spacing w:before="5"/>
              <w:ind w:right="73"/>
              <w:jc w:val="right"/>
              <w:rPr>
                <w:sz w:val="18"/>
              </w:rPr>
            </w:pPr>
            <w:r>
              <w:rPr>
                <w:spacing w:val="-2"/>
                <w:sz w:val="18"/>
              </w:rPr>
              <w:t>4.030695</w:t>
            </w:r>
          </w:p>
        </w:tc>
        <w:tc>
          <w:tcPr>
            <w:tcW w:w="901" w:type="dxa"/>
          </w:tcPr>
          <w:p>
            <w:pPr>
              <w:pStyle w:val="TableParagraph"/>
              <w:spacing w:before="5"/>
              <w:ind w:right="71"/>
              <w:jc w:val="right"/>
              <w:rPr>
                <w:sz w:val="18"/>
              </w:rPr>
            </w:pPr>
            <w:r>
              <w:rPr>
                <w:spacing w:val="-2"/>
                <w:sz w:val="18"/>
              </w:rPr>
              <w:t>9.868152</w:t>
            </w:r>
          </w:p>
        </w:tc>
        <w:tc>
          <w:tcPr>
            <w:tcW w:w="990" w:type="dxa"/>
          </w:tcPr>
          <w:p>
            <w:pPr>
              <w:pStyle w:val="TableParagraph"/>
              <w:spacing w:before="5"/>
              <w:ind w:right="161"/>
              <w:jc w:val="right"/>
              <w:rPr>
                <w:sz w:val="18"/>
              </w:rPr>
            </w:pPr>
            <w:r>
              <w:rPr>
                <w:spacing w:val="-2"/>
                <w:sz w:val="18"/>
              </w:rPr>
              <w:t>2.711378</w:t>
            </w:r>
          </w:p>
        </w:tc>
        <w:tc>
          <w:tcPr>
            <w:tcW w:w="989" w:type="dxa"/>
          </w:tcPr>
          <w:p>
            <w:pPr>
              <w:pStyle w:val="TableParagraph"/>
              <w:spacing w:before="5"/>
              <w:ind w:right="70"/>
              <w:jc w:val="right"/>
              <w:rPr>
                <w:sz w:val="18"/>
              </w:rPr>
            </w:pPr>
            <w:r>
              <w:rPr>
                <w:spacing w:val="-2"/>
                <w:sz w:val="18"/>
              </w:rPr>
              <w:t>4.770430</w:t>
            </w:r>
          </w:p>
        </w:tc>
        <w:tc>
          <w:tcPr>
            <w:tcW w:w="913" w:type="dxa"/>
          </w:tcPr>
          <w:p>
            <w:pPr>
              <w:pStyle w:val="TableParagraph"/>
              <w:spacing w:before="5"/>
              <w:ind w:right="83"/>
              <w:jc w:val="right"/>
              <w:rPr>
                <w:sz w:val="18"/>
              </w:rPr>
            </w:pPr>
            <w:r>
              <w:rPr>
                <w:spacing w:val="-2"/>
                <w:sz w:val="18"/>
              </w:rPr>
              <w:t>3.238678</w:t>
            </w:r>
          </w:p>
        </w:tc>
        <w:tc>
          <w:tcPr>
            <w:tcW w:w="1018" w:type="dxa"/>
          </w:tcPr>
          <w:p>
            <w:pPr>
              <w:pStyle w:val="TableParagraph"/>
              <w:spacing w:before="5"/>
              <w:ind w:right="112"/>
              <w:jc w:val="right"/>
              <w:rPr>
                <w:sz w:val="18"/>
              </w:rPr>
            </w:pPr>
            <w:r>
              <w:rPr>
                <w:spacing w:val="-2"/>
                <w:sz w:val="18"/>
              </w:rPr>
              <w:t>2.000128</w:t>
            </w:r>
          </w:p>
        </w:tc>
        <w:tc>
          <w:tcPr>
            <w:tcW w:w="1034" w:type="dxa"/>
          </w:tcPr>
          <w:p>
            <w:pPr>
              <w:pStyle w:val="TableParagraph"/>
              <w:spacing w:before="5"/>
              <w:ind w:right="157"/>
              <w:jc w:val="right"/>
              <w:rPr>
                <w:sz w:val="18"/>
              </w:rPr>
            </w:pPr>
            <w:r>
              <w:rPr>
                <w:spacing w:val="-2"/>
                <w:sz w:val="18"/>
              </w:rPr>
              <w:t>4.933034</w:t>
            </w:r>
          </w:p>
        </w:tc>
        <w:tc>
          <w:tcPr>
            <w:tcW w:w="976" w:type="dxa"/>
          </w:tcPr>
          <w:p>
            <w:pPr>
              <w:pStyle w:val="TableParagraph"/>
              <w:spacing w:before="5"/>
              <w:ind w:right="50"/>
              <w:jc w:val="right"/>
              <w:rPr>
                <w:sz w:val="18"/>
              </w:rPr>
            </w:pPr>
            <w:r>
              <w:rPr>
                <w:spacing w:val="-2"/>
                <w:sz w:val="18"/>
              </w:rPr>
              <w:t>2.084429</w:t>
            </w:r>
          </w:p>
        </w:tc>
        <w:tc>
          <w:tcPr>
            <w:tcW w:w="1069" w:type="dxa"/>
          </w:tcPr>
          <w:p>
            <w:pPr>
              <w:pStyle w:val="TableParagraph"/>
              <w:spacing w:before="5"/>
              <w:ind w:right="39"/>
              <w:jc w:val="right"/>
              <w:rPr>
                <w:sz w:val="18"/>
              </w:rPr>
            </w:pPr>
            <w:r>
              <w:rPr>
                <w:spacing w:val="-2"/>
                <w:sz w:val="18"/>
              </w:rPr>
              <w:t>1.914301</w:t>
            </w:r>
          </w:p>
        </w:tc>
      </w:tr>
      <w:tr>
        <w:trPr>
          <w:trHeight w:val="225" w:hRule="atLeast"/>
        </w:trPr>
        <w:tc>
          <w:tcPr>
            <w:tcW w:w="583" w:type="dxa"/>
          </w:tcPr>
          <w:p>
            <w:pPr>
              <w:pStyle w:val="TableParagraph"/>
              <w:ind w:right="77"/>
              <w:jc w:val="center"/>
              <w:rPr>
                <w:sz w:val="18"/>
              </w:rPr>
            </w:pPr>
            <w:r>
              <w:rPr>
                <w:spacing w:val="-4"/>
                <w:sz w:val="18"/>
              </w:rPr>
              <w:t>1991</w:t>
            </w:r>
          </w:p>
        </w:tc>
        <w:tc>
          <w:tcPr>
            <w:tcW w:w="957" w:type="dxa"/>
          </w:tcPr>
          <w:p>
            <w:pPr>
              <w:pStyle w:val="TableParagraph"/>
              <w:ind w:right="73"/>
              <w:jc w:val="right"/>
              <w:rPr>
                <w:sz w:val="18"/>
              </w:rPr>
            </w:pPr>
            <w:r>
              <w:rPr>
                <w:spacing w:val="-2"/>
                <w:sz w:val="18"/>
              </w:rPr>
              <w:t>3.975936</w:t>
            </w:r>
          </w:p>
        </w:tc>
        <w:tc>
          <w:tcPr>
            <w:tcW w:w="901" w:type="dxa"/>
          </w:tcPr>
          <w:p>
            <w:pPr>
              <w:pStyle w:val="TableParagraph"/>
              <w:ind w:right="71"/>
              <w:jc w:val="right"/>
              <w:rPr>
                <w:sz w:val="18"/>
              </w:rPr>
            </w:pPr>
            <w:r>
              <w:rPr>
                <w:spacing w:val="-2"/>
                <w:sz w:val="18"/>
              </w:rPr>
              <w:t>9.862617</w:t>
            </w:r>
          </w:p>
        </w:tc>
        <w:tc>
          <w:tcPr>
            <w:tcW w:w="990" w:type="dxa"/>
          </w:tcPr>
          <w:p>
            <w:pPr>
              <w:pStyle w:val="TableParagraph"/>
              <w:ind w:right="161"/>
              <w:jc w:val="right"/>
              <w:rPr>
                <w:sz w:val="18"/>
              </w:rPr>
            </w:pPr>
            <w:r>
              <w:rPr>
                <w:spacing w:val="-2"/>
                <w:sz w:val="18"/>
              </w:rPr>
              <w:t>2.533697</w:t>
            </w:r>
          </w:p>
        </w:tc>
        <w:tc>
          <w:tcPr>
            <w:tcW w:w="989" w:type="dxa"/>
          </w:tcPr>
          <w:p>
            <w:pPr>
              <w:pStyle w:val="TableParagraph"/>
              <w:ind w:right="70"/>
              <w:jc w:val="right"/>
              <w:rPr>
                <w:sz w:val="18"/>
              </w:rPr>
            </w:pPr>
            <w:r>
              <w:rPr>
                <w:spacing w:val="-2"/>
                <w:sz w:val="18"/>
              </w:rPr>
              <w:t>4.887035</w:t>
            </w:r>
          </w:p>
        </w:tc>
        <w:tc>
          <w:tcPr>
            <w:tcW w:w="913" w:type="dxa"/>
          </w:tcPr>
          <w:p>
            <w:pPr>
              <w:pStyle w:val="TableParagraph"/>
              <w:ind w:right="83"/>
              <w:jc w:val="right"/>
              <w:rPr>
                <w:sz w:val="18"/>
              </w:rPr>
            </w:pPr>
            <w:r>
              <w:rPr>
                <w:spacing w:val="-2"/>
                <w:sz w:val="18"/>
              </w:rPr>
              <w:t>2.996232</w:t>
            </w:r>
          </w:p>
        </w:tc>
        <w:tc>
          <w:tcPr>
            <w:tcW w:w="1018" w:type="dxa"/>
          </w:tcPr>
          <w:p>
            <w:pPr>
              <w:pStyle w:val="TableParagraph"/>
              <w:ind w:right="112"/>
              <w:jc w:val="right"/>
              <w:rPr>
                <w:sz w:val="18"/>
              </w:rPr>
            </w:pPr>
            <w:r>
              <w:rPr>
                <w:spacing w:val="-2"/>
                <w:sz w:val="18"/>
              </w:rPr>
              <w:t>2.084429</w:t>
            </w:r>
          </w:p>
        </w:tc>
        <w:tc>
          <w:tcPr>
            <w:tcW w:w="1034" w:type="dxa"/>
          </w:tcPr>
          <w:p>
            <w:pPr>
              <w:pStyle w:val="TableParagraph"/>
              <w:ind w:right="157"/>
              <w:jc w:val="right"/>
              <w:rPr>
                <w:sz w:val="18"/>
              </w:rPr>
            </w:pPr>
            <w:r>
              <w:rPr>
                <w:spacing w:val="-2"/>
                <w:sz w:val="18"/>
              </w:rPr>
              <w:t>6.149750</w:t>
            </w:r>
          </w:p>
        </w:tc>
        <w:tc>
          <w:tcPr>
            <w:tcW w:w="976" w:type="dxa"/>
          </w:tcPr>
          <w:p>
            <w:pPr>
              <w:pStyle w:val="TableParagraph"/>
              <w:ind w:right="50"/>
              <w:jc w:val="right"/>
              <w:rPr>
                <w:sz w:val="18"/>
              </w:rPr>
            </w:pPr>
            <w:r>
              <w:rPr>
                <w:spacing w:val="-2"/>
                <w:sz w:val="18"/>
              </w:rPr>
              <w:t>2.293544</w:t>
            </w:r>
          </w:p>
        </w:tc>
        <w:tc>
          <w:tcPr>
            <w:tcW w:w="1069" w:type="dxa"/>
          </w:tcPr>
          <w:p>
            <w:pPr>
              <w:pStyle w:val="TableParagraph"/>
              <w:ind w:right="39"/>
              <w:jc w:val="right"/>
              <w:rPr>
                <w:sz w:val="18"/>
              </w:rPr>
            </w:pPr>
            <w:r>
              <w:rPr>
                <w:spacing w:val="-2"/>
                <w:sz w:val="18"/>
              </w:rPr>
              <w:t>1.947078</w:t>
            </w:r>
          </w:p>
        </w:tc>
      </w:tr>
      <w:tr>
        <w:trPr>
          <w:trHeight w:val="225" w:hRule="atLeast"/>
        </w:trPr>
        <w:tc>
          <w:tcPr>
            <w:tcW w:w="583" w:type="dxa"/>
          </w:tcPr>
          <w:p>
            <w:pPr>
              <w:pStyle w:val="TableParagraph"/>
              <w:ind w:right="77"/>
              <w:jc w:val="center"/>
              <w:rPr>
                <w:sz w:val="18"/>
              </w:rPr>
            </w:pPr>
            <w:r>
              <w:rPr>
                <w:spacing w:val="-4"/>
                <w:sz w:val="18"/>
              </w:rPr>
              <w:t>1992</w:t>
            </w:r>
          </w:p>
        </w:tc>
        <w:tc>
          <w:tcPr>
            <w:tcW w:w="957" w:type="dxa"/>
          </w:tcPr>
          <w:p>
            <w:pPr>
              <w:pStyle w:val="TableParagraph"/>
              <w:ind w:right="73"/>
              <w:jc w:val="right"/>
              <w:rPr>
                <w:sz w:val="18"/>
              </w:rPr>
            </w:pPr>
            <w:r>
              <w:rPr>
                <w:spacing w:val="-2"/>
                <w:sz w:val="18"/>
              </w:rPr>
              <w:t>3.811097</w:t>
            </w:r>
          </w:p>
        </w:tc>
        <w:tc>
          <w:tcPr>
            <w:tcW w:w="901" w:type="dxa"/>
          </w:tcPr>
          <w:p>
            <w:pPr>
              <w:pStyle w:val="TableParagraph"/>
              <w:ind w:right="71"/>
              <w:jc w:val="right"/>
              <w:rPr>
                <w:sz w:val="18"/>
              </w:rPr>
            </w:pPr>
            <w:r>
              <w:rPr>
                <w:spacing w:val="-2"/>
                <w:sz w:val="18"/>
              </w:rPr>
              <w:t>9.884314</w:t>
            </w:r>
          </w:p>
        </w:tc>
        <w:tc>
          <w:tcPr>
            <w:tcW w:w="990" w:type="dxa"/>
          </w:tcPr>
          <w:p>
            <w:pPr>
              <w:pStyle w:val="TableParagraph"/>
              <w:ind w:right="161"/>
              <w:jc w:val="right"/>
              <w:rPr>
                <w:sz w:val="18"/>
              </w:rPr>
            </w:pPr>
            <w:r>
              <w:rPr>
                <w:spacing w:val="-2"/>
                <w:sz w:val="18"/>
              </w:rPr>
              <w:t>3.233961</w:t>
            </w:r>
          </w:p>
        </w:tc>
        <w:tc>
          <w:tcPr>
            <w:tcW w:w="989" w:type="dxa"/>
          </w:tcPr>
          <w:p>
            <w:pPr>
              <w:pStyle w:val="TableParagraph"/>
              <w:ind w:right="70"/>
              <w:jc w:val="right"/>
              <w:rPr>
                <w:sz w:val="18"/>
              </w:rPr>
            </w:pPr>
            <w:r>
              <w:rPr>
                <w:spacing w:val="-2"/>
                <w:sz w:val="18"/>
              </w:rPr>
              <w:t>5.007831</w:t>
            </w:r>
          </w:p>
        </w:tc>
        <w:tc>
          <w:tcPr>
            <w:tcW w:w="913" w:type="dxa"/>
          </w:tcPr>
          <w:p>
            <w:pPr>
              <w:pStyle w:val="TableParagraph"/>
              <w:ind w:right="83"/>
              <w:jc w:val="right"/>
              <w:rPr>
                <w:sz w:val="18"/>
              </w:rPr>
            </w:pPr>
            <w:r>
              <w:rPr>
                <w:spacing w:val="-2"/>
                <w:sz w:val="18"/>
              </w:rPr>
              <w:t>3.394508</w:t>
            </w:r>
          </w:p>
        </w:tc>
        <w:tc>
          <w:tcPr>
            <w:tcW w:w="1018" w:type="dxa"/>
          </w:tcPr>
          <w:p>
            <w:pPr>
              <w:pStyle w:val="TableParagraph"/>
              <w:ind w:right="112"/>
              <w:jc w:val="right"/>
              <w:rPr>
                <w:sz w:val="18"/>
              </w:rPr>
            </w:pPr>
            <w:r>
              <w:rPr>
                <w:spacing w:val="-2"/>
                <w:sz w:val="18"/>
              </w:rPr>
              <w:t>2.293544</w:t>
            </w:r>
          </w:p>
        </w:tc>
        <w:tc>
          <w:tcPr>
            <w:tcW w:w="1034" w:type="dxa"/>
          </w:tcPr>
          <w:p>
            <w:pPr>
              <w:pStyle w:val="TableParagraph"/>
              <w:ind w:right="157"/>
              <w:jc w:val="right"/>
              <w:rPr>
                <w:sz w:val="18"/>
              </w:rPr>
            </w:pPr>
            <w:r>
              <w:rPr>
                <w:spacing w:val="-2"/>
                <w:sz w:val="18"/>
              </w:rPr>
              <w:t>6.539008</w:t>
            </w:r>
          </w:p>
        </w:tc>
        <w:tc>
          <w:tcPr>
            <w:tcW w:w="976" w:type="dxa"/>
          </w:tcPr>
          <w:p>
            <w:pPr>
              <w:pStyle w:val="TableParagraph"/>
              <w:ind w:right="50"/>
              <w:jc w:val="right"/>
              <w:rPr>
                <w:sz w:val="18"/>
              </w:rPr>
            </w:pPr>
            <w:r>
              <w:rPr>
                <w:spacing w:val="-2"/>
                <w:sz w:val="18"/>
              </w:rPr>
              <w:t>2.850707</w:t>
            </w:r>
          </w:p>
        </w:tc>
        <w:tc>
          <w:tcPr>
            <w:tcW w:w="1069" w:type="dxa"/>
          </w:tcPr>
          <w:p>
            <w:pPr>
              <w:pStyle w:val="TableParagraph"/>
              <w:ind w:right="39"/>
              <w:jc w:val="right"/>
              <w:rPr>
                <w:sz w:val="18"/>
              </w:rPr>
            </w:pPr>
            <w:r>
              <w:rPr>
                <w:spacing w:val="-2"/>
                <w:sz w:val="18"/>
              </w:rPr>
              <w:t>1.858659</w:t>
            </w:r>
          </w:p>
        </w:tc>
      </w:tr>
      <w:tr>
        <w:trPr>
          <w:trHeight w:val="224" w:hRule="atLeast"/>
        </w:trPr>
        <w:tc>
          <w:tcPr>
            <w:tcW w:w="583" w:type="dxa"/>
          </w:tcPr>
          <w:p>
            <w:pPr>
              <w:pStyle w:val="TableParagraph"/>
              <w:spacing w:line="198" w:lineRule="exact"/>
              <w:ind w:right="77"/>
              <w:jc w:val="center"/>
              <w:rPr>
                <w:sz w:val="18"/>
              </w:rPr>
            </w:pPr>
            <w:r>
              <w:rPr>
                <w:spacing w:val="-4"/>
                <w:sz w:val="18"/>
              </w:rPr>
              <w:t>1993</w:t>
            </w:r>
          </w:p>
        </w:tc>
        <w:tc>
          <w:tcPr>
            <w:tcW w:w="957" w:type="dxa"/>
          </w:tcPr>
          <w:p>
            <w:pPr>
              <w:pStyle w:val="TableParagraph"/>
              <w:spacing w:line="198" w:lineRule="exact"/>
              <w:ind w:right="73"/>
              <w:jc w:val="right"/>
              <w:rPr>
                <w:sz w:val="18"/>
              </w:rPr>
            </w:pPr>
            <w:r>
              <w:rPr>
                <w:spacing w:val="-2"/>
                <w:sz w:val="18"/>
              </w:rPr>
              <w:t>4.058717</w:t>
            </w:r>
          </w:p>
        </w:tc>
        <w:tc>
          <w:tcPr>
            <w:tcW w:w="901" w:type="dxa"/>
          </w:tcPr>
          <w:p>
            <w:pPr>
              <w:pStyle w:val="TableParagraph"/>
              <w:spacing w:line="198" w:lineRule="exact"/>
              <w:ind w:right="71"/>
              <w:jc w:val="right"/>
              <w:rPr>
                <w:sz w:val="18"/>
              </w:rPr>
            </w:pPr>
            <w:r>
              <w:rPr>
                <w:spacing w:val="-2"/>
                <w:sz w:val="18"/>
              </w:rPr>
              <w:t>9.899881</w:t>
            </w:r>
          </w:p>
        </w:tc>
        <w:tc>
          <w:tcPr>
            <w:tcW w:w="990" w:type="dxa"/>
          </w:tcPr>
          <w:p>
            <w:pPr>
              <w:pStyle w:val="TableParagraph"/>
              <w:spacing w:line="198" w:lineRule="exact"/>
              <w:ind w:right="161"/>
              <w:jc w:val="right"/>
              <w:rPr>
                <w:sz w:val="18"/>
              </w:rPr>
            </w:pPr>
            <w:r>
              <w:rPr>
                <w:spacing w:val="-2"/>
                <w:sz w:val="18"/>
              </w:rPr>
              <w:t>3.317816</w:t>
            </w:r>
          </w:p>
        </w:tc>
        <w:tc>
          <w:tcPr>
            <w:tcW w:w="989" w:type="dxa"/>
          </w:tcPr>
          <w:p>
            <w:pPr>
              <w:pStyle w:val="TableParagraph"/>
              <w:spacing w:line="198" w:lineRule="exact"/>
              <w:ind w:right="70"/>
              <w:jc w:val="right"/>
              <w:rPr>
                <w:sz w:val="18"/>
              </w:rPr>
            </w:pPr>
            <w:r>
              <w:rPr>
                <w:spacing w:val="-2"/>
                <w:sz w:val="18"/>
              </w:rPr>
              <w:t>5.015026</w:t>
            </w:r>
          </w:p>
        </w:tc>
        <w:tc>
          <w:tcPr>
            <w:tcW w:w="913" w:type="dxa"/>
          </w:tcPr>
          <w:p>
            <w:pPr>
              <w:pStyle w:val="TableParagraph"/>
              <w:spacing w:line="198" w:lineRule="exact"/>
              <w:ind w:right="83"/>
              <w:jc w:val="right"/>
              <w:rPr>
                <w:sz w:val="18"/>
              </w:rPr>
            </w:pPr>
            <w:r>
              <w:rPr>
                <w:spacing w:val="-2"/>
                <w:sz w:val="18"/>
              </w:rPr>
              <w:t>3.586016</w:t>
            </w:r>
          </w:p>
        </w:tc>
        <w:tc>
          <w:tcPr>
            <w:tcW w:w="1018" w:type="dxa"/>
          </w:tcPr>
          <w:p>
            <w:pPr>
              <w:pStyle w:val="TableParagraph"/>
              <w:spacing w:line="198" w:lineRule="exact"/>
              <w:ind w:right="112"/>
              <w:jc w:val="right"/>
              <w:rPr>
                <w:sz w:val="18"/>
              </w:rPr>
            </w:pPr>
            <w:r>
              <w:rPr>
                <w:spacing w:val="-2"/>
                <w:sz w:val="18"/>
              </w:rPr>
              <w:t>2.850707</w:t>
            </w:r>
          </w:p>
        </w:tc>
        <w:tc>
          <w:tcPr>
            <w:tcW w:w="1034" w:type="dxa"/>
          </w:tcPr>
          <w:p>
            <w:pPr>
              <w:pStyle w:val="TableParagraph"/>
              <w:spacing w:line="198" w:lineRule="exact"/>
              <w:ind w:right="157"/>
              <w:jc w:val="right"/>
              <w:rPr>
                <w:sz w:val="18"/>
              </w:rPr>
            </w:pPr>
            <w:r>
              <w:rPr>
                <w:spacing w:val="-2"/>
                <w:sz w:val="18"/>
              </w:rPr>
              <w:t>4.973971</w:t>
            </w:r>
          </w:p>
        </w:tc>
        <w:tc>
          <w:tcPr>
            <w:tcW w:w="976" w:type="dxa"/>
          </w:tcPr>
          <w:p>
            <w:pPr>
              <w:pStyle w:val="TableParagraph"/>
              <w:spacing w:line="198" w:lineRule="exact"/>
              <w:ind w:right="50"/>
              <w:jc w:val="right"/>
              <w:rPr>
                <w:sz w:val="18"/>
              </w:rPr>
            </w:pPr>
            <w:r>
              <w:rPr>
                <w:spacing w:val="-2"/>
                <w:sz w:val="18"/>
              </w:rPr>
              <w:t>3.093313</w:t>
            </w:r>
          </w:p>
        </w:tc>
        <w:tc>
          <w:tcPr>
            <w:tcW w:w="1069" w:type="dxa"/>
          </w:tcPr>
          <w:p>
            <w:pPr>
              <w:pStyle w:val="TableParagraph"/>
              <w:spacing w:line="198" w:lineRule="exact"/>
              <w:ind w:right="39"/>
              <w:jc w:val="right"/>
              <w:rPr>
                <w:sz w:val="18"/>
              </w:rPr>
            </w:pPr>
            <w:r>
              <w:rPr>
                <w:spacing w:val="-2"/>
                <w:sz w:val="18"/>
              </w:rPr>
              <w:t>2.313661</w:t>
            </w:r>
          </w:p>
        </w:tc>
      </w:tr>
      <w:tr>
        <w:trPr>
          <w:trHeight w:val="224" w:hRule="atLeast"/>
        </w:trPr>
        <w:tc>
          <w:tcPr>
            <w:tcW w:w="583" w:type="dxa"/>
          </w:tcPr>
          <w:p>
            <w:pPr>
              <w:pStyle w:val="TableParagraph"/>
              <w:spacing w:before="5"/>
              <w:ind w:right="77"/>
              <w:jc w:val="center"/>
              <w:rPr>
                <w:sz w:val="18"/>
              </w:rPr>
            </w:pPr>
            <w:r>
              <w:rPr>
                <w:spacing w:val="-4"/>
                <w:sz w:val="18"/>
              </w:rPr>
              <w:t>1994</w:t>
            </w:r>
          </w:p>
        </w:tc>
        <w:tc>
          <w:tcPr>
            <w:tcW w:w="957" w:type="dxa"/>
          </w:tcPr>
          <w:p>
            <w:pPr>
              <w:pStyle w:val="TableParagraph"/>
              <w:spacing w:before="5"/>
              <w:ind w:right="73"/>
              <w:jc w:val="right"/>
              <w:rPr>
                <w:sz w:val="18"/>
              </w:rPr>
            </w:pPr>
            <w:r>
              <w:rPr>
                <w:spacing w:val="-2"/>
                <w:sz w:val="18"/>
              </w:rPr>
              <w:t>4.279440</w:t>
            </w:r>
          </w:p>
        </w:tc>
        <w:tc>
          <w:tcPr>
            <w:tcW w:w="901" w:type="dxa"/>
          </w:tcPr>
          <w:p>
            <w:pPr>
              <w:pStyle w:val="TableParagraph"/>
              <w:spacing w:before="5"/>
              <w:ind w:right="71"/>
              <w:jc w:val="right"/>
              <w:rPr>
                <w:sz w:val="18"/>
              </w:rPr>
            </w:pPr>
            <w:r>
              <w:rPr>
                <w:spacing w:val="-2"/>
                <w:sz w:val="18"/>
              </w:rPr>
              <w:t>9.902443</w:t>
            </w:r>
          </w:p>
        </w:tc>
        <w:tc>
          <w:tcPr>
            <w:tcW w:w="990" w:type="dxa"/>
          </w:tcPr>
          <w:p>
            <w:pPr>
              <w:pStyle w:val="TableParagraph"/>
              <w:spacing w:before="5"/>
              <w:ind w:right="161"/>
              <w:jc w:val="right"/>
              <w:rPr>
                <w:sz w:val="18"/>
              </w:rPr>
            </w:pPr>
            <w:r>
              <w:rPr>
                <w:spacing w:val="-2"/>
                <w:sz w:val="18"/>
              </w:rPr>
              <w:t>3.986574</w:t>
            </w:r>
          </w:p>
        </w:tc>
        <w:tc>
          <w:tcPr>
            <w:tcW w:w="989" w:type="dxa"/>
          </w:tcPr>
          <w:p>
            <w:pPr>
              <w:pStyle w:val="TableParagraph"/>
              <w:spacing w:before="5"/>
              <w:ind w:right="70"/>
              <w:jc w:val="right"/>
              <w:rPr>
                <w:sz w:val="18"/>
              </w:rPr>
            </w:pPr>
            <w:r>
              <w:rPr>
                <w:spacing w:val="-2"/>
                <w:sz w:val="18"/>
              </w:rPr>
              <w:t>4.696381</w:t>
            </w:r>
          </w:p>
        </w:tc>
        <w:tc>
          <w:tcPr>
            <w:tcW w:w="913" w:type="dxa"/>
          </w:tcPr>
          <w:p>
            <w:pPr>
              <w:pStyle w:val="TableParagraph"/>
              <w:spacing w:before="5"/>
              <w:ind w:right="83"/>
              <w:jc w:val="right"/>
              <w:rPr>
                <w:sz w:val="18"/>
              </w:rPr>
            </w:pPr>
            <w:r>
              <w:rPr>
                <w:spacing w:val="-2"/>
                <w:sz w:val="18"/>
              </w:rPr>
              <w:t>3.044522</w:t>
            </w:r>
          </w:p>
        </w:tc>
        <w:tc>
          <w:tcPr>
            <w:tcW w:w="1018" w:type="dxa"/>
          </w:tcPr>
          <w:p>
            <w:pPr>
              <w:pStyle w:val="TableParagraph"/>
              <w:spacing w:before="5"/>
              <w:ind w:right="112"/>
              <w:jc w:val="right"/>
              <w:rPr>
                <w:sz w:val="18"/>
              </w:rPr>
            </w:pPr>
            <w:r>
              <w:rPr>
                <w:spacing w:val="-2"/>
                <w:sz w:val="18"/>
              </w:rPr>
              <w:t>3.093313</w:t>
            </w:r>
          </w:p>
        </w:tc>
        <w:tc>
          <w:tcPr>
            <w:tcW w:w="1034" w:type="dxa"/>
          </w:tcPr>
          <w:p>
            <w:pPr>
              <w:pStyle w:val="TableParagraph"/>
              <w:spacing w:before="5"/>
              <w:ind w:right="157"/>
              <w:jc w:val="right"/>
              <w:rPr>
                <w:sz w:val="18"/>
              </w:rPr>
            </w:pPr>
            <w:r>
              <w:rPr>
                <w:spacing w:val="-2"/>
                <w:sz w:val="18"/>
              </w:rPr>
              <w:t>5.692384</w:t>
            </w:r>
          </w:p>
        </w:tc>
        <w:tc>
          <w:tcPr>
            <w:tcW w:w="976" w:type="dxa"/>
          </w:tcPr>
          <w:p>
            <w:pPr>
              <w:pStyle w:val="TableParagraph"/>
              <w:spacing w:before="5"/>
              <w:ind w:right="50"/>
              <w:jc w:val="right"/>
              <w:rPr>
                <w:sz w:val="18"/>
              </w:rPr>
            </w:pPr>
            <w:r>
              <w:rPr>
                <w:spacing w:val="-2"/>
                <w:sz w:val="18"/>
              </w:rPr>
              <w:t>3.086030</w:t>
            </w:r>
          </w:p>
        </w:tc>
        <w:tc>
          <w:tcPr>
            <w:tcW w:w="1069" w:type="dxa"/>
          </w:tcPr>
          <w:p>
            <w:pPr>
              <w:pStyle w:val="TableParagraph"/>
              <w:spacing w:before="5"/>
              <w:ind w:right="39"/>
              <w:jc w:val="right"/>
              <w:rPr>
                <w:sz w:val="18"/>
              </w:rPr>
            </w:pPr>
            <w:r>
              <w:rPr>
                <w:spacing w:val="-2"/>
                <w:sz w:val="18"/>
              </w:rPr>
              <w:t>2.092925</w:t>
            </w:r>
          </w:p>
        </w:tc>
      </w:tr>
      <w:tr>
        <w:trPr>
          <w:trHeight w:val="225" w:hRule="atLeast"/>
        </w:trPr>
        <w:tc>
          <w:tcPr>
            <w:tcW w:w="583" w:type="dxa"/>
          </w:tcPr>
          <w:p>
            <w:pPr>
              <w:pStyle w:val="TableParagraph"/>
              <w:ind w:right="77"/>
              <w:jc w:val="center"/>
              <w:rPr>
                <w:sz w:val="18"/>
              </w:rPr>
            </w:pPr>
            <w:r>
              <w:rPr>
                <w:spacing w:val="-4"/>
                <w:sz w:val="18"/>
              </w:rPr>
              <w:t>1995</w:t>
            </w:r>
          </w:p>
        </w:tc>
        <w:tc>
          <w:tcPr>
            <w:tcW w:w="957" w:type="dxa"/>
          </w:tcPr>
          <w:p>
            <w:pPr>
              <w:pStyle w:val="TableParagraph"/>
              <w:ind w:right="73"/>
              <w:jc w:val="right"/>
              <w:rPr>
                <w:sz w:val="18"/>
              </w:rPr>
            </w:pPr>
            <w:r>
              <w:rPr>
                <w:spacing w:val="-2"/>
                <w:sz w:val="18"/>
              </w:rPr>
              <w:t>4.228293</w:t>
            </w:r>
          </w:p>
        </w:tc>
        <w:tc>
          <w:tcPr>
            <w:tcW w:w="901" w:type="dxa"/>
          </w:tcPr>
          <w:p>
            <w:pPr>
              <w:pStyle w:val="TableParagraph"/>
              <w:ind w:right="71"/>
              <w:jc w:val="right"/>
              <w:rPr>
                <w:sz w:val="18"/>
              </w:rPr>
            </w:pPr>
            <w:r>
              <w:rPr>
                <w:spacing w:val="-2"/>
                <w:sz w:val="18"/>
              </w:rPr>
              <w:t>9.920993</w:t>
            </w:r>
          </w:p>
        </w:tc>
        <w:tc>
          <w:tcPr>
            <w:tcW w:w="990" w:type="dxa"/>
          </w:tcPr>
          <w:p>
            <w:pPr>
              <w:pStyle w:val="TableParagraph"/>
              <w:ind w:right="161"/>
              <w:jc w:val="right"/>
              <w:rPr>
                <w:sz w:val="18"/>
              </w:rPr>
            </w:pPr>
            <w:r>
              <w:rPr>
                <w:spacing w:val="-2"/>
                <w:sz w:val="18"/>
              </w:rPr>
              <w:t>4.586089</w:t>
            </w:r>
          </w:p>
        </w:tc>
        <w:tc>
          <w:tcPr>
            <w:tcW w:w="989" w:type="dxa"/>
          </w:tcPr>
          <w:p>
            <w:pPr>
              <w:pStyle w:val="TableParagraph"/>
              <w:ind w:right="70"/>
              <w:jc w:val="right"/>
              <w:rPr>
                <w:sz w:val="18"/>
              </w:rPr>
            </w:pPr>
            <w:r>
              <w:rPr>
                <w:spacing w:val="-2"/>
                <w:sz w:val="18"/>
              </w:rPr>
              <w:t>4.722775</w:t>
            </w:r>
          </w:p>
        </w:tc>
        <w:tc>
          <w:tcPr>
            <w:tcW w:w="913" w:type="dxa"/>
          </w:tcPr>
          <w:p>
            <w:pPr>
              <w:pStyle w:val="TableParagraph"/>
              <w:ind w:right="83"/>
              <w:jc w:val="right"/>
              <w:rPr>
                <w:sz w:val="18"/>
              </w:rPr>
            </w:pPr>
            <w:r>
              <w:rPr>
                <w:spacing w:val="-2"/>
                <w:sz w:val="18"/>
              </w:rPr>
              <w:t>3.004692</w:t>
            </w:r>
          </w:p>
        </w:tc>
        <w:tc>
          <w:tcPr>
            <w:tcW w:w="1018" w:type="dxa"/>
          </w:tcPr>
          <w:p>
            <w:pPr>
              <w:pStyle w:val="TableParagraph"/>
              <w:ind w:right="112"/>
              <w:jc w:val="right"/>
              <w:rPr>
                <w:sz w:val="18"/>
              </w:rPr>
            </w:pPr>
            <w:r>
              <w:rPr>
                <w:spacing w:val="-2"/>
                <w:sz w:val="18"/>
              </w:rPr>
              <w:t>3.086030</w:t>
            </w:r>
          </w:p>
        </w:tc>
        <w:tc>
          <w:tcPr>
            <w:tcW w:w="1034" w:type="dxa"/>
          </w:tcPr>
          <w:p>
            <w:pPr>
              <w:pStyle w:val="TableParagraph"/>
              <w:ind w:right="157"/>
              <w:jc w:val="right"/>
              <w:rPr>
                <w:sz w:val="18"/>
              </w:rPr>
            </w:pPr>
            <w:r>
              <w:rPr>
                <w:spacing w:val="-2"/>
                <w:sz w:val="18"/>
              </w:rPr>
              <w:t>3.100092</w:t>
            </w:r>
          </w:p>
        </w:tc>
        <w:tc>
          <w:tcPr>
            <w:tcW w:w="976" w:type="dxa"/>
          </w:tcPr>
          <w:p>
            <w:pPr>
              <w:pStyle w:val="TableParagraph"/>
              <w:ind w:right="50"/>
              <w:jc w:val="right"/>
              <w:rPr>
                <w:sz w:val="18"/>
              </w:rPr>
            </w:pPr>
            <w:r>
              <w:rPr>
                <w:spacing w:val="-2"/>
                <w:sz w:val="18"/>
              </w:rPr>
              <w:t>3.086030</w:t>
            </w:r>
          </w:p>
        </w:tc>
        <w:tc>
          <w:tcPr>
            <w:tcW w:w="1069" w:type="dxa"/>
          </w:tcPr>
          <w:p>
            <w:pPr>
              <w:pStyle w:val="TableParagraph"/>
              <w:ind w:right="39"/>
              <w:jc w:val="right"/>
              <w:rPr>
                <w:sz w:val="18"/>
              </w:rPr>
            </w:pPr>
            <w:r>
              <w:rPr>
                <w:spacing w:val="-2"/>
                <w:sz w:val="18"/>
              </w:rPr>
              <w:t>1.758920</w:t>
            </w:r>
          </w:p>
        </w:tc>
      </w:tr>
      <w:tr>
        <w:trPr>
          <w:trHeight w:val="225" w:hRule="atLeast"/>
        </w:trPr>
        <w:tc>
          <w:tcPr>
            <w:tcW w:w="583" w:type="dxa"/>
          </w:tcPr>
          <w:p>
            <w:pPr>
              <w:pStyle w:val="TableParagraph"/>
              <w:ind w:right="77"/>
              <w:jc w:val="center"/>
              <w:rPr>
                <w:sz w:val="18"/>
              </w:rPr>
            </w:pPr>
            <w:r>
              <w:rPr>
                <w:spacing w:val="-4"/>
                <w:sz w:val="18"/>
              </w:rPr>
              <w:t>1996</w:t>
            </w:r>
          </w:p>
        </w:tc>
        <w:tc>
          <w:tcPr>
            <w:tcW w:w="957" w:type="dxa"/>
          </w:tcPr>
          <w:p>
            <w:pPr>
              <w:pStyle w:val="TableParagraph"/>
              <w:ind w:right="73"/>
              <w:jc w:val="right"/>
              <w:rPr>
                <w:sz w:val="18"/>
              </w:rPr>
            </w:pPr>
            <w:r>
              <w:rPr>
                <w:spacing w:val="-2"/>
                <w:sz w:val="18"/>
              </w:rPr>
              <w:t>4.415220</w:t>
            </w:r>
          </w:p>
        </w:tc>
        <w:tc>
          <w:tcPr>
            <w:tcW w:w="901" w:type="dxa"/>
          </w:tcPr>
          <w:p>
            <w:pPr>
              <w:pStyle w:val="TableParagraph"/>
              <w:ind w:right="71"/>
              <w:jc w:val="right"/>
              <w:rPr>
                <w:sz w:val="18"/>
              </w:rPr>
            </w:pPr>
            <w:r>
              <w:rPr>
                <w:spacing w:val="-2"/>
                <w:sz w:val="18"/>
              </w:rPr>
              <w:t>9.960714</w:t>
            </w:r>
          </w:p>
        </w:tc>
        <w:tc>
          <w:tcPr>
            <w:tcW w:w="990" w:type="dxa"/>
          </w:tcPr>
          <w:p>
            <w:pPr>
              <w:pStyle w:val="TableParagraph"/>
              <w:ind w:right="161"/>
              <w:jc w:val="right"/>
              <w:rPr>
                <w:sz w:val="18"/>
              </w:rPr>
            </w:pPr>
            <w:r>
              <w:rPr>
                <w:spacing w:val="-2"/>
                <w:sz w:val="18"/>
              </w:rPr>
              <w:t>4.615121</w:t>
            </w:r>
          </w:p>
        </w:tc>
        <w:tc>
          <w:tcPr>
            <w:tcW w:w="989" w:type="dxa"/>
          </w:tcPr>
          <w:p>
            <w:pPr>
              <w:pStyle w:val="TableParagraph"/>
              <w:ind w:right="70"/>
              <w:jc w:val="right"/>
              <w:rPr>
                <w:sz w:val="18"/>
              </w:rPr>
            </w:pPr>
            <w:r>
              <w:rPr>
                <w:spacing w:val="-2"/>
                <w:sz w:val="18"/>
              </w:rPr>
              <w:t>2.791165</w:t>
            </w:r>
          </w:p>
        </w:tc>
        <w:tc>
          <w:tcPr>
            <w:tcW w:w="913" w:type="dxa"/>
          </w:tcPr>
          <w:p>
            <w:pPr>
              <w:pStyle w:val="TableParagraph"/>
              <w:ind w:right="83"/>
              <w:jc w:val="right"/>
              <w:rPr>
                <w:sz w:val="18"/>
              </w:rPr>
            </w:pPr>
            <w:r>
              <w:rPr>
                <w:spacing w:val="-2"/>
                <w:sz w:val="18"/>
              </w:rPr>
              <w:t>2.982647</w:t>
            </w:r>
          </w:p>
        </w:tc>
        <w:tc>
          <w:tcPr>
            <w:tcW w:w="1018" w:type="dxa"/>
          </w:tcPr>
          <w:p>
            <w:pPr>
              <w:pStyle w:val="TableParagraph"/>
              <w:ind w:right="112"/>
              <w:jc w:val="right"/>
              <w:rPr>
                <w:sz w:val="18"/>
              </w:rPr>
            </w:pPr>
            <w:r>
              <w:rPr>
                <w:spacing w:val="-2"/>
                <w:sz w:val="18"/>
              </w:rPr>
              <w:t>3.086030</w:t>
            </w:r>
          </w:p>
        </w:tc>
        <w:tc>
          <w:tcPr>
            <w:tcW w:w="1034" w:type="dxa"/>
          </w:tcPr>
          <w:p>
            <w:pPr>
              <w:pStyle w:val="TableParagraph"/>
              <w:ind w:right="157"/>
              <w:jc w:val="right"/>
              <w:rPr>
                <w:sz w:val="18"/>
              </w:rPr>
            </w:pPr>
            <w:r>
              <w:rPr>
                <w:spacing w:val="-2"/>
                <w:sz w:val="18"/>
              </w:rPr>
              <w:t>4.329417</w:t>
            </w:r>
          </w:p>
        </w:tc>
        <w:tc>
          <w:tcPr>
            <w:tcW w:w="976" w:type="dxa"/>
          </w:tcPr>
          <w:p>
            <w:pPr>
              <w:pStyle w:val="TableParagraph"/>
              <w:ind w:right="50"/>
              <w:jc w:val="right"/>
              <w:rPr>
                <w:sz w:val="18"/>
              </w:rPr>
            </w:pPr>
            <w:r>
              <w:rPr>
                <w:spacing w:val="-2"/>
                <w:sz w:val="18"/>
              </w:rPr>
              <w:t>3.086030</w:t>
            </w:r>
          </w:p>
        </w:tc>
        <w:tc>
          <w:tcPr>
            <w:tcW w:w="1069" w:type="dxa"/>
          </w:tcPr>
          <w:p>
            <w:pPr>
              <w:pStyle w:val="TableParagraph"/>
              <w:ind w:right="39"/>
              <w:jc w:val="right"/>
              <w:rPr>
                <w:sz w:val="18"/>
              </w:rPr>
            </w:pPr>
            <w:r>
              <w:rPr>
                <w:spacing w:val="-2"/>
                <w:sz w:val="18"/>
              </w:rPr>
              <w:t>1.764607</w:t>
            </w:r>
          </w:p>
        </w:tc>
      </w:tr>
      <w:tr>
        <w:trPr>
          <w:trHeight w:val="224" w:hRule="atLeast"/>
        </w:trPr>
        <w:tc>
          <w:tcPr>
            <w:tcW w:w="583" w:type="dxa"/>
          </w:tcPr>
          <w:p>
            <w:pPr>
              <w:pStyle w:val="TableParagraph"/>
              <w:spacing w:line="198" w:lineRule="exact"/>
              <w:ind w:right="77"/>
              <w:jc w:val="center"/>
              <w:rPr>
                <w:sz w:val="18"/>
              </w:rPr>
            </w:pPr>
            <w:r>
              <w:rPr>
                <w:spacing w:val="-4"/>
                <w:sz w:val="18"/>
              </w:rPr>
              <w:t>1997</w:t>
            </w:r>
          </w:p>
        </w:tc>
        <w:tc>
          <w:tcPr>
            <w:tcW w:w="957" w:type="dxa"/>
          </w:tcPr>
          <w:p>
            <w:pPr>
              <w:pStyle w:val="TableParagraph"/>
              <w:spacing w:line="198" w:lineRule="exact"/>
              <w:ind w:right="73"/>
              <w:jc w:val="right"/>
              <w:rPr>
                <w:sz w:val="18"/>
              </w:rPr>
            </w:pPr>
            <w:r>
              <w:rPr>
                <w:spacing w:val="-2"/>
                <w:sz w:val="18"/>
              </w:rPr>
              <w:t>4.577799</w:t>
            </w:r>
          </w:p>
        </w:tc>
        <w:tc>
          <w:tcPr>
            <w:tcW w:w="901" w:type="dxa"/>
          </w:tcPr>
          <w:p>
            <w:pPr>
              <w:pStyle w:val="TableParagraph"/>
              <w:spacing w:line="198" w:lineRule="exact"/>
              <w:ind w:right="71"/>
              <w:jc w:val="right"/>
              <w:rPr>
                <w:sz w:val="18"/>
              </w:rPr>
            </w:pPr>
            <w:r>
              <w:rPr>
                <w:spacing w:val="-2"/>
                <w:sz w:val="18"/>
              </w:rPr>
              <w:t>9.989165</w:t>
            </w:r>
          </w:p>
        </w:tc>
        <w:tc>
          <w:tcPr>
            <w:tcW w:w="990" w:type="dxa"/>
          </w:tcPr>
          <w:p>
            <w:pPr>
              <w:pStyle w:val="TableParagraph"/>
              <w:spacing w:line="198" w:lineRule="exact"/>
              <w:ind w:right="161"/>
              <w:jc w:val="right"/>
              <w:rPr>
                <w:sz w:val="18"/>
              </w:rPr>
            </w:pPr>
            <w:r>
              <w:rPr>
                <w:spacing w:val="-2"/>
                <w:sz w:val="18"/>
              </w:rPr>
              <w:t>5.249442</w:t>
            </w:r>
          </w:p>
        </w:tc>
        <w:tc>
          <w:tcPr>
            <w:tcW w:w="989" w:type="dxa"/>
          </w:tcPr>
          <w:p>
            <w:pPr>
              <w:pStyle w:val="TableParagraph"/>
              <w:spacing w:line="198" w:lineRule="exact"/>
              <w:ind w:right="70"/>
              <w:jc w:val="right"/>
              <w:rPr>
                <w:sz w:val="18"/>
              </w:rPr>
            </w:pPr>
            <w:r>
              <w:rPr>
                <w:spacing w:val="-2"/>
                <w:sz w:val="18"/>
              </w:rPr>
              <w:t>3.139833</w:t>
            </w:r>
          </w:p>
        </w:tc>
        <w:tc>
          <w:tcPr>
            <w:tcW w:w="913" w:type="dxa"/>
          </w:tcPr>
          <w:p>
            <w:pPr>
              <w:pStyle w:val="TableParagraph"/>
              <w:spacing w:line="198" w:lineRule="exact"/>
              <w:ind w:right="83"/>
              <w:jc w:val="right"/>
              <w:rPr>
                <w:sz w:val="18"/>
              </w:rPr>
            </w:pPr>
            <w:r>
              <w:rPr>
                <w:spacing w:val="-2"/>
                <w:sz w:val="18"/>
              </w:rPr>
              <w:t>2.605648</w:t>
            </w:r>
          </w:p>
        </w:tc>
        <w:tc>
          <w:tcPr>
            <w:tcW w:w="1018" w:type="dxa"/>
          </w:tcPr>
          <w:p>
            <w:pPr>
              <w:pStyle w:val="TableParagraph"/>
              <w:spacing w:line="198" w:lineRule="exact"/>
              <w:ind w:right="112"/>
              <w:jc w:val="right"/>
              <w:rPr>
                <w:sz w:val="18"/>
              </w:rPr>
            </w:pPr>
            <w:r>
              <w:rPr>
                <w:spacing w:val="-2"/>
                <w:sz w:val="18"/>
              </w:rPr>
              <w:t>3.086030</w:t>
            </w:r>
          </w:p>
        </w:tc>
        <w:tc>
          <w:tcPr>
            <w:tcW w:w="1034" w:type="dxa"/>
          </w:tcPr>
          <w:p>
            <w:pPr>
              <w:pStyle w:val="TableParagraph"/>
              <w:spacing w:line="198" w:lineRule="exact"/>
              <w:ind w:right="157"/>
              <w:jc w:val="right"/>
              <w:rPr>
                <w:sz w:val="18"/>
              </w:rPr>
            </w:pPr>
            <w:r>
              <w:rPr>
                <w:spacing w:val="-2"/>
                <w:sz w:val="18"/>
              </w:rPr>
              <w:t>4.712229</w:t>
            </w:r>
          </w:p>
        </w:tc>
        <w:tc>
          <w:tcPr>
            <w:tcW w:w="976" w:type="dxa"/>
          </w:tcPr>
          <w:p>
            <w:pPr>
              <w:pStyle w:val="TableParagraph"/>
              <w:spacing w:line="198" w:lineRule="exact"/>
              <w:ind w:right="50"/>
              <w:jc w:val="right"/>
              <w:rPr>
                <w:sz w:val="18"/>
              </w:rPr>
            </w:pPr>
            <w:r>
              <w:rPr>
                <w:spacing w:val="-2"/>
                <w:sz w:val="18"/>
              </w:rPr>
              <w:t>3.086030</w:t>
            </w:r>
          </w:p>
        </w:tc>
        <w:tc>
          <w:tcPr>
            <w:tcW w:w="1069" w:type="dxa"/>
          </w:tcPr>
          <w:p>
            <w:pPr>
              <w:pStyle w:val="TableParagraph"/>
              <w:spacing w:line="198" w:lineRule="exact"/>
              <w:ind w:right="39"/>
              <w:jc w:val="right"/>
              <w:rPr>
                <w:sz w:val="18"/>
              </w:rPr>
            </w:pPr>
            <w:r>
              <w:rPr>
                <w:spacing w:val="-2"/>
                <w:sz w:val="18"/>
              </w:rPr>
              <w:t>1.967965</w:t>
            </w:r>
          </w:p>
        </w:tc>
      </w:tr>
      <w:tr>
        <w:trPr>
          <w:trHeight w:val="224" w:hRule="atLeast"/>
        </w:trPr>
        <w:tc>
          <w:tcPr>
            <w:tcW w:w="583" w:type="dxa"/>
          </w:tcPr>
          <w:p>
            <w:pPr>
              <w:pStyle w:val="TableParagraph"/>
              <w:spacing w:before="5"/>
              <w:ind w:right="77"/>
              <w:jc w:val="center"/>
              <w:rPr>
                <w:sz w:val="18"/>
              </w:rPr>
            </w:pPr>
            <w:r>
              <w:rPr>
                <w:spacing w:val="-4"/>
                <w:sz w:val="18"/>
              </w:rPr>
              <w:t>1998</w:t>
            </w:r>
          </w:p>
        </w:tc>
        <w:tc>
          <w:tcPr>
            <w:tcW w:w="957" w:type="dxa"/>
          </w:tcPr>
          <w:p>
            <w:pPr>
              <w:pStyle w:val="TableParagraph"/>
              <w:spacing w:before="5"/>
              <w:ind w:right="73"/>
              <w:jc w:val="right"/>
              <w:rPr>
                <w:sz w:val="18"/>
              </w:rPr>
            </w:pPr>
            <w:r>
              <w:rPr>
                <w:spacing w:val="-2"/>
                <w:sz w:val="18"/>
              </w:rPr>
              <w:t>4.412798</w:t>
            </w:r>
          </w:p>
        </w:tc>
        <w:tc>
          <w:tcPr>
            <w:tcW w:w="901" w:type="dxa"/>
          </w:tcPr>
          <w:p>
            <w:pPr>
              <w:pStyle w:val="TableParagraph"/>
              <w:spacing w:before="5"/>
              <w:ind w:right="71"/>
              <w:jc w:val="right"/>
              <w:rPr>
                <w:sz w:val="18"/>
              </w:rPr>
            </w:pPr>
            <w:r>
              <w:rPr>
                <w:spacing w:val="-2"/>
                <w:sz w:val="18"/>
              </w:rPr>
              <w:t>10.01381</w:t>
            </w:r>
          </w:p>
        </w:tc>
        <w:tc>
          <w:tcPr>
            <w:tcW w:w="990" w:type="dxa"/>
          </w:tcPr>
          <w:p>
            <w:pPr>
              <w:pStyle w:val="TableParagraph"/>
              <w:spacing w:before="5"/>
              <w:ind w:right="161"/>
              <w:jc w:val="right"/>
              <w:rPr>
                <w:sz w:val="18"/>
              </w:rPr>
            </w:pPr>
            <w:r>
              <w:rPr>
                <w:spacing w:val="-2"/>
                <w:sz w:val="18"/>
              </w:rPr>
              <w:t>5.261498</w:t>
            </w:r>
          </w:p>
        </w:tc>
        <w:tc>
          <w:tcPr>
            <w:tcW w:w="989" w:type="dxa"/>
          </w:tcPr>
          <w:p>
            <w:pPr>
              <w:pStyle w:val="TableParagraph"/>
              <w:spacing w:before="5"/>
              <w:ind w:right="70"/>
              <w:jc w:val="right"/>
              <w:rPr>
                <w:sz w:val="18"/>
              </w:rPr>
            </w:pPr>
            <w:r>
              <w:rPr>
                <w:spacing w:val="-2"/>
                <w:sz w:val="18"/>
              </w:rPr>
              <w:t>3.440418</w:t>
            </w:r>
          </w:p>
        </w:tc>
        <w:tc>
          <w:tcPr>
            <w:tcW w:w="913" w:type="dxa"/>
          </w:tcPr>
          <w:p>
            <w:pPr>
              <w:pStyle w:val="TableParagraph"/>
              <w:spacing w:before="5"/>
              <w:ind w:right="83"/>
              <w:jc w:val="right"/>
              <w:rPr>
                <w:sz w:val="18"/>
              </w:rPr>
            </w:pPr>
            <w:r>
              <w:rPr>
                <w:spacing w:val="-2"/>
                <w:sz w:val="18"/>
              </w:rPr>
              <w:t>2.906354</w:t>
            </w:r>
          </w:p>
        </w:tc>
        <w:tc>
          <w:tcPr>
            <w:tcW w:w="1018" w:type="dxa"/>
          </w:tcPr>
          <w:p>
            <w:pPr>
              <w:pStyle w:val="TableParagraph"/>
              <w:spacing w:before="5"/>
              <w:ind w:right="112"/>
              <w:jc w:val="right"/>
              <w:rPr>
                <w:sz w:val="18"/>
              </w:rPr>
            </w:pPr>
            <w:r>
              <w:rPr>
                <w:spacing w:val="-2"/>
                <w:sz w:val="18"/>
              </w:rPr>
              <w:t>3.086030</w:t>
            </w:r>
          </w:p>
        </w:tc>
        <w:tc>
          <w:tcPr>
            <w:tcW w:w="1034" w:type="dxa"/>
          </w:tcPr>
          <w:p>
            <w:pPr>
              <w:pStyle w:val="TableParagraph"/>
              <w:spacing w:before="5"/>
              <w:ind w:right="157"/>
              <w:jc w:val="right"/>
              <w:rPr>
                <w:sz w:val="18"/>
              </w:rPr>
            </w:pPr>
            <w:r>
              <w:rPr>
                <w:spacing w:val="-2"/>
                <w:sz w:val="18"/>
              </w:rPr>
              <w:t>4.705016</w:t>
            </w:r>
          </w:p>
        </w:tc>
        <w:tc>
          <w:tcPr>
            <w:tcW w:w="976" w:type="dxa"/>
          </w:tcPr>
          <w:p>
            <w:pPr>
              <w:pStyle w:val="TableParagraph"/>
              <w:spacing w:before="5"/>
              <w:ind w:right="50"/>
              <w:jc w:val="right"/>
              <w:rPr>
                <w:sz w:val="18"/>
              </w:rPr>
            </w:pPr>
            <w:r>
              <w:rPr>
                <w:spacing w:val="-2"/>
                <w:sz w:val="18"/>
              </w:rPr>
              <w:t>3.086030</w:t>
            </w:r>
          </w:p>
        </w:tc>
        <w:tc>
          <w:tcPr>
            <w:tcW w:w="1069" w:type="dxa"/>
          </w:tcPr>
          <w:p>
            <w:pPr>
              <w:pStyle w:val="TableParagraph"/>
              <w:spacing w:before="5"/>
              <w:ind w:right="39"/>
              <w:jc w:val="right"/>
              <w:rPr>
                <w:sz w:val="18"/>
              </w:rPr>
            </w:pPr>
            <w:r>
              <w:rPr>
                <w:spacing w:val="-2"/>
                <w:sz w:val="18"/>
              </w:rPr>
              <w:t>1.991232</w:t>
            </w:r>
          </w:p>
        </w:tc>
      </w:tr>
      <w:tr>
        <w:trPr>
          <w:trHeight w:val="225" w:hRule="atLeast"/>
        </w:trPr>
        <w:tc>
          <w:tcPr>
            <w:tcW w:w="583" w:type="dxa"/>
          </w:tcPr>
          <w:p>
            <w:pPr>
              <w:pStyle w:val="TableParagraph"/>
              <w:ind w:right="77"/>
              <w:jc w:val="center"/>
              <w:rPr>
                <w:sz w:val="18"/>
              </w:rPr>
            </w:pPr>
            <w:r>
              <w:rPr>
                <w:spacing w:val="-4"/>
                <w:sz w:val="18"/>
              </w:rPr>
              <w:t>1999</w:t>
            </w:r>
          </w:p>
        </w:tc>
        <w:tc>
          <w:tcPr>
            <w:tcW w:w="957" w:type="dxa"/>
          </w:tcPr>
          <w:p>
            <w:pPr>
              <w:pStyle w:val="TableParagraph"/>
              <w:ind w:right="73"/>
              <w:jc w:val="right"/>
              <w:rPr>
                <w:sz w:val="18"/>
              </w:rPr>
            </w:pPr>
            <w:r>
              <w:rPr>
                <w:spacing w:val="-2"/>
                <w:sz w:val="18"/>
              </w:rPr>
              <w:t>4.460144</w:t>
            </w:r>
          </w:p>
        </w:tc>
        <w:tc>
          <w:tcPr>
            <w:tcW w:w="901" w:type="dxa"/>
          </w:tcPr>
          <w:p>
            <w:pPr>
              <w:pStyle w:val="TableParagraph"/>
              <w:ind w:right="71"/>
              <w:jc w:val="right"/>
              <w:rPr>
                <w:sz w:val="18"/>
              </w:rPr>
            </w:pPr>
            <w:r>
              <w:rPr>
                <w:spacing w:val="-2"/>
                <w:sz w:val="18"/>
              </w:rPr>
              <w:t>10.01902</w:t>
            </w:r>
          </w:p>
        </w:tc>
        <w:tc>
          <w:tcPr>
            <w:tcW w:w="990" w:type="dxa"/>
          </w:tcPr>
          <w:p>
            <w:pPr>
              <w:pStyle w:val="TableParagraph"/>
              <w:ind w:right="161"/>
              <w:jc w:val="right"/>
              <w:rPr>
                <w:sz w:val="18"/>
              </w:rPr>
            </w:pPr>
            <w:r>
              <w:rPr>
                <w:spacing w:val="-2"/>
                <w:sz w:val="18"/>
              </w:rPr>
              <w:t>5.307822</w:t>
            </w:r>
          </w:p>
        </w:tc>
        <w:tc>
          <w:tcPr>
            <w:tcW w:w="989" w:type="dxa"/>
          </w:tcPr>
          <w:p>
            <w:pPr>
              <w:pStyle w:val="TableParagraph"/>
              <w:ind w:right="70"/>
              <w:jc w:val="right"/>
              <w:rPr>
                <w:sz w:val="18"/>
              </w:rPr>
            </w:pPr>
            <w:r>
              <w:rPr>
                <w:spacing w:val="-2"/>
                <w:sz w:val="18"/>
              </w:rPr>
              <w:t>3.860730</w:t>
            </w:r>
          </w:p>
        </w:tc>
        <w:tc>
          <w:tcPr>
            <w:tcW w:w="913" w:type="dxa"/>
          </w:tcPr>
          <w:p>
            <w:pPr>
              <w:pStyle w:val="TableParagraph"/>
              <w:ind w:right="83"/>
              <w:jc w:val="right"/>
              <w:rPr>
                <w:sz w:val="18"/>
              </w:rPr>
            </w:pPr>
            <w:r>
              <w:rPr>
                <w:spacing w:val="-2"/>
                <w:sz w:val="18"/>
              </w:rPr>
              <w:t>3.059646</w:t>
            </w:r>
          </w:p>
        </w:tc>
        <w:tc>
          <w:tcPr>
            <w:tcW w:w="1018" w:type="dxa"/>
          </w:tcPr>
          <w:p>
            <w:pPr>
              <w:pStyle w:val="TableParagraph"/>
              <w:ind w:right="112"/>
              <w:jc w:val="right"/>
              <w:rPr>
                <w:sz w:val="18"/>
              </w:rPr>
            </w:pPr>
            <w:r>
              <w:rPr>
                <w:spacing w:val="-2"/>
                <w:sz w:val="18"/>
              </w:rPr>
              <w:t>3.086030</w:t>
            </w:r>
          </w:p>
        </w:tc>
        <w:tc>
          <w:tcPr>
            <w:tcW w:w="1034" w:type="dxa"/>
          </w:tcPr>
          <w:p>
            <w:pPr>
              <w:pStyle w:val="TableParagraph"/>
              <w:ind w:right="157"/>
              <w:jc w:val="right"/>
              <w:rPr>
                <w:sz w:val="18"/>
              </w:rPr>
            </w:pPr>
            <w:r>
              <w:rPr>
                <w:spacing w:val="-2"/>
                <w:sz w:val="18"/>
              </w:rPr>
              <w:t>4.390739</w:t>
            </w:r>
          </w:p>
        </w:tc>
        <w:tc>
          <w:tcPr>
            <w:tcW w:w="976" w:type="dxa"/>
          </w:tcPr>
          <w:p>
            <w:pPr>
              <w:pStyle w:val="TableParagraph"/>
              <w:ind w:right="50"/>
              <w:jc w:val="right"/>
              <w:rPr>
                <w:sz w:val="18"/>
              </w:rPr>
            </w:pPr>
            <w:r>
              <w:rPr>
                <w:spacing w:val="-2"/>
                <w:sz w:val="18"/>
              </w:rPr>
              <w:t>4.527425</w:t>
            </w:r>
          </w:p>
        </w:tc>
        <w:tc>
          <w:tcPr>
            <w:tcW w:w="1069" w:type="dxa"/>
          </w:tcPr>
          <w:p>
            <w:pPr>
              <w:pStyle w:val="TableParagraph"/>
              <w:ind w:right="39"/>
              <w:jc w:val="right"/>
              <w:rPr>
                <w:sz w:val="18"/>
              </w:rPr>
            </w:pPr>
            <w:r>
              <w:rPr>
                <w:spacing w:val="-2"/>
                <w:sz w:val="18"/>
              </w:rPr>
              <w:t>2.062379</w:t>
            </w:r>
          </w:p>
        </w:tc>
      </w:tr>
      <w:tr>
        <w:trPr>
          <w:trHeight w:val="225" w:hRule="atLeast"/>
        </w:trPr>
        <w:tc>
          <w:tcPr>
            <w:tcW w:w="583" w:type="dxa"/>
          </w:tcPr>
          <w:p>
            <w:pPr>
              <w:pStyle w:val="TableParagraph"/>
              <w:ind w:right="77"/>
              <w:jc w:val="center"/>
              <w:rPr>
                <w:sz w:val="18"/>
              </w:rPr>
            </w:pPr>
            <w:r>
              <w:rPr>
                <w:spacing w:val="-4"/>
                <w:sz w:val="18"/>
              </w:rPr>
              <w:t>2000</w:t>
            </w:r>
          </w:p>
        </w:tc>
        <w:tc>
          <w:tcPr>
            <w:tcW w:w="957" w:type="dxa"/>
          </w:tcPr>
          <w:p>
            <w:pPr>
              <w:pStyle w:val="TableParagraph"/>
              <w:ind w:right="73"/>
              <w:jc w:val="right"/>
              <w:rPr>
                <w:sz w:val="18"/>
              </w:rPr>
            </w:pPr>
            <w:r>
              <w:rPr>
                <w:spacing w:val="-2"/>
                <w:sz w:val="18"/>
              </w:rPr>
              <w:t>4.325456</w:t>
            </w:r>
          </w:p>
        </w:tc>
        <w:tc>
          <w:tcPr>
            <w:tcW w:w="901" w:type="dxa"/>
          </w:tcPr>
          <w:p>
            <w:pPr>
              <w:pStyle w:val="TableParagraph"/>
              <w:ind w:right="71"/>
              <w:jc w:val="right"/>
              <w:rPr>
                <w:sz w:val="18"/>
              </w:rPr>
            </w:pPr>
            <w:r>
              <w:rPr>
                <w:spacing w:val="-2"/>
                <w:sz w:val="18"/>
              </w:rPr>
              <w:t>10.07274</w:t>
            </w:r>
          </w:p>
        </w:tc>
        <w:tc>
          <w:tcPr>
            <w:tcW w:w="990" w:type="dxa"/>
          </w:tcPr>
          <w:p>
            <w:pPr>
              <w:pStyle w:val="TableParagraph"/>
              <w:ind w:right="161"/>
              <w:jc w:val="right"/>
              <w:rPr>
                <w:sz w:val="18"/>
              </w:rPr>
            </w:pPr>
            <w:r>
              <w:rPr>
                <w:spacing w:val="-2"/>
                <w:sz w:val="18"/>
              </w:rPr>
              <w:t>6.131205</w:t>
            </w:r>
          </w:p>
        </w:tc>
        <w:tc>
          <w:tcPr>
            <w:tcW w:w="989" w:type="dxa"/>
          </w:tcPr>
          <w:p>
            <w:pPr>
              <w:pStyle w:val="TableParagraph"/>
              <w:ind w:right="70"/>
              <w:jc w:val="right"/>
              <w:rPr>
                <w:sz w:val="18"/>
              </w:rPr>
            </w:pPr>
            <w:r>
              <w:rPr>
                <w:spacing w:val="-2"/>
                <w:sz w:val="18"/>
              </w:rPr>
              <w:t>4.194190</w:t>
            </w:r>
          </w:p>
        </w:tc>
        <w:tc>
          <w:tcPr>
            <w:tcW w:w="913" w:type="dxa"/>
          </w:tcPr>
          <w:p>
            <w:pPr>
              <w:pStyle w:val="TableParagraph"/>
              <w:ind w:right="83"/>
              <w:jc w:val="right"/>
              <w:rPr>
                <w:sz w:val="18"/>
              </w:rPr>
            </w:pPr>
            <w:r>
              <w:rPr>
                <w:spacing w:val="-2"/>
                <w:sz w:val="18"/>
              </w:rPr>
              <w:t>2.889260</w:t>
            </w:r>
          </w:p>
        </w:tc>
        <w:tc>
          <w:tcPr>
            <w:tcW w:w="1018" w:type="dxa"/>
          </w:tcPr>
          <w:p>
            <w:pPr>
              <w:pStyle w:val="TableParagraph"/>
              <w:ind w:right="112"/>
              <w:jc w:val="right"/>
              <w:rPr>
                <w:sz w:val="18"/>
              </w:rPr>
            </w:pPr>
            <w:r>
              <w:rPr>
                <w:spacing w:val="-2"/>
                <w:sz w:val="18"/>
              </w:rPr>
              <w:t>4.527425</w:t>
            </w:r>
          </w:p>
        </w:tc>
        <w:tc>
          <w:tcPr>
            <w:tcW w:w="1034" w:type="dxa"/>
          </w:tcPr>
          <w:p>
            <w:pPr>
              <w:pStyle w:val="TableParagraph"/>
              <w:ind w:right="157"/>
              <w:jc w:val="right"/>
              <w:rPr>
                <w:sz w:val="18"/>
              </w:rPr>
            </w:pPr>
            <w:r>
              <w:rPr>
                <w:spacing w:val="-2"/>
                <w:sz w:val="18"/>
              </w:rPr>
              <w:t>4.530447</w:t>
            </w:r>
          </w:p>
        </w:tc>
        <w:tc>
          <w:tcPr>
            <w:tcW w:w="976" w:type="dxa"/>
          </w:tcPr>
          <w:p>
            <w:pPr>
              <w:pStyle w:val="TableParagraph"/>
              <w:ind w:right="50"/>
              <w:jc w:val="right"/>
              <w:rPr>
                <w:sz w:val="18"/>
              </w:rPr>
            </w:pPr>
            <w:r>
              <w:rPr>
                <w:spacing w:val="-2"/>
                <w:sz w:val="18"/>
              </w:rPr>
              <w:t>4.696381</w:t>
            </w:r>
          </w:p>
        </w:tc>
        <w:tc>
          <w:tcPr>
            <w:tcW w:w="1069" w:type="dxa"/>
          </w:tcPr>
          <w:p>
            <w:pPr>
              <w:pStyle w:val="TableParagraph"/>
              <w:ind w:right="39"/>
              <w:jc w:val="right"/>
              <w:rPr>
                <w:sz w:val="18"/>
              </w:rPr>
            </w:pPr>
            <w:r>
              <w:rPr>
                <w:spacing w:val="-2"/>
                <w:sz w:val="18"/>
              </w:rPr>
              <w:t>2.016161</w:t>
            </w:r>
          </w:p>
        </w:tc>
      </w:tr>
      <w:tr>
        <w:trPr>
          <w:trHeight w:val="224" w:hRule="atLeast"/>
        </w:trPr>
        <w:tc>
          <w:tcPr>
            <w:tcW w:w="583" w:type="dxa"/>
          </w:tcPr>
          <w:p>
            <w:pPr>
              <w:pStyle w:val="TableParagraph"/>
              <w:spacing w:line="198" w:lineRule="exact"/>
              <w:ind w:right="77"/>
              <w:jc w:val="center"/>
              <w:rPr>
                <w:sz w:val="18"/>
              </w:rPr>
            </w:pPr>
            <w:r>
              <w:rPr>
                <w:spacing w:val="-4"/>
                <w:sz w:val="18"/>
              </w:rPr>
              <w:t>2001</w:t>
            </w:r>
          </w:p>
        </w:tc>
        <w:tc>
          <w:tcPr>
            <w:tcW w:w="957" w:type="dxa"/>
          </w:tcPr>
          <w:p>
            <w:pPr>
              <w:pStyle w:val="TableParagraph"/>
              <w:spacing w:line="198" w:lineRule="exact"/>
              <w:ind w:right="73"/>
              <w:jc w:val="right"/>
              <w:rPr>
                <w:sz w:val="18"/>
              </w:rPr>
            </w:pPr>
            <w:r>
              <w:rPr>
                <w:spacing w:val="-2"/>
                <w:sz w:val="18"/>
              </w:rPr>
              <w:t>4.051089</w:t>
            </w:r>
          </w:p>
        </w:tc>
        <w:tc>
          <w:tcPr>
            <w:tcW w:w="901" w:type="dxa"/>
          </w:tcPr>
          <w:p>
            <w:pPr>
              <w:pStyle w:val="TableParagraph"/>
              <w:spacing w:line="198" w:lineRule="exact"/>
              <w:ind w:right="71"/>
              <w:jc w:val="right"/>
              <w:rPr>
                <w:sz w:val="18"/>
              </w:rPr>
            </w:pPr>
            <w:r>
              <w:rPr>
                <w:spacing w:val="-2"/>
                <w:sz w:val="18"/>
              </w:rPr>
              <w:t>10.13728</w:t>
            </w:r>
          </w:p>
        </w:tc>
        <w:tc>
          <w:tcPr>
            <w:tcW w:w="990" w:type="dxa"/>
          </w:tcPr>
          <w:p>
            <w:pPr>
              <w:pStyle w:val="TableParagraph"/>
              <w:spacing w:line="198" w:lineRule="exact"/>
              <w:ind w:right="161"/>
              <w:jc w:val="right"/>
              <w:rPr>
                <w:sz w:val="18"/>
              </w:rPr>
            </w:pPr>
            <w:r>
              <w:rPr>
                <w:spacing w:val="-2"/>
                <w:sz w:val="18"/>
              </w:rPr>
              <w:t>6.260709</w:t>
            </w:r>
          </w:p>
        </w:tc>
        <w:tc>
          <w:tcPr>
            <w:tcW w:w="989" w:type="dxa"/>
          </w:tcPr>
          <w:p>
            <w:pPr>
              <w:pStyle w:val="TableParagraph"/>
              <w:spacing w:line="198" w:lineRule="exact"/>
              <w:ind w:right="70"/>
              <w:jc w:val="right"/>
              <w:rPr>
                <w:sz w:val="18"/>
              </w:rPr>
            </w:pPr>
            <w:r>
              <w:rPr>
                <w:spacing w:val="-2"/>
                <w:sz w:val="18"/>
              </w:rPr>
              <w:t>5.195177</w:t>
            </w:r>
          </w:p>
        </w:tc>
        <w:tc>
          <w:tcPr>
            <w:tcW w:w="913" w:type="dxa"/>
          </w:tcPr>
          <w:p>
            <w:pPr>
              <w:pStyle w:val="TableParagraph"/>
              <w:spacing w:line="198" w:lineRule="exact"/>
              <w:ind w:right="83"/>
              <w:jc w:val="right"/>
              <w:rPr>
                <w:sz w:val="18"/>
              </w:rPr>
            </w:pPr>
            <w:r>
              <w:rPr>
                <w:spacing w:val="-2"/>
                <w:sz w:val="18"/>
              </w:rPr>
              <w:t>2.906354</w:t>
            </w:r>
          </w:p>
        </w:tc>
        <w:tc>
          <w:tcPr>
            <w:tcW w:w="1018" w:type="dxa"/>
          </w:tcPr>
          <w:p>
            <w:pPr>
              <w:pStyle w:val="TableParagraph"/>
              <w:spacing w:line="198" w:lineRule="exact"/>
              <w:ind w:right="112"/>
              <w:jc w:val="right"/>
              <w:rPr>
                <w:sz w:val="18"/>
              </w:rPr>
            </w:pPr>
            <w:r>
              <w:rPr>
                <w:spacing w:val="-2"/>
                <w:sz w:val="18"/>
              </w:rPr>
              <w:t>4.696381</w:t>
            </w:r>
          </w:p>
        </w:tc>
        <w:tc>
          <w:tcPr>
            <w:tcW w:w="1034" w:type="dxa"/>
          </w:tcPr>
          <w:p>
            <w:pPr>
              <w:pStyle w:val="TableParagraph"/>
              <w:spacing w:line="198" w:lineRule="exact"/>
              <w:ind w:right="157"/>
              <w:jc w:val="right"/>
              <w:rPr>
                <w:sz w:val="18"/>
              </w:rPr>
            </w:pPr>
            <w:r>
              <w:rPr>
                <w:spacing w:val="-2"/>
                <w:sz w:val="18"/>
              </w:rPr>
              <w:t>4.753590</w:t>
            </w:r>
          </w:p>
        </w:tc>
        <w:tc>
          <w:tcPr>
            <w:tcW w:w="976" w:type="dxa"/>
          </w:tcPr>
          <w:p>
            <w:pPr>
              <w:pStyle w:val="TableParagraph"/>
              <w:spacing w:line="198" w:lineRule="exact"/>
              <w:ind w:right="50"/>
              <w:jc w:val="right"/>
              <w:rPr>
                <w:sz w:val="18"/>
              </w:rPr>
            </w:pPr>
            <w:r>
              <w:rPr>
                <w:spacing w:val="-2"/>
                <w:sz w:val="18"/>
              </w:rPr>
              <w:t>4.722775</w:t>
            </w:r>
          </w:p>
        </w:tc>
        <w:tc>
          <w:tcPr>
            <w:tcW w:w="1069" w:type="dxa"/>
          </w:tcPr>
          <w:p>
            <w:pPr>
              <w:pStyle w:val="TableParagraph"/>
              <w:spacing w:line="198" w:lineRule="exact"/>
              <w:ind w:right="39"/>
              <w:jc w:val="right"/>
              <w:rPr>
                <w:sz w:val="18"/>
              </w:rPr>
            </w:pPr>
            <w:r>
              <w:rPr>
                <w:spacing w:val="-2"/>
                <w:sz w:val="18"/>
              </w:rPr>
              <w:t>2.228909</w:t>
            </w:r>
          </w:p>
        </w:tc>
      </w:tr>
      <w:tr>
        <w:trPr>
          <w:trHeight w:val="224" w:hRule="atLeast"/>
        </w:trPr>
        <w:tc>
          <w:tcPr>
            <w:tcW w:w="583" w:type="dxa"/>
          </w:tcPr>
          <w:p>
            <w:pPr>
              <w:pStyle w:val="TableParagraph"/>
              <w:spacing w:before="5"/>
              <w:ind w:right="77"/>
              <w:jc w:val="center"/>
              <w:rPr>
                <w:sz w:val="18"/>
              </w:rPr>
            </w:pPr>
            <w:r>
              <w:rPr>
                <w:spacing w:val="-4"/>
                <w:sz w:val="18"/>
              </w:rPr>
              <w:t>2002</w:t>
            </w:r>
          </w:p>
        </w:tc>
        <w:tc>
          <w:tcPr>
            <w:tcW w:w="957" w:type="dxa"/>
          </w:tcPr>
          <w:p>
            <w:pPr>
              <w:pStyle w:val="TableParagraph"/>
              <w:spacing w:before="5"/>
              <w:ind w:right="73"/>
              <w:jc w:val="right"/>
              <w:rPr>
                <w:sz w:val="18"/>
              </w:rPr>
            </w:pPr>
            <w:r>
              <w:rPr>
                <w:spacing w:val="-2"/>
                <w:sz w:val="18"/>
              </w:rPr>
              <w:t>4.127941</w:t>
            </w:r>
          </w:p>
        </w:tc>
        <w:tc>
          <w:tcPr>
            <w:tcW w:w="901" w:type="dxa"/>
          </w:tcPr>
          <w:p>
            <w:pPr>
              <w:pStyle w:val="TableParagraph"/>
              <w:spacing w:before="5"/>
              <w:ind w:right="71"/>
              <w:jc w:val="right"/>
              <w:rPr>
                <w:sz w:val="18"/>
              </w:rPr>
            </w:pPr>
            <w:r>
              <w:rPr>
                <w:spacing w:val="-2"/>
                <w:sz w:val="18"/>
              </w:rPr>
              <w:t>10.27359</w:t>
            </w:r>
          </w:p>
        </w:tc>
        <w:tc>
          <w:tcPr>
            <w:tcW w:w="990" w:type="dxa"/>
          </w:tcPr>
          <w:p>
            <w:pPr>
              <w:pStyle w:val="TableParagraph"/>
              <w:spacing w:before="5"/>
              <w:ind w:right="161"/>
              <w:jc w:val="right"/>
              <w:rPr>
                <w:sz w:val="18"/>
              </w:rPr>
            </w:pPr>
            <w:r>
              <w:rPr>
                <w:spacing w:val="-2"/>
                <w:sz w:val="18"/>
              </w:rPr>
              <w:t>6.367861</w:t>
            </w:r>
          </w:p>
        </w:tc>
        <w:tc>
          <w:tcPr>
            <w:tcW w:w="989" w:type="dxa"/>
          </w:tcPr>
          <w:p>
            <w:pPr>
              <w:pStyle w:val="TableParagraph"/>
              <w:spacing w:before="5"/>
              <w:ind w:right="70"/>
              <w:jc w:val="right"/>
              <w:rPr>
                <w:sz w:val="18"/>
              </w:rPr>
            </w:pPr>
            <w:r>
              <w:rPr>
                <w:spacing w:val="-2"/>
                <w:sz w:val="18"/>
              </w:rPr>
              <w:t>5.655292</w:t>
            </w:r>
          </w:p>
        </w:tc>
        <w:tc>
          <w:tcPr>
            <w:tcW w:w="913" w:type="dxa"/>
          </w:tcPr>
          <w:p>
            <w:pPr>
              <w:pStyle w:val="TableParagraph"/>
              <w:spacing w:before="5"/>
              <w:ind w:right="83"/>
              <w:jc w:val="right"/>
              <w:rPr>
                <w:sz w:val="18"/>
              </w:rPr>
            </w:pPr>
            <w:r>
              <w:rPr>
                <w:spacing w:val="-2"/>
                <w:sz w:val="18"/>
              </w:rPr>
              <w:t>3.212858</w:t>
            </w:r>
          </w:p>
        </w:tc>
        <w:tc>
          <w:tcPr>
            <w:tcW w:w="1018" w:type="dxa"/>
          </w:tcPr>
          <w:p>
            <w:pPr>
              <w:pStyle w:val="TableParagraph"/>
              <w:spacing w:before="5"/>
              <w:ind w:right="112"/>
              <w:jc w:val="right"/>
              <w:rPr>
                <w:sz w:val="18"/>
              </w:rPr>
            </w:pPr>
            <w:r>
              <w:rPr>
                <w:spacing w:val="-2"/>
                <w:sz w:val="18"/>
              </w:rPr>
              <w:t>4.722775</w:t>
            </w:r>
          </w:p>
        </w:tc>
        <w:tc>
          <w:tcPr>
            <w:tcW w:w="1034" w:type="dxa"/>
          </w:tcPr>
          <w:p>
            <w:pPr>
              <w:pStyle w:val="TableParagraph"/>
              <w:spacing w:before="5"/>
              <w:ind w:right="157"/>
              <w:jc w:val="right"/>
              <w:rPr>
                <w:sz w:val="18"/>
              </w:rPr>
            </w:pPr>
            <w:r>
              <w:rPr>
                <w:spacing w:val="-2"/>
                <w:sz w:val="18"/>
              </w:rPr>
              <w:t>4.885828</w:t>
            </w:r>
          </w:p>
        </w:tc>
        <w:tc>
          <w:tcPr>
            <w:tcW w:w="976" w:type="dxa"/>
          </w:tcPr>
          <w:p>
            <w:pPr>
              <w:pStyle w:val="TableParagraph"/>
              <w:spacing w:before="5"/>
              <w:ind w:right="50"/>
              <w:jc w:val="right"/>
              <w:rPr>
                <w:sz w:val="18"/>
              </w:rPr>
            </w:pPr>
            <w:r>
              <w:rPr>
                <w:spacing w:val="-2"/>
                <w:sz w:val="18"/>
              </w:rPr>
              <w:t>4.839451</w:t>
            </w:r>
          </w:p>
        </w:tc>
        <w:tc>
          <w:tcPr>
            <w:tcW w:w="1069" w:type="dxa"/>
          </w:tcPr>
          <w:p>
            <w:pPr>
              <w:pStyle w:val="TableParagraph"/>
              <w:spacing w:before="5"/>
              <w:ind w:right="39"/>
              <w:jc w:val="right"/>
              <w:rPr>
                <w:sz w:val="18"/>
              </w:rPr>
            </w:pPr>
            <w:r>
              <w:rPr>
                <w:spacing w:val="-2"/>
                <w:sz w:val="18"/>
              </w:rPr>
              <w:t>2.090657</w:t>
            </w:r>
          </w:p>
        </w:tc>
      </w:tr>
      <w:tr>
        <w:trPr>
          <w:trHeight w:val="225" w:hRule="atLeast"/>
        </w:trPr>
        <w:tc>
          <w:tcPr>
            <w:tcW w:w="583" w:type="dxa"/>
          </w:tcPr>
          <w:p>
            <w:pPr>
              <w:pStyle w:val="TableParagraph"/>
              <w:ind w:right="77"/>
              <w:jc w:val="center"/>
              <w:rPr>
                <w:sz w:val="18"/>
              </w:rPr>
            </w:pPr>
            <w:r>
              <w:rPr>
                <w:spacing w:val="-4"/>
                <w:sz w:val="18"/>
              </w:rPr>
              <w:t>2003</w:t>
            </w:r>
          </w:p>
        </w:tc>
        <w:tc>
          <w:tcPr>
            <w:tcW w:w="957" w:type="dxa"/>
          </w:tcPr>
          <w:p>
            <w:pPr>
              <w:pStyle w:val="TableParagraph"/>
              <w:ind w:right="73"/>
              <w:jc w:val="right"/>
              <w:rPr>
                <w:sz w:val="18"/>
              </w:rPr>
            </w:pPr>
            <w:r>
              <w:rPr>
                <w:spacing w:val="-2"/>
                <w:sz w:val="18"/>
              </w:rPr>
              <w:t>4.133886</w:t>
            </w:r>
          </w:p>
        </w:tc>
        <w:tc>
          <w:tcPr>
            <w:tcW w:w="901" w:type="dxa"/>
          </w:tcPr>
          <w:p>
            <w:pPr>
              <w:pStyle w:val="TableParagraph"/>
              <w:ind w:right="71"/>
              <w:jc w:val="right"/>
              <w:rPr>
                <w:sz w:val="18"/>
              </w:rPr>
            </w:pPr>
            <w:r>
              <w:rPr>
                <w:spacing w:val="-2"/>
                <w:sz w:val="18"/>
              </w:rPr>
              <w:t>10.36437</w:t>
            </w:r>
          </w:p>
        </w:tc>
        <w:tc>
          <w:tcPr>
            <w:tcW w:w="990" w:type="dxa"/>
          </w:tcPr>
          <w:p>
            <w:pPr>
              <w:pStyle w:val="TableParagraph"/>
              <w:ind w:right="161"/>
              <w:jc w:val="right"/>
              <w:rPr>
                <w:sz w:val="18"/>
              </w:rPr>
            </w:pPr>
            <w:r>
              <w:rPr>
                <w:spacing w:val="-2"/>
                <w:sz w:val="18"/>
              </w:rPr>
              <w:t>6.139044</w:t>
            </w:r>
          </w:p>
        </w:tc>
        <w:tc>
          <w:tcPr>
            <w:tcW w:w="989" w:type="dxa"/>
          </w:tcPr>
          <w:p>
            <w:pPr>
              <w:pStyle w:val="TableParagraph"/>
              <w:ind w:right="70"/>
              <w:jc w:val="right"/>
              <w:rPr>
                <w:sz w:val="18"/>
              </w:rPr>
            </w:pPr>
            <w:r>
              <w:rPr>
                <w:spacing w:val="-2"/>
                <w:sz w:val="18"/>
              </w:rPr>
              <w:t>5.641552</w:t>
            </w:r>
          </w:p>
        </w:tc>
        <w:tc>
          <w:tcPr>
            <w:tcW w:w="913" w:type="dxa"/>
          </w:tcPr>
          <w:p>
            <w:pPr>
              <w:pStyle w:val="TableParagraph"/>
              <w:ind w:right="83"/>
              <w:jc w:val="right"/>
              <w:rPr>
                <w:sz w:val="18"/>
              </w:rPr>
            </w:pPr>
            <w:r>
              <w:rPr>
                <w:spacing w:val="-2"/>
                <w:sz w:val="18"/>
              </w:rPr>
              <w:t>3.030617</w:t>
            </w:r>
          </w:p>
        </w:tc>
        <w:tc>
          <w:tcPr>
            <w:tcW w:w="1018" w:type="dxa"/>
          </w:tcPr>
          <w:p>
            <w:pPr>
              <w:pStyle w:val="TableParagraph"/>
              <w:ind w:right="112"/>
              <w:jc w:val="right"/>
              <w:rPr>
                <w:sz w:val="18"/>
              </w:rPr>
            </w:pPr>
            <w:r>
              <w:rPr>
                <w:spacing w:val="-2"/>
                <w:sz w:val="18"/>
              </w:rPr>
              <w:t>4.839451</w:t>
            </w:r>
          </w:p>
        </w:tc>
        <w:tc>
          <w:tcPr>
            <w:tcW w:w="1034" w:type="dxa"/>
          </w:tcPr>
          <w:p>
            <w:pPr>
              <w:pStyle w:val="TableParagraph"/>
              <w:ind w:right="157"/>
              <w:jc w:val="right"/>
              <w:rPr>
                <w:sz w:val="18"/>
              </w:rPr>
            </w:pPr>
            <w:r>
              <w:rPr>
                <w:spacing w:val="-2"/>
                <w:sz w:val="18"/>
              </w:rPr>
              <w:t>5.416989</w:t>
            </w:r>
          </w:p>
        </w:tc>
        <w:tc>
          <w:tcPr>
            <w:tcW w:w="976" w:type="dxa"/>
          </w:tcPr>
          <w:p>
            <w:pPr>
              <w:pStyle w:val="TableParagraph"/>
              <w:ind w:right="50"/>
              <w:jc w:val="right"/>
              <w:rPr>
                <w:sz w:val="18"/>
              </w:rPr>
            </w:pPr>
            <w:r>
              <w:rPr>
                <w:spacing w:val="-2"/>
                <w:sz w:val="18"/>
              </w:rPr>
              <w:t>4.908233</w:t>
            </w:r>
          </w:p>
        </w:tc>
        <w:tc>
          <w:tcPr>
            <w:tcW w:w="1069" w:type="dxa"/>
          </w:tcPr>
          <w:p>
            <w:pPr>
              <w:pStyle w:val="TableParagraph"/>
              <w:ind w:right="39"/>
              <w:jc w:val="right"/>
              <w:rPr>
                <w:sz w:val="18"/>
              </w:rPr>
            </w:pPr>
            <w:r>
              <w:rPr>
                <w:spacing w:val="-2"/>
                <w:sz w:val="18"/>
              </w:rPr>
              <w:t>2.090425</w:t>
            </w:r>
          </w:p>
        </w:tc>
      </w:tr>
      <w:tr>
        <w:trPr>
          <w:trHeight w:val="225" w:hRule="atLeast"/>
        </w:trPr>
        <w:tc>
          <w:tcPr>
            <w:tcW w:w="583" w:type="dxa"/>
          </w:tcPr>
          <w:p>
            <w:pPr>
              <w:pStyle w:val="TableParagraph"/>
              <w:ind w:right="77"/>
              <w:jc w:val="center"/>
              <w:rPr>
                <w:sz w:val="18"/>
              </w:rPr>
            </w:pPr>
            <w:r>
              <w:rPr>
                <w:spacing w:val="-4"/>
                <w:sz w:val="18"/>
              </w:rPr>
              <w:t>2004</w:t>
            </w:r>
          </w:p>
        </w:tc>
        <w:tc>
          <w:tcPr>
            <w:tcW w:w="957" w:type="dxa"/>
          </w:tcPr>
          <w:p>
            <w:pPr>
              <w:pStyle w:val="TableParagraph"/>
              <w:ind w:right="73"/>
              <w:jc w:val="right"/>
              <w:rPr>
                <w:sz w:val="18"/>
              </w:rPr>
            </w:pPr>
            <w:r>
              <w:rPr>
                <w:spacing w:val="-2"/>
                <w:sz w:val="18"/>
              </w:rPr>
              <w:t>4.134847</w:t>
            </w:r>
          </w:p>
        </w:tc>
        <w:tc>
          <w:tcPr>
            <w:tcW w:w="901" w:type="dxa"/>
          </w:tcPr>
          <w:p>
            <w:pPr>
              <w:pStyle w:val="TableParagraph"/>
              <w:ind w:right="71"/>
              <w:jc w:val="right"/>
              <w:rPr>
                <w:sz w:val="18"/>
              </w:rPr>
            </w:pPr>
            <w:r>
              <w:rPr>
                <w:spacing w:val="-2"/>
                <w:sz w:val="18"/>
              </w:rPr>
              <w:t>10.46369</w:t>
            </w:r>
          </w:p>
        </w:tc>
        <w:tc>
          <w:tcPr>
            <w:tcW w:w="990" w:type="dxa"/>
          </w:tcPr>
          <w:p>
            <w:pPr>
              <w:pStyle w:val="TableParagraph"/>
              <w:ind w:right="161"/>
              <w:jc w:val="right"/>
              <w:rPr>
                <w:sz w:val="18"/>
              </w:rPr>
            </w:pPr>
            <w:r>
              <w:rPr>
                <w:spacing w:val="-2"/>
                <w:sz w:val="18"/>
              </w:rPr>
              <w:t>6.855609</w:t>
            </w:r>
          </w:p>
        </w:tc>
        <w:tc>
          <w:tcPr>
            <w:tcW w:w="989" w:type="dxa"/>
          </w:tcPr>
          <w:p>
            <w:pPr>
              <w:pStyle w:val="TableParagraph"/>
              <w:ind w:right="70"/>
              <w:jc w:val="right"/>
              <w:rPr>
                <w:sz w:val="18"/>
              </w:rPr>
            </w:pPr>
            <w:r>
              <w:rPr>
                <w:spacing w:val="-2"/>
                <w:sz w:val="18"/>
              </w:rPr>
              <w:t>5.570632</w:t>
            </w:r>
          </w:p>
        </w:tc>
        <w:tc>
          <w:tcPr>
            <w:tcW w:w="913" w:type="dxa"/>
          </w:tcPr>
          <w:p>
            <w:pPr>
              <w:pStyle w:val="TableParagraph"/>
              <w:ind w:right="83"/>
              <w:jc w:val="right"/>
              <w:rPr>
                <w:sz w:val="18"/>
              </w:rPr>
            </w:pPr>
            <w:r>
              <w:rPr>
                <w:spacing w:val="-2"/>
                <w:sz w:val="18"/>
              </w:rPr>
              <w:t>2.953868</w:t>
            </w:r>
          </w:p>
        </w:tc>
        <w:tc>
          <w:tcPr>
            <w:tcW w:w="1018" w:type="dxa"/>
          </w:tcPr>
          <w:p>
            <w:pPr>
              <w:pStyle w:val="TableParagraph"/>
              <w:ind w:right="112"/>
              <w:jc w:val="right"/>
              <w:rPr>
                <w:sz w:val="18"/>
              </w:rPr>
            </w:pPr>
            <w:r>
              <w:rPr>
                <w:spacing w:val="-2"/>
                <w:sz w:val="18"/>
              </w:rPr>
              <w:t>4.908233</w:t>
            </w:r>
          </w:p>
        </w:tc>
        <w:tc>
          <w:tcPr>
            <w:tcW w:w="1034" w:type="dxa"/>
          </w:tcPr>
          <w:p>
            <w:pPr>
              <w:pStyle w:val="TableParagraph"/>
              <w:ind w:right="157"/>
              <w:jc w:val="right"/>
              <w:rPr>
                <w:sz w:val="18"/>
              </w:rPr>
            </w:pPr>
            <w:r>
              <w:rPr>
                <w:spacing w:val="-2"/>
                <w:sz w:val="18"/>
              </w:rPr>
              <w:t>5.554509</w:t>
            </w:r>
          </w:p>
        </w:tc>
        <w:tc>
          <w:tcPr>
            <w:tcW w:w="976" w:type="dxa"/>
          </w:tcPr>
          <w:p>
            <w:pPr>
              <w:pStyle w:val="TableParagraph"/>
              <w:ind w:right="50"/>
              <w:jc w:val="right"/>
              <w:rPr>
                <w:sz w:val="18"/>
              </w:rPr>
            </w:pPr>
            <w:r>
              <w:rPr>
                <w:spacing w:val="-2"/>
                <w:sz w:val="18"/>
              </w:rPr>
              <w:t>4.887865</w:t>
            </w:r>
          </w:p>
        </w:tc>
        <w:tc>
          <w:tcPr>
            <w:tcW w:w="1069" w:type="dxa"/>
          </w:tcPr>
          <w:p>
            <w:pPr>
              <w:pStyle w:val="TableParagraph"/>
              <w:ind w:right="39"/>
              <w:jc w:val="right"/>
              <w:rPr>
                <w:sz w:val="18"/>
              </w:rPr>
            </w:pPr>
            <w:r>
              <w:rPr>
                <w:spacing w:val="-2"/>
                <w:sz w:val="18"/>
              </w:rPr>
              <w:t>2.059758</w:t>
            </w:r>
          </w:p>
        </w:tc>
      </w:tr>
      <w:tr>
        <w:trPr>
          <w:trHeight w:val="224" w:hRule="atLeast"/>
        </w:trPr>
        <w:tc>
          <w:tcPr>
            <w:tcW w:w="583" w:type="dxa"/>
          </w:tcPr>
          <w:p>
            <w:pPr>
              <w:pStyle w:val="TableParagraph"/>
              <w:spacing w:line="198" w:lineRule="exact"/>
              <w:ind w:right="77"/>
              <w:jc w:val="center"/>
              <w:rPr>
                <w:sz w:val="18"/>
              </w:rPr>
            </w:pPr>
            <w:r>
              <w:rPr>
                <w:spacing w:val="-4"/>
                <w:sz w:val="18"/>
              </w:rPr>
              <w:t>2005</w:t>
            </w:r>
          </w:p>
        </w:tc>
        <w:tc>
          <w:tcPr>
            <w:tcW w:w="957" w:type="dxa"/>
          </w:tcPr>
          <w:p>
            <w:pPr>
              <w:pStyle w:val="TableParagraph"/>
              <w:spacing w:line="198" w:lineRule="exact"/>
              <w:ind w:right="73"/>
              <w:jc w:val="right"/>
              <w:rPr>
                <w:sz w:val="18"/>
              </w:rPr>
            </w:pPr>
            <w:r>
              <w:rPr>
                <w:spacing w:val="-2"/>
                <w:sz w:val="18"/>
              </w:rPr>
              <w:t>4.108576</w:t>
            </w:r>
          </w:p>
        </w:tc>
        <w:tc>
          <w:tcPr>
            <w:tcW w:w="901" w:type="dxa"/>
          </w:tcPr>
          <w:p>
            <w:pPr>
              <w:pStyle w:val="TableParagraph"/>
              <w:spacing w:line="198" w:lineRule="exact"/>
              <w:ind w:right="71"/>
              <w:jc w:val="right"/>
              <w:rPr>
                <w:sz w:val="18"/>
              </w:rPr>
            </w:pPr>
            <w:r>
              <w:rPr>
                <w:spacing w:val="-2"/>
                <w:sz w:val="18"/>
              </w:rPr>
              <w:t>10.53143</w:t>
            </w:r>
          </w:p>
        </w:tc>
        <w:tc>
          <w:tcPr>
            <w:tcW w:w="990" w:type="dxa"/>
          </w:tcPr>
          <w:p>
            <w:pPr>
              <w:pStyle w:val="TableParagraph"/>
              <w:spacing w:line="198" w:lineRule="exact"/>
              <w:ind w:right="161"/>
              <w:jc w:val="right"/>
              <w:rPr>
                <w:sz w:val="18"/>
              </w:rPr>
            </w:pPr>
            <w:r>
              <w:rPr>
                <w:spacing w:val="-2"/>
                <w:sz w:val="18"/>
              </w:rPr>
              <w:t>2.604170</w:t>
            </w:r>
          </w:p>
        </w:tc>
        <w:tc>
          <w:tcPr>
            <w:tcW w:w="989" w:type="dxa"/>
          </w:tcPr>
          <w:p>
            <w:pPr>
              <w:pStyle w:val="TableParagraph"/>
              <w:spacing w:line="198" w:lineRule="exact"/>
              <w:ind w:right="70"/>
              <w:jc w:val="right"/>
              <w:rPr>
                <w:sz w:val="18"/>
              </w:rPr>
            </w:pPr>
            <w:r>
              <w:rPr>
                <w:spacing w:val="-2"/>
                <w:sz w:val="18"/>
              </w:rPr>
              <w:t>5.703782</w:t>
            </w:r>
          </w:p>
        </w:tc>
        <w:tc>
          <w:tcPr>
            <w:tcW w:w="913" w:type="dxa"/>
          </w:tcPr>
          <w:p>
            <w:pPr>
              <w:pStyle w:val="TableParagraph"/>
              <w:spacing w:line="198" w:lineRule="exact"/>
              <w:ind w:right="83"/>
              <w:jc w:val="right"/>
              <w:rPr>
                <w:sz w:val="18"/>
              </w:rPr>
            </w:pPr>
            <w:r>
              <w:rPr>
                <w:spacing w:val="-2"/>
                <w:sz w:val="18"/>
              </w:rPr>
              <w:t>2.887590</w:t>
            </w:r>
          </w:p>
        </w:tc>
        <w:tc>
          <w:tcPr>
            <w:tcW w:w="1018" w:type="dxa"/>
          </w:tcPr>
          <w:p>
            <w:pPr>
              <w:pStyle w:val="TableParagraph"/>
              <w:spacing w:line="198" w:lineRule="exact"/>
              <w:ind w:right="112"/>
              <w:jc w:val="right"/>
              <w:rPr>
                <w:sz w:val="18"/>
              </w:rPr>
            </w:pPr>
            <w:r>
              <w:rPr>
                <w:spacing w:val="-2"/>
                <w:sz w:val="18"/>
              </w:rPr>
              <w:t>4.887865</w:t>
            </w:r>
          </w:p>
        </w:tc>
        <w:tc>
          <w:tcPr>
            <w:tcW w:w="1034" w:type="dxa"/>
          </w:tcPr>
          <w:p>
            <w:pPr>
              <w:pStyle w:val="TableParagraph"/>
              <w:spacing w:line="198" w:lineRule="exact"/>
              <w:ind w:right="157"/>
              <w:jc w:val="right"/>
              <w:rPr>
                <w:sz w:val="18"/>
              </w:rPr>
            </w:pPr>
            <w:r>
              <w:rPr>
                <w:spacing w:val="-2"/>
                <w:sz w:val="18"/>
              </w:rPr>
              <w:t>5.514235</w:t>
            </w:r>
          </w:p>
        </w:tc>
        <w:tc>
          <w:tcPr>
            <w:tcW w:w="976" w:type="dxa"/>
          </w:tcPr>
          <w:p>
            <w:pPr>
              <w:pStyle w:val="TableParagraph"/>
              <w:spacing w:line="198" w:lineRule="exact"/>
              <w:ind w:right="50"/>
              <w:jc w:val="right"/>
              <w:rPr>
                <w:sz w:val="18"/>
              </w:rPr>
            </w:pPr>
            <w:r>
              <w:rPr>
                <w:spacing w:val="-2"/>
                <w:sz w:val="18"/>
              </w:rPr>
              <w:t>4.869763</w:t>
            </w:r>
          </w:p>
        </w:tc>
        <w:tc>
          <w:tcPr>
            <w:tcW w:w="1069" w:type="dxa"/>
          </w:tcPr>
          <w:p>
            <w:pPr>
              <w:pStyle w:val="TableParagraph"/>
              <w:spacing w:line="198" w:lineRule="exact"/>
              <w:ind w:right="39"/>
              <w:jc w:val="right"/>
              <w:rPr>
                <w:sz w:val="18"/>
              </w:rPr>
            </w:pPr>
            <w:r>
              <w:rPr>
                <w:spacing w:val="-2"/>
                <w:sz w:val="18"/>
              </w:rPr>
              <w:t>2.073281</w:t>
            </w:r>
          </w:p>
        </w:tc>
      </w:tr>
      <w:tr>
        <w:trPr>
          <w:trHeight w:val="224" w:hRule="atLeast"/>
        </w:trPr>
        <w:tc>
          <w:tcPr>
            <w:tcW w:w="583" w:type="dxa"/>
          </w:tcPr>
          <w:p>
            <w:pPr>
              <w:pStyle w:val="TableParagraph"/>
              <w:spacing w:before="5"/>
              <w:ind w:right="77"/>
              <w:jc w:val="center"/>
              <w:rPr>
                <w:sz w:val="18"/>
              </w:rPr>
            </w:pPr>
            <w:r>
              <w:rPr>
                <w:spacing w:val="-4"/>
                <w:sz w:val="18"/>
              </w:rPr>
              <w:t>2006</w:t>
            </w:r>
          </w:p>
        </w:tc>
        <w:tc>
          <w:tcPr>
            <w:tcW w:w="957" w:type="dxa"/>
          </w:tcPr>
          <w:p>
            <w:pPr>
              <w:pStyle w:val="TableParagraph"/>
              <w:spacing w:before="5"/>
              <w:ind w:right="73"/>
              <w:jc w:val="right"/>
              <w:rPr>
                <w:sz w:val="18"/>
              </w:rPr>
            </w:pPr>
            <w:r>
              <w:rPr>
                <w:spacing w:val="-2"/>
                <w:sz w:val="18"/>
              </w:rPr>
              <w:t>4.174541</w:t>
            </w:r>
          </w:p>
        </w:tc>
        <w:tc>
          <w:tcPr>
            <w:tcW w:w="901" w:type="dxa"/>
          </w:tcPr>
          <w:p>
            <w:pPr>
              <w:pStyle w:val="TableParagraph"/>
              <w:spacing w:before="5"/>
              <w:ind w:right="71"/>
              <w:jc w:val="right"/>
              <w:rPr>
                <w:sz w:val="18"/>
              </w:rPr>
            </w:pPr>
            <w:r>
              <w:rPr>
                <w:spacing w:val="-2"/>
                <w:sz w:val="18"/>
              </w:rPr>
              <w:t>10.59652</w:t>
            </w:r>
          </w:p>
        </w:tc>
        <w:tc>
          <w:tcPr>
            <w:tcW w:w="990" w:type="dxa"/>
          </w:tcPr>
          <w:p>
            <w:pPr>
              <w:pStyle w:val="TableParagraph"/>
              <w:spacing w:before="5"/>
              <w:ind w:right="161"/>
              <w:jc w:val="right"/>
              <w:rPr>
                <w:sz w:val="18"/>
              </w:rPr>
            </w:pPr>
            <w:r>
              <w:rPr>
                <w:spacing w:val="-2"/>
                <w:sz w:val="18"/>
              </w:rPr>
              <w:t>3.170945</w:t>
            </w:r>
          </w:p>
        </w:tc>
        <w:tc>
          <w:tcPr>
            <w:tcW w:w="989" w:type="dxa"/>
          </w:tcPr>
          <w:p>
            <w:pPr>
              <w:pStyle w:val="TableParagraph"/>
              <w:spacing w:before="5"/>
              <w:ind w:right="70"/>
              <w:jc w:val="right"/>
              <w:rPr>
                <w:sz w:val="18"/>
              </w:rPr>
            </w:pPr>
            <w:r>
              <w:rPr>
                <w:spacing w:val="-2"/>
                <w:sz w:val="18"/>
              </w:rPr>
              <w:t>6.157614</w:t>
            </w:r>
          </w:p>
        </w:tc>
        <w:tc>
          <w:tcPr>
            <w:tcW w:w="913" w:type="dxa"/>
          </w:tcPr>
          <w:p>
            <w:pPr>
              <w:pStyle w:val="TableParagraph"/>
              <w:spacing w:before="5"/>
              <w:ind w:right="83"/>
              <w:jc w:val="right"/>
              <w:rPr>
                <w:sz w:val="18"/>
              </w:rPr>
            </w:pPr>
            <w:r>
              <w:rPr>
                <w:spacing w:val="-2"/>
                <w:sz w:val="18"/>
              </w:rPr>
              <w:t>2.848392</w:t>
            </w:r>
          </w:p>
        </w:tc>
        <w:tc>
          <w:tcPr>
            <w:tcW w:w="1018" w:type="dxa"/>
          </w:tcPr>
          <w:p>
            <w:pPr>
              <w:pStyle w:val="TableParagraph"/>
              <w:spacing w:before="5"/>
              <w:ind w:right="112"/>
              <w:jc w:val="right"/>
              <w:rPr>
                <w:sz w:val="18"/>
              </w:rPr>
            </w:pPr>
            <w:r>
              <w:rPr>
                <w:spacing w:val="-2"/>
                <w:sz w:val="18"/>
              </w:rPr>
              <w:t>4.869763</w:t>
            </w:r>
          </w:p>
        </w:tc>
        <w:tc>
          <w:tcPr>
            <w:tcW w:w="1034" w:type="dxa"/>
          </w:tcPr>
          <w:p>
            <w:pPr>
              <w:pStyle w:val="TableParagraph"/>
              <w:spacing w:before="5"/>
              <w:ind w:right="157"/>
              <w:jc w:val="right"/>
              <w:rPr>
                <w:sz w:val="18"/>
              </w:rPr>
            </w:pPr>
            <w:r>
              <w:rPr>
                <w:spacing w:val="-2"/>
                <w:sz w:val="18"/>
              </w:rPr>
              <w:t>5.833933</w:t>
            </w:r>
          </w:p>
        </w:tc>
        <w:tc>
          <w:tcPr>
            <w:tcW w:w="976" w:type="dxa"/>
          </w:tcPr>
          <w:p>
            <w:pPr>
              <w:pStyle w:val="TableParagraph"/>
              <w:spacing w:before="5"/>
              <w:ind w:right="50"/>
              <w:jc w:val="right"/>
              <w:rPr>
                <w:sz w:val="18"/>
              </w:rPr>
            </w:pPr>
            <w:r>
              <w:rPr>
                <w:spacing w:val="-2"/>
                <w:sz w:val="18"/>
              </w:rPr>
              <w:t>4.854137</w:t>
            </w:r>
          </w:p>
        </w:tc>
        <w:tc>
          <w:tcPr>
            <w:tcW w:w="1069" w:type="dxa"/>
          </w:tcPr>
          <w:p>
            <w:pPr>
              <w:pStyle w:val="TableParagraph"/>
              <w:spacing w:before="5"/>
              <w:ind w:right="39"/>
              <w:jc w:val="right"/>
              <w:rPr>
                <w:sz w:val="18"/>
              </w:rPr>
            </w:pPr>
            <w:r>
              <w:rPr>
                <w:spacing w:val="-2"/>
                <w:sz w:val="18"/>
              </w:rPr>
              <w:t>2.020366</w:t>
            </w:r>
          </w:p>
        </w:tc>
      </w:tr>
      <w:tr>
        <w:trPr>
          <w:trHeight w:val="225" w:hRule="atLeast"/>
        </w:trPr>
        <w:tc>
          <w:tcPr>
            <w:tcW w:w="583" w:type="dxa"/>
          </w:tcPr>
          <w:p>
            <w:pPr>
              <w:pStyle w:val="TableParagraph"/>
              <w:ind w:right="77"/>
              <w:jc w:val="center"/>
              <w:rPr>
                <w:sz w:val="18"/>
              </w:rPr>
            </w:pPr>
            <w:r>
              <w:rPr>
                <w:spacing w:val="-4"/>
                <w:sz w:val="18"/>
              </w:rPr>
              <w:t>2007</w:t>
            </w:r>
          </w:p>
        </w:tc>
        <w:tc>
          <w:tcPr>
            <w:tcW w:w="957" w:type="dxa"/>
          </w:tcPr>
          <w:p>
            <w:pPr>
              <w:pStyle w:val="TableParagraph"/>
              <w:ind w:right="73"/>
              <w:jc w:val="right"/>
              <w:rPr>
                <w:sz w:val="18"/>
              </w:rPr>
            </w:pPr>
            <w:r>
              <w:rPr>
                <w:spacing w:val="-2"/>
                <w:sz w:val="18"/>
              </w:rPr>
              <w:t>4.312409</w:t>
            </w:r>
          </w:p>
        </w:tc>
        <w:tc>
          <w:tcPr>
            <w:tcW w:w="901" w:type="dxa"/>
          </w:tcPr>
          <w:p>
            <w:pPr>
              <w:pStyle w:val="TableParagraph"/>
              <w:ind w:right="71"/>
              <w:jc w:val="right"/>
              <w:rPr>
                <w:sz w:val="18"/>
              </w:rPr>
            </w:pPr>
            <w:r>
              <w:rPr>
                <w:spacing w:val="-2"/>
                <w:sz w:val="18"/>
              </w:rPr>
              <w:t>10.66715</w:t>
            </w:r>
          </w:p>
        </w:tc>
        <w:tc>
          <w:tcPr>
            <w:tcW w:w="990" w:type="dxa"/>
          </w:tcPr>
          <w:p>
            <w:pPr>
              <w:pStyle w:val="TableParagraph"/>
              <w:ind w:right="161"/>
              <w:jc w:val="right"/>
              <w:rPr>
                <w:sz w:val="18"/>
              </w:rPr>
            </w:pPr>
            <w:r>
              <w:rPr>
                <w:spacing w:val="-2"/>
                <w:sz w:val="18"/>
              </w:rPr>
              <w:t>3.490429</w:t>
            </w:r>
          </w:p>
        </w:tc>
        <w:tc>
          <w:tcPr>
            <w:tcW w:w="989" w:type="dxa"/>
          </w:tcPr>
          <w:p>
            <w:pPr>
              <w:pStyle w:val="TableParagraph"/>
              <w:ind w:right="70"/>
              <w:jc w:val="right"/>
              <w:rPr>
                <w:sz w:val="18"/>
              </w:rPr>
            </w:pPr>
            <w:r>
              <w:rPr>
                <w:spacing w:val="-2"/>
                <w:sz w:val="18"/>
              </w:rPr>
              <w:t>6.496021</w:t>
            </w:r>
          </w:p>
        </w:tc>
        <w:tc>
          <w:tcPr>
            <w:tcW w:w="913" w:type="dxa"/>
          </w:tcPr>
          <w:p>
            <w:pPr>
              <w:pStyle w:val="TableParagraph"/>
              <w:ind w:right="83"/>
              <w:jc w:val="right"/>
              <w:rPr>
                <w:sz w:val="18"/>
              </w:rPr>
            </w:pPr>
            <w:r>
              <w:rPr>
                <w:spacing w:val="-2"/>
                <w:sz w:val="18"/>
              </w:rPr>
              <w:t>2.829678</w:t>
            </w:r>
          </w:p>
        </w:tc>
        <w:tc>
          <w:tcPr>
            <w:tcW w:w="1018" w:type="dxa"/>
          </w:tcPr>
          <w:p>
            <w:pPr>
              <w:pStyle w:val="TableParagraph"/>
              <w:ind w:right="112"/>
              <w:jc w:val="right"/>
              <w:rPr>
                <w:sz w:val="18"/>
              </w:rPr>
            </w:pPr>
            <w:r>
              <w:rPr>
                <w:spacing w:val="-2"/>
                <w:sz w:val="18"/>
              </w:rPr>
              <w:t>4.854137</w:t>
            </w:r>
          </w:p>
        </w:tc>
        <w:tc>
          <w:tcPr>
            <w:tcW w:w="1034" w:type="dxa"/>
          </w:tcPr>
          <w:p>
            <w:pPr>
              <w:pStyle w:val="TableParagraph"/>
              <w:ind w:right="157"/>
              <w:jc w:val="right"/>
              <w:rPr>
                <w:sz w:val="18"/>
              </w:rPr>
            </w:pPr>
            <w:r>
              <w:rPr>
                <w:spacing w:val="-2"/>
                <w:sz w:val="18"/>
              </w:rPr>
              <w:t>6.606920</w:t>
            </w:r>
          </w:p>
        </w:tc>
        <w:tc>
          <w:tcPr>
            <w:tcW w:w="976" w:type="dxa"/>
          </w:tcPr>
          <w:p>
            <w:pPr>
              <w:pStyle w:val="TableParagraph"/>
              <w:ind w:right="50"/>
              <w:jc w:val="right"/>
              <w:rPr>
                <w:sz w:val="18"/>
              </w:rPr>
            </w:pPr>
            <w:r>
              <w:rPr>
                <w:spacing w:val="-2"/>
                <w:sz w:val="18"/>
              </w:rPr>
              <w:t>4.770430</w:t>
            </w:r>
          </w:p>
        </w:tc>
        <w:tc>
          <w:tcPr>
            <w:tcW w:w="1069" w:type="dxa"/>
          </w:tcPr>
          <w:p>
            <w:pPr>
              <w:pStyle w:val="TableParagraph"/>
              <w:ind w:right="39"/>
              <w:jc w:val="right"/>
              <w:rPr>
                <w:sz w:val="18"/>
              </w:rPr>
            </w:pPr>
            <w:r>
              <w:rPr>
                <w:spacing w:val="-2"/>
                <w:sz w:val="18"/>
              </w:rPr>
              <w:t>2.358950</w:t>
            </w:r>
          </w:p>
        </w:tc>
      </w:tr>
      <w:tr>
        <w:trPr>
          <w:trHeight w:val="225" w:hRule="atLeast"/>
        </w:trPr>
        <w:tc>
          <w:tcPr>
            <w:tcW w:w="583" w:type="dxa"/>
          </w:tcPr>
          <w:p>
            <w:pPr>
              <w:pStyle w:val="TableParagraph"/>
              <w:ind w:right="77"/>
              <w:jc w:val="center"/>
              <w:rPr>
                <w:sz w:val="18"/>
              </w:rPr>
            </w:pPr>
            <w:r>
              <w:rPr>
                <w:spacing w:val="-4"/>
                <w:sz w:val="18"/>
              </w:rPr>
              <w:t>2008</w:t>
            </w:r>
          </w:p>
        </w:tc>
        <w:tc>
          <w:tcPr>
            <w:tcW w:w="957" w:type="dxa"/>
          </w:tcPr>
          <w:p>
            <w:pPr>
              <w:pStyle w:val="TableParagraph"/>
              <w:ind w:right="73"/>
              <w:jc w:val="right"/>
              <w:rPr>
                <w:sz w:val="18"/>
              </w:rPr>
            </w:pPr>
            <w:r>
              <w:rPr>
                <w:spacing w:val="-2"/>
                <w:sz w:val="18"/>
              </w:rPr>
              <w:t>4.319486</w:t>
            </w:r>
          </w:p>
        </w:tc>
        <w:tc>
          <w:tcPr>
            <w:tcW w:w="901" w:type="dxa"/>
          </w:tcPr>
          <w:p>
            <w:pPr>
              <w:pStyle w:val="TableParagraph"/>
              <w:ind w:right="71"/>
              <w:jc w:val="right"/>
              <w:rPr>
                <w:sz w:val="18"/>
              </w:rPr>
            </w:pPr>
            <w:r>
              <w:rPr>
                <w:spacing w:val="-2"/>
                <w:sz w:val="18"/>
              </w:rPr>
              <w:t>10.73667</w:t>
            </w:r>
          </w:p>
        </w:tc>
        <w:tc>
          <w:tcPr>
            <w:tcW w:w="990" w:type="dxa"/>
          </w:tcPr>
          <w:p>
            <w:pPr>
              <w:pStyle w:val="TableParagraph"/>
              <w:ind w:right="161"/>
              <w:jc w:val="right"/>
              <w:rPr>
                <w:sz w:val="18"/>
              </w:rPr>
            </w:pPr>
            <w:r>
              <w:rPr>
                <w:spacing w:val="-2"/>
                <w:sz w:val="18"/>
              </w:rPr>
              <w:t>3.700808</w:t>
            </w:r>
          </w:p>
        </w:tc>
        <w:tc>
          <w:tcPr>
            <w:tcW w:w="989" w:type="dxa"/>
          </w:tcPr>
          <w:p>
            <w:pPr>
              <w:pStyle w:val="TableParagraph"/>
              <w:ind w:right="70"/>
              <w:jc w:val="right"/>
              <w:rPr>
                <w:sz w:val="18"/>
              </w:rPr>
            </w:pPr>
            <w:r>
              <w:rPr>
                <w:spacing w:val="-2"/>
                <w:sz w:val="18"/>
              </w:rPr>
              <w:t>6.639745</w:t>
            </w:r>
          </w:p>
        </w:tc>
        <w:tc>
          <w:tcPr>
            <w:tcW w:w="913" w:type="dxa"/>
          </w:tcPr>
          <w:p>
            <w:pPr>
              <w:pStyle w:val="TableParagraph"/>
              <w:ind w:right="83"/>
              <w:jc w:val="right"/>
              <w:rPr>
                <w:sz w:val="18"/>
              </w:rPr>
            </w:pPr>
            <w:r>
              <w:rPr>
                <w:spacing w:val="-2"/>
                <w:sz w:val="18"/>
              </w:rPr>
              <w:t>2.716680</w:t>
            </w:r>
          </w:p>
        </w:tc>
        <w:tc>
          <w:tcPr>
            <w:tcW w:w="1018" w:type="dxa"/>
          </w:tcPr>
          <w:p>
            <w:pPr>
              <w:pStyle w:val="TableParagraph"/>
              <w:ind w:right="112"/>
              <w:jc w:val="right"/>
              <w:rPr>
                <w:sz w:val="18"/>
              </w:rPr>
            </w:pPr>
            <w:r>
              <w:rPr>
                <w:spacing w:val="-2"/>
                <w:sz w:val="18"/>
              </w:rPr>
              <w:t>4.770430</w:t>
            </w:r>
          </w:p>
        </w:tc>
        <w:tc>
          <w:tcPr>
            <w:tcW w:w="1034" w:type="dxa"/>
          </w:tcPr>
          <w:p>
            <w:pPr>
              <w:pStyle w:val="TableParagraph"/>
              <w:ind w:right="157"/>
              <w:jc w:val="right"/>
              <w:rPr>
                <w:sz w:val="18"/>
              </w:rPr>
            </w:pPr>
            <w:r>
              <w:rPr>
                <w:spacing w:val="-2"/>
                <w:sz w:val="18"/>
              </w:rPr>
              <w:t>7.402512</w:t>
            </w:r>
          </w:p>
        </w:tc>
        <w:tc>
          <w:tcPr>
            <w:tcW w:w="976" w:type="dxa"/>
          </w:tcPr>
          <w:p>
            <w:pPr>
              <w:pStyle w:val="TableParagraph"/>
              <w:ind w:right="50"/>
              <w:jc w:val="right"/>
              <w:rPr>
                <w:sz w:val="18"/>
              </w:rPr>
            </w:pPr>
            <w:r>
              <w:rPr>
                <w:spacing w:val="-2"/>
                <w:sz w:val="18"/>
              </w:rPr>
              <w:t>4.887035</w:t>
            </w:r>
          </w:p>
        </w:tc>
        <w:tc>
          <w:tcPr>
            <w:tcW w:w="1069" w:type="dxa"/>
          </w:tcPr>
          <w:p>
            <w:pPr>
              <w:pStyle w:val="TableParagraph"/>
              <w:ind w:right="39"/>
              <w:jc w:val="right"/>
              <w:rPr>
                <w:sz w:val="18"/>
              </w:rPr>
            </w:pPr>
            <w:r>
              <w:rPr>
                <w:spacing w:val="-2"/>
                <w:sz w:val="18"/>
              </w:rPr>
              <w:t>2.984189</w:t>
            </w:r>
          </w:p>
        </w:tc>
      </w:tr>
      <w:tr>
        <w:trPr>
          <w:trHeight w:val="224" w:hRule="atLeast"/>
        </w:trPr>
        <w:tc>
          <w:tcPr>
            <w:tcW w:w="583" w:type="dxa"/>
          </w:tcPr>
          <w:p>
            <w:pPr>
              <w:pStyle w:val="TableParagraph"/>
              <w:spacing w:line="198" w:lineRule="exact"/>
              <w:ind w:right="77"/>
              <w:jc w:val="center"/>
              <w:rPr>
                <w:sz w:val="18"/>
              </w:rPr>
            </w:pPr>
            <w:r>
              <w:rPr>
                <w:spacing w:val="-4"/>
                <w:sz w:val="18"/>
              </w:rPr>
              <w:t>2009</w:t>
            </w:r>
          </w:p>
        </w:tc>
        <w:tc>
          <w:tcPr>
            <w:tcW w:w="957" w:type="dxa"/>
          </w:tcPr>
          <w:p>
            <w:pPr>
              <w:pStyle w:val="TableParagraph"/>
              <w:spacing w:line="198" w:lineRule="exact"/>
              <w:ind w:right="73"/>
              <w:jc w:val="right"/>
              <w:rPr>
                <w:sz w:val="18"/>
              </w:rPr>
            </w:pPr>
            <w:r>
              <w:rPr>
                <w:spacing w:val="-2"/>
                <w:sz w:val="18"/>
              </w:rPr>
              <w:t>4.231930</w:t>
            </w:r>
          </w:p>
        </w:tc>
        <w:tc>
          <w:tcPr>
            <w:tcW w:w="901" w:type="dxa"/>
          </w:tcPr>
          <w:p>
            <w:pPr>
              <w:pStyle w:val="TableParagraph"/>
              <w:spacing w:line="198" w:lineRule="exact"/>
              <w:ind w:right="71"/>
              <w:jc w:val="right"/>
              <w:rPr>
                <w:sz w:val="18"/>
              </w:rPr>
            </w:pPr>
            <w:r>
              <w:rPr>
                <w:spacing w:val="-2"/>
                <w:sz w:val="18"/>
              </w:rPr>
              <w:t>10.81690</w:t>
            </w:r>
          </w:p>
        </w:tc>
        <w:tc>
          <w:tcPr>
            <w:tcW w:w="990" w:type="dxa"/>
          </w:tcPr>
          <w:p>
            <w:pPr>
              <w:pStyle w:val="TableParagraph"/>
              <w:spacing w:line="198" w:lineRule="exact"/>
              <w:ind w:right="161"/>
              <w:jc w:val="right"/>
              <w:rPr>
                <w:sz w:val="18"/>
              </w:rPr>
            </w:pPr>
            <w:r>
              <w:rPr>
                <w:spacing w:val="-2"/>
                <w:sz w:val="18"/>
              </w:rPr>
              <w:t>3.812203</w:t>
            </w:r>
          </w:p>
        </w:tc>
        <w:tc>
          <w:tcPr>
            <w:tcW w:w="989" w:type="dxa"/>
          </w:tcPr>
          <w:p>
            <w:pPr>
              <w:pStyle w:val="TableParagraph"/>
              <w:spacing w:line="198" w:lineRule="exact"/>
              <w:ind w:right="70"/>
              <w:jc w:val="right"/>
              <w:rPr>
                <w:sz w:val="18"/>
              </w:rPr>
            </w:pPr>
            <w:r>
              <w:rPr>
                <w:spacing w:val="-2"/>
                <w:sz w:val="18"/>
              </w:rPr>
              <w:t>7.214725</w:t>
            </w:r>
          </w:p>
        </w:tc>
        <w:tc>
          <w:tcPr>
            <w:tcW w:w="913" w:type="dxa"/>
          </w:tcPr>
          <w:p>
            <w:pPr>
              <w:pStyle w:val="TableParagraph"/>
              <w:spacing w:line="198" w:lineRule="exact"/>
              <w:ind w:right="83"/>
              <w:jc w:val="right"/>
              <w:rPr>
                <w:sz w:val="18"/>
              </w:rPr>
            </w:pPr>
            <w:r>
              <w:rPr>
                <w:spacing w:val="-2"/>
                <w:sz w:val="18"/>
              </w:rPr>
              <w:t>2.910174</w:t>
            </w:r>
          </w:p>
        </w:tc>
        <w:tc>
          <w:tcPr>
            <w:tcW w:w="1018" w:type="dxa"/>
          </w:tcPr>
          <w:p>
            <w:pPr>
              <w:pStyle w:val="TableParagraph"/>
              <w:spacing w:line="198" w:lineRule="exact"/>
              <w:ind w:right="112"/>
              <w:jc w:val="right"/>
              <w:rPr>
                <w:sz w:val="18"/>
              </w:rPr>
            </w:pPr>
            <w:r>
              <w:rPr>
                <w:spacing w:val="-2"/>
                <w:sz w:val="18"/>
              </w:rPr>
              <w:t>4.887035</w:t>
            </w:r>
          </w:p>
        </w:tc>
        <w:tc>
          <w:tcPr>
            <w:tcW w:w="1034" w:type="dxa"/>
          </w:tcPr>
          <w:p>
            <w:pPr>
              <w:pStyle w:val="TableParagraph"/>
              <w:spacing w:line="198" w:lineRule="exact"/>
              <w:ind w:right="157"/>
              <w:jc w:val="right"/>
              <w:rPr>
                <w:sz w:val="18"/>
              </w:rPr>
            </w:pPr>
            <w:r>
              <w:rPr>
                <w:spacing w:val="-2"/>
                <w:sz w:val="18"/>
              </w:rPr>
              <w:t>7.604147</w:t>
            </w:r>
          </w:p>
        </w:tc>
        <w:tc>
          <w:tcPr>
            <w:tcW w:w="976" w:type="dxa"/>
          </w:tcPr>
          <w:p>
            <w:pPr>
              <w:pStyle w:val="TableParagraph"/>
              <w:spacing w:line="198" w:lineRule="exact"/>
              <w:ind w:right="50"/>
              <w:jc w:val="right"/>
              <w:rPr>
                <w:sz w:val="18"/>
              </w:rPr>
            </w:pPr>
            <w:r>
              <w:rPr>
                <w:spacing w:val="-2"/>
                <w:sz w:val="18"/>
              </w:rPr>
              <w:t>5.007831</w:t>
            </w:r>
          </w:p>
        </w:tc>
        <w:tc>
          <w:tcPr>
            <w:tcW w:w="1069" w:type="dxa"/>
          </w:tcPr>
          <w:p>
            <w:pPr>
              <w:pStyle w:val="TableParagraph"/>
              <w:spacing w:line="198" w:lineRule="exact"/>
              <w:ind w:right="39"/>
              <w:jc w:val="right"/>
              <w:rPr>
                <w:sz w:val="18"/>
              </w:rPr>
            </w:pPr>
            <w:r>
              <w:rPr>
                <w:spacing w:val="-2"/>
                <w:sz w:val="18"/>
              </w:rPr>
              <w:t>3.124778</w:t>
            </w:r>
          </w:p>
        </w:tc>
      </w:tr>
      <w:tr>
        <w:trPr>
          <w:trHeight w:val="224" w:hRule="atLeast"/>
        </w:trPr>
        <w:tc>
          <w:tcPr>
            <w:tcW w:w="583" w:type="dxa"/>
          </w:tcPr>
          <w:p>
            <w:pPr>
              <w:pStyle w:val="TableParagraph"/>
              <w:spacing w:before="5"/>
              <w:ind w:right="77"/>
              <w:jc w:val="center"/>
              <w:rPr>
                <w:sz w:val="18"/>
              </w:rPr>
            </w:pPr>
            <w:r>
              <w:rPr>
                <w:spacing w:val="-4"/>
                <w:sz w:val="18"/>
              </w:rPr>
              <w:t>2010</w:t>
            </w:r>
          </w:p>
        </w:tc>
        <w:tc>
          <w:tcPr>
            <w:tcW w:w="957" w:type="dxa"/>
          </w:tcPr>
          <w:p>
            <w:pPr>
              <w:pStyle w:val="TableParagraph"/>
              <w:spacing w:before="5"/>
              <w:ind w:right="73"/>
              <w:jc w:val="right"/>
              <w:rPr>
                <w:sz w:val="18"/>
              </w:rPr>
            </w:pPr>
            <w:r>
              <w:rPr>
                <w:spacing w:val="-2"/>
                <w:sz w:val="18"/>
              </w:rPr>
              <w:t>4.252487</w:t>
            </w:r>
          </w:p>
        </w:tc>
        <w:tc>
          <w:tcPr>
            <w:tcW w:w="901" w:type="dxa"/>
          </w:tcPr>
          <w:p>
            <w:pPr>
              <w:pStyle w:val="TableParagraph"/>
              <w:spacing w:before="5"/>
              <w:ind w:right="71"/>
              <w:jc w:val="right"/>
              <w:rPr>
                <w:sz w:val="18"/>
              </w:rPr>
            </w:pPr>
            <w:r>
              <w:rPr>
                <w:spacing w:val="-2"/>
                <w:sz w:val="18"/>
              </w:rPr>
              <w:t>10.90801</w:t>
            </w:r>
          </w:p>
        </w:tc>
        <w:tc>
          <w:tcPr>
            <w:tcW w:w="990" w:type="dxa"/>
          </w:tcPr>
          <w:p>
            <w:pPr>
              <w:pStyle w:val="TableParagraph"/>
              <w:spacing w:before="5"/>
              <w:ind w:right="161"/>
              <w:jc w:val="right"/>
              <w:rPr>
                <w:sz w:val="18"/>
              </w:rPr>
            </w:pPr>
            <w:r>
              <w:rPr>
                <w:spacing w:val="-2"/>
                <w:sz w:val="18"/>
              </w:rPr>
              <w:t>4.246923</w:t>
            </w:r>
          </w:p>
        </w:tc>
        <w:tc>
          <w:tcPr>
            <w:tcW w:w="989" w:type="dxa"/>
          </w:tcPr>
          <w:p>
            <w:pPr>
              <w:pStyle w:val="TableParagraph"/>
              <w:spacing w:before="5"/>
              <w:ind w:right="70"/>
              <w:jc w:val="right"/>
              <w:rPr>
                <w:sz w:val="18"/>
              </w:rPr>
            </w:pPr>
            <w:r>
              <w:rPr>
                <w:spacing w:val="-2"/>
                <w:sz w:val="18"/>
              </w:rPr>
              <w:t>7.655627</w:t>
            </w:r>
          </w:p>
        </w:tc>
        <w:tc>
          <w:tcPr>
            <w:tcW w:w="913" w:type="dxa"/>
          </w:tcPr>
          <w:p>
            <w:pPr>
              <w:pStyle w:val="TableParagraph"/>
              <w:spacing w:before="5"/>
              <w:ind w:right="83"/>
              <w:jc w:val="right"/>
              <w:rPr>
                <w:sz w:val="18"/>
              </w:rPr>
            </w:pPr>
            <w:r>
              <w:rPr>
                <w:spacing w:val="-2"/>
                <w:sz w:val="18"/>
              </w:rPr>
              <w:t>2.867331</w:t>
            </w:r>
          </w:p>
        </w:tc>
        <w:tc>
          <w:tcPr>
            <w:tcW w:w="1018" w:type="dxa"/>
          </w:tcPr>
          <w:p>
            <w:pPr>
              <w:pStyle w:val="TableParagraph"/>
              <w:spacing w:before="5"/>
              <w:ind w:right="112"/>
              <w:jc w:val="right"/>
              <w:rPr>
                <w:sz w:val="18"/>
              </w:rPr>
            </w:pPr>
            <w:r>
              <w:rPr>
                <w:spacing w:val="-2"/>
                <w:sz w:val="18"/>
              </w:rPr>
              <w:t>5.007831</w:t>
            </w:r>
          </w:p>
        </w:tc>
        <w:tc>
          <w:tcPr>
            <w:tcW w:w="1034" w:type="dxa"/>
          </w:tcPr>
          <w:p>
            <w:pPr>
              <w:pStyle w:val="TableParagraph"/>
              <w:spacing w:before="5"/>
              <w:ind w:right="157"/>
              <w:jc w:val="right"/>
              <w:rPr>
                <w:sz w:val="18"/>
              </w:rPr>
            </w:pPr>
            <w:r>
              <w:rPr>
                <w:spacing w:val="-2"/>
                <w:sz w:val="18"/>
              </w:rPr>
              <w:t>7.707063</w:t>
            </w:r>
          </w:p>
        </w:tc>
        <w:tc>
          <w:tcPr>
            <w:tcW w:w="976" w:type="dxa"/>
          </w:tcPr>
          <w:p>
            <w:pPr>
              <w:pStyle w:val="TableParagraph"/>
              <w:spacing w:before="5"/>
              <w:ind w:right="50"/>
              <w:jc w:val="right"/>
              <w:rPr>
                <w:sz w:val="18"/>
              </w:rPr>
            </w:pPr>
            <w:r>
              <w:rPr>
                <w:spacing w:val="-2"/>
                <w:sz w:val="18"/>
              </w:rPr>
              <w:t>5.015026</w:t>
            </w:r>
          </w:p>
        </w:tc>
        <w:tc>
          <w:tcPr>
            <w:tcW w:w="1069" w:type="dxa"/>
          </w:tcPr>
          <w:p>
            <w:pPr>
              <w:pStyle w:val="TableParagraph"/>
              <w:spacing w:before="5"/>
              <w:ind w:right="39"/>
              <w:jc w:val="right"/>
              <w:rPr>
                <w:sz w:val="18"/>
              </w:rPr>
            </w:pPr>
            <w:r>
              <w:rPr>
                <w:spacing w:val="-2"/>
                <w:sz w:val="18"/>
              </w:rPr>
              <w:t>2.942444</w:t>
            </w:r>
          </w:p>
        </w:tc>
      </w:tr>
      <w:tr>
        <w:trPr>
          <w:trHeight w:val="225" w:hRule="atLeast"/>
        </w:trPr>
        <w:tc>
          <w:tcPr>
            <w:tcW w:w="583" w:type="dxa"/>
          </w:tcPr>
          <w:p>
            <w:pPr>
              <w:pStyle w:val="TableParagraph"/>
              <w:ind w:right="77"/>
              <w:jc w:val="center"/>
              <w:rPr>
                <w:sz w:val="18"/>
              </w:rPr>
            </w:pPr>
            <w:r>
              <w:rPr>
                <w:spacing w:val="-4"/>
                <w:sz w:val="18"/>
              </w:rPr>
              <w:t>2011</w:t>
            </w:r>
          </w:p>
        </w:tc>
        <w:tc>
          <w:tcPr>
            <w:tcW w:w="957" w:type="dxa"/>
          </w:tcPr>
          <w:p>
            <w:pPr>
              <w:pStyle w:val="TableParagraph"/>
              <w:ind w:right="73"/>
              <w:jc w:val="right"/>
              <w:rPr>
                <w:sz w:val="18"/>
              </w:rPr>
            </w:pPr>
            <w:r>
              <w:rPr>
                <w:spacing w:val="-2"/>
                <w:sz w:val="18"/>
              </w:rPr>
              <w:t>4.285240</w:t>
            </w:r>
          </w:p>
        </w:tc>
        <w:tc>
          <w:tcPr>
            <w:tcW w:w="901" w:type="dxa"/>
          </w:tcPr>
          <w:p>
            <w:pPr>
              <w:pStyle w:val="TableParagraph"/>
              <w:ind w:right="71"/>
              <w:jc w:val="right"/>
              <w:rPr>
                <w:sz w:val="18"/>
              </w:rPr>
            </w:pPr>
            <w:r>
              <w:rPr>
                <w:spacing w:val="-2"/>
                <w:sz w:val="18"/>
              </w:rPr>
              <w:t>10.95973</w:t>
            </w:r>
          </w:p>
        </w:tc>
        <w:tc>
          <w:tcPr>
            <w:tcW w:w="990" w:type="dxa"/>
          </w:tcPr>
          <w:p>
            <w:pPr>
              <w:pStyle w:val="TableParagraph"/>
              <w:ind w:right="161"/>
              <w:jc w:val="right"/>
              <w:rPr>
                <w:sz w:val="18"/>
              </w:rPr>
            </w:pPr>
            <w:r>
              <w:rPr>
                <w:spacing w:val="-2"/>
                <w:sz w:val="18"/>
              </w:rPr>
              <w:t>4.924206</w:t>
            </w:r>
          </w:p>
        </w:tc>
        <w:tc>
          <w:tcPr>
            <w:tcW w:w="989" w:type="dxa"/>
          </w:tcPr>
          <w:p>
            <w:pPr>
              <w:pStyle w:val="TableParagraph"/>
              <w:ind w:right="70"/>
              <w:jc w:val="right"/>
              <w:rPr>
                <w:sz w:val="18"/>
              </w:rPr>
            </w:pPr>
            <w:r>
              <w:rPr>
                <w:spacing w:val="-2"/>
                <w:sz w:val="18"/>
              </w:rPr>
              <w:t>7.972500</w:t>
            </w:r>
          </w:p>
        </w:tc>
        <w:tc>
          <w:tcPr>
            <w:tcW w:w="913" w:type="dxa"/>
          </w:tcPr>
          <w:p>
            <w:pPr>
              <w:pStyle w:val="TableParagraph"/>
              <w:ind w:right="83"/>
              <w:jc w:val="right"/>
              <w:rPr>
                <w:sz w:val="18"/>
              </w:rPr>
            </w:pPr>
            <w:r>
              <w:rPr>
                <w:spacing w:val="-2"/>
                <w:sz w:val="18"/>
              </w:rPr>
              <w:t>2.773838</w:t>
            </w:r>
          </w:p>
        </w:tc>
        <w:tc>
          <w:tcPr>
            <w:tcW w:w="1018" w:type="dxa"/>
          </w:tcPr>
          <w:p>
            <w:pPr>
              <w:pStyle w:val="TableParagraph"/>
              <w:ind w:right="112"/>
              <w:jc w:val="right"/>
              <w:rPr>
                <w:sz w:val="18"/>
              </w:rPr>
            </w:pPr>
            <w:r>
              <w:rPr>
                <w:spacing w:val="-2"/>
                <w:sz w:val="18"/>
              </w:rPr>
              <w:t>5.015026</w:t>
            </w:r>
          </w:p>
        </w:tc>
        <w:tc>
          <w:tcPr>
            <w:tcW w:w="1034" w:type="dxa"/>
          </w:tcPr>
          <w:p>
            <w:pPr>
              <w:pStyle w:val="TableParagraph"/>
              <w:ind w:right="157"/>
              <w:jc w:val="right"/>
              <w:rPr>
                <w:sz w:val="18"/>
              </w:rPr>
            </w:pPr>
            <w:r>
              <w:rPr>
                <w:spacing w:val="-2"/>
                <w:sz w:val="18"/>
              </w:rPr>
              <w:t>7.999108</w:t>
            </w:r>
          </w:p>
        </w:tc>
        <w:tc>
          <w:tcPr>
            <w:tcW w:w="976" w:type="dxa"/>
          </w:tcPr>
          <w:p>
            <w:pPr>
              <w:pStyle w:val="TableParagraph"/>
              <w:ind w:right="50"/>
              <w:jc w:val="right"/>
              <w:rPr>
                <w:sz w:val="18"/>
              </w:rPr>
            </w:pPr>
            <w:r>
              <w:rPr>
                <w:spacing w:val="-2"/>
                <w:sz w:val="18"/>
              </w:rPr>
              <w:t>5.064302</w:t>
            </w:r>
          </w:p>
        </w:tc>
        <w:tc>
          <w:tcPr>
            <w:tcW w:w="1069" w:type="dxa"/>
          </w:tcPr>
          <w:p>
            <w:pPr>
              <w:pStyle w:val="TableParagraph"/>
              <w:ind w:right="39"/>
              <w:jc w:val="right"/>
              <w:rPr>
                <w:sz w:val="18"/>
              </w:rPr>
            </w:pPr>
            <w:r>
              <w:rPr>
                <w:spacing w:val="-2"/>
                <w:sz w:val="18"/>
              </w:rPr>
              <w:t>2.712542</w:t>
            </w:r>
          </w:p>
        </w:tc>
      </w:tr>
      <w:tr>
        <w:trPr>
          <w:trHeight w:val="225" w:hRule="atLeast"/>
        </w:trPr>
        <w:tc>
          <w:tcPr>
            <w:tcW w:w="583" w:type="dxa"/>
          </w:tcPr>
          <w:p>
            <w:pPr>
              <w:pStyle w:val="TableParagraph"/>
              <w:spacing w:line="200" w:lineRule="exact"/>
              <w:ind w:right="77"/>
              <w:jc w:val="center"/>
              <w:rPr>
                <w:sz w:val="18"/>
              </w:rPr>
            </w:pPr>
            <w:r>
              <w:rPr>
                <w:spacing w:val="-4"/>
                <w:sz w:val="18"/>
              </w:rPr>
              <w:t>2012</w:t>
            </w:r>
          </w:p>
        </w:tc>
        <w:tc>
          <w:tcPr>
            <w:tcW w:w="957" w:type="dxa"/>
          </w:tcPr>
          <w:p>
            <w:pPr>
              <w:pStyle w:val="TableParagraph"/>
              <w:spacing w:line="200" w:lineRule="exact"/>
              <w:ind w:right="73"/>
              <w:jc w:val="right"/>
              <w:rPr>
                <w:sz w:val="18"/>
              </w:rPr>
            </w:pPr>
            <w:r>
              <w:rPr>
                <w:spacing w:val="-2"/>
                <w:sz w:val="18"/>
              </w:rPr>
              <w:t>4.267597</w:t>
            </w:r>
          </w:p>
        </w:tc>
        <w:tc>
          <w:tcPr>
            <w:tcW w:w="901" w:type="dxa"/>
          </w:tcPr>
          <w:p>
            <w:pPr>
              <w:pStyle w:val="TableParagraph"/>
              <w:spacing w:line="200" w:lineRule="exact"/>
              <w:ind w:right="71"/>
              <w:jc w:val="right"/>
              <w:rPr>
                <w:sz w:val="18"/>
              </w:rPr>
            </w:pPr>
            <w:r>
              <w:rPr>
                <w:spacing w:val="-2"/>
                <w:sz w:val="18"/>
              </w:rPr>
              <w:t>11.00093</w:t>
            </w:r>
          </w:p>
        </w:tc>
        <w:tc>
          <w:tcPr>
            <w:tcW w:w="990" w:type="dxa"/>
          </w:tcPr>
          <w:p>
            <w:pPr>
              <w:pStyle w:val="TableParagraph"/>
              <w:spacing w:line="200" w:lineRule="exact"/>
              <w:ind w:right="161"/>
              <w:jc w:val="right"/>
              <w:rPr>
                <w:sz w:val="18"/>
              </w:rPr>
            </w:pPr>
            <w:r>
              <w:rPr>
                <w:spacing w:val="-2"/>
                <w:sz w:val="18"/>
              </w:rPr>
              <w:t>5.198442</w:t>
            </w:r>
          </w:p>
        </w:tc>
        <w:tc>
          <w:tcPr>
            <w:tcW w:w="989" w:type="dxa"/>
          </w:tcPr>
          <w:p>
            <w:pPr>
              <w:pStyle w:val="TableParagraph"/>
              <w:spacing w:line="200" w:lineRule="exact"/>
              <w:ind w:right="70"/>
              <w:jc w:val="right"/>
              <w:rPr>
                <w:sz w:val="18"/>
              </w:rPr>
            </w:pPr>
            <w:r>
              <w:rPr>
                <w:spacing w:val="-2"/>
                <w:sz w:val="18"/>
              </w:rPr>
              <w:t>8.541085</w:t>
            </w:r>
          </w:p>
        </w:tc>
        <w:tc>
          <w:tcPr>
            <w:tcW w:w="913" w:type="dxa"/>
          </w:tcPr>
          <w:p>
            <w:pPr>
              <w:pStyle w:val="TableParagraph"/>
              <w:spacing w:line="200" w:lineRule="exact"/>
              <w:ind w:right="83"/>
              <w:jc w:val="right"/>
              <w:rPr>
                <w:sz w:val="18"/>
              </w:rPr>
            </w:pPr>
            <w:r>
              <w:rPr>
                <w:spacing w:val="-2"/>
                <w:sz w:val="18"/>
              </w:rPr>
              <w:t>2.820783</w:t>
            </w:r>
          </w:p>
        </w:tc>
        <w:tc>
          <w:tcPr>
            <w:tcW w:w="1018" w:type="dxa"/>
          </w:tcPr>
          <w:p>
            <w:pPr>
              <w:pStyle w:val="TableParagraph"/>
              <w:spacing w:line="200" w:lineRule="exact"/>
              <w:ind w:right="112"/>
              <w:jc w:val="right"/>
              <w:rPr>
                <w:sz w:val="18"/>
              </w:rPr>
            </w:pPr>
            <w:r>
              <w:rPr>
                <w:spacing w:val="-2"/>
                <w:sz w:val="18"/>
              </w:rPr>
              <w:t>5.064302</w:t>
            </w:r>
          </w:p>
        </w:tc>
        <w:tc>
          <w:tcPr>
            <w:tcW w:w="1034" w:type="dxa"/>
          </w:tcPr>
          <w:p>
            <w:pPr>
              <w:pStyle w:val="TableParagraph"/>
              <w:spacing w:line="200" w:lineRule="exact"/>
              <w:ind w:right="157"/>
              <w:jc w:val="right"/>
              <w:rPr>
                <w:sz w:val="18"/>
              </w:rPr>
            </w:pPr>
            <w:r>
              <w:rPr>
                <w:spacing w:val="-2"/>
                <w:sz w:val="18"/>
              </w:rPr>
              <w:t>8.162488</w:t>
            </w:r>
          </w:p>
        </w:tc>
        <w:tc>
          <w:tcPr>
            <w:tcW w:w="976" w:type="dxa"/>
          </w:tcPr>
          <w:p>
            <w:pPr>
              <w:pStyle w:val="TableParagraph"/>
              <w:spacing w:line="200" w:lineRule="exact"/>
              <w:ind w:right="50"/>
              <w:jc w:val="right"/>
              <w:rPr>
                <w:sz w:val="18"/>
              </w:rPr>
            </w:pPr>
            <w:r>
              <w:rPr>
                <w:spacing w:val="-2"/>
                <w:sz w:val="18"/>
              </w:rPr>
              <w:t>5.058346</w:t>
            </w:r>
          </w:p>
        </w:tc>
        <w:tc>
          <w:tcPr>
            <w:tcW w:w="1069" w:type="dxa"/>
          </w:tcPr>
          <w:p>
            <w:pPr>
              <w:pStyle w:val="TableParagraph"/>
              <w:spacing w:line="200" w:lineRule="exact"/>
              <w:ind w:right="39"/>
              <w:jc w:val="right"/>
              <w:rPr>
                <w:sz w:val="18"/>
              </w:rPr>
            </w:pPr>
            <w:r>
              <w:rPr>
                <w:spacing w:val="-2"/>
                <w:sz w:val="18"/>
              </w:rPr>
              <w:t>2.907496</w:t>
            </w:r>
          </w:p>
        </w:tc>
      </w:tr>
      <w:tr>
        <w:trPr>
          <w:trHeight w:val="224" w:hRule="atLeast"/>
        </w:trPr>
        <w:tc>
          <w:tcPr>
            <w:tcW w:w="583" w:type="dxa"/>
          </w:tcPr>
          <w:p>
            <w:pPr>
              <w:pStyle w:val="TableParagraph"/>
              <w:spacing w:line="198" w:lineRule="exact"/>
              <w:ind w:right="77"/>
              <w:jc w:val="center"/>
              <w:rPr>
                <w:sz w:val="18"/>
              </w:rPr>
            </w:pPr>
            <w:r>
              <w:rPr>
                <w:spacing w:val="-4"/>
                <w:sz w:val="18"/>
              </w:rPr>
              <w:t>2013</w:t>
            </w:r>
          </w:p>
        </w:tc>
        <w:tc>
          <w:tcPr>
            <w:tcW w:w="957" w:type="dxa"/>
          </w:tcPr>
          <w:p>
            <w:pPr>
              <w:pStyle w:val="TableParagraph"/>
              <w:spacing w:line="198" w:lineRule="exact"/>
              <w:ind w:right="73"/>
              <w:jc w:val="right"/>
              <w:rPr>
                <w:sz w:val="18"/>
              </w:rPr>
            </w:pPr>
            <w:r>
              <w:rPr>
                <w:spacing w:val="-2"/>
                <w:sz w:val="18"/>
              </w:rPr>
              <w:t>4.282621</w:t>
            </w:r>
          </w:p>
        </w:tc>
        <w:tc>
          <w:tcPr>
            <w:tcW w:w="901" w:type="dxa"/>
          </w:tcPr>
          <w:p>
            <w:pPr>
              <w:pStyle w:val="TableParagraph"/>
              <w:spacing w:line="198" w:lineRule="exact"/>
              <w:ind w:right="71"/>
              <w:jc w:val="right"/>
              <w:rPr>
                <w:sz w:val="18"/>
              </w:rPr>
            </w:pPr>
            <w:r>
              <w:rPr>
                <w:spacing w:val="-2"/>
                <w:sz w:val="18"/>
              </w:rPr>
              <w:t>11.05436</w:t>
            </w:r>
          </w:p>
        </w:tc>
        <w:tc>
          <w:tcPr>
            <w:tcW w:w="990" w:type="dxa"/>
          </w:tcPr>
          <w:p>
            <w:pPr>
              <w:pStyle w:val="TableParagraph"/>
              <w:spacing w:line="198" w:lineRule="exact"/>
              <w:ind w:right="161"/>
              <w:jc w:val="right"/>
              <w:rPr>
                <w:sz w:val="18"/>
              </w:rPr>
            </w:pPr>
            <w:r>
              <w:rPr>
                <w:spacing w:val="-2"/>
                <w:sz w:val="18"/>
              </w:rPr>
              <w:t>5.661014</w:t>
            </w:r>
          </w:p>
        </w:tc>
        <w:tc>
          <w:tcPr>
            <w:tcW w:w="989" w:type="dxa"/>
          </w:tcPr>
          <w:p>
            <w:pPr>
              <w:pStyle w:val="TableParagraph"/>
              <w:spacing w:line="198" w:lineRule="exact"/>
              <w:ind w:right="70"/>
              <w:jc w:val="right"/>
              <w:rPr>
                <w:sz w:val="18"/>
              </w:rPr>
            </w:pPr>
            <w:r>
              <w:rPr>
                <w:spacing w:val="-2"/>
                <w:sz w:val="18"/>
              </w:rPr>
              <w:t>9.486585</w:t>
            </w:r>
          </w:p>
        </w:tc>
        <w:tc>
          <w:tcPr>
            <w:tcW w:w="913" w:type="dxa"/>
          </w:tcPr>
          <w:p>
            <w:pPr>
              <w:pStyle w:val="TableParagraph"/>
              <w:spacing w:line="198" w:lineRule="exact"/>
              <w:ind w:right="83"/>
              <w:jc w:val="right"/>
              <w:rPr>
                <w:sz w:val="18"/>
              </w:rPr>
            </w:pPr>
            <w:r>
              <w:rPr>
                <w:spacing w:val="-2"/>
                <w:sz w:val="18"/>
              </w:rPr>
              <w:t>2.816606</w:t>
            </w:r>
          </w:p>
        </w:tc>
        <w:tc>
          <w:tcPr>
            <w:tcW w:w="1018" w:type="dxa"/>
          </w:tcPr>
          <w:p>
            <w:pPr>
              <w:pStyle w:val="TableParagraph"/>
              <w:spacing w:line="198" w:lineRule="exact"/>
              <w:ind w:right="112"/>
              <w:jc w:val="right"/>
              <w:rPr>
                <w:sz w:val="18"/>
              </w:rPr>
            </w:pPr>
            <w:r>
              <w:rPr>
                <w:spacing w:val="-2"/>
                <w:sz w:val="18"/>
              </w:rPr>
              <w:t>5.058346</w:t>
            </w:r>
          </w:p>
        </w:tc>
        <w:tc>
          <w:tcPr>
            <w:tcW w:w="1034" w:type="dxa"/>
          </w:tcPr>
          <w:p>
            <w:pPr>
              <w:pStyle w:val="TableParagraph"/>
              <w:spacing w:line="198" w:lineRule="exact"/>
              <w:ind w:right="157"/>
              <w:jc w:val="right"/>
              <w:rPr>
                <w:sz w:val="18"/>
              </w:rPr>
            </w:pPr>
            <w:r>
              <w:rPr>
                <w:spacing w:val="-2"/>
                <w:sz w:val="18"/>
              </w:rPr>
              <w:t>8.148359</w:t>
            </w:r>
          </w:p>
        </w:tc>
        <w:tc>
          <w:tcPr>
            <w:tcW w:w="976" w:type="dxa"/>
          </w:tcPr>
          <w:p>
            <w:pPr>
              <w:pStyle w:val="TableParagraph"/>
              <w:spacing w:line="198" w:lineRule="exact"/>
              <w:ind w:right="50"/>
              <w:jc w:val="right"/>
              <w:rPr>
                <w:sz w:val="18"/>
              </w:rPr>
            </w:pPr>
            <w:r>
              <w:rPr>
                <w:spacing w:val="-2"/>
                <w:sz w:val="18"/>
              </w:rPr>
              <w:t>5.057900</w:t>
            </w:r>
          </w:p>
        </w:tc>
        <w:tc>
          <w:tcPr>
            <w:tcW w:w="1069" w:type="dxa"/>
          </w:tcPr>
          <w:p>
            <w:pPr>
              <w:pStyle w:val="TableParagraph"/>
              <w:spacing w:line="198" w:lineRule="exact"/>
              <w:ind w:right="39"/>
              <w:jc w:val="right"/>
              <w:rPr>
                <w:sz w:val="18"/>
              </w:rPr>
            </w:pPr>
            <w:r>
              <w:rPr>
                <w:spacing w:val="-2"/>
                <w:sz w:val="18"/>
              </w:rPr>
              <w:t>2.882082</w:t>
            </w:r>
          </w:p>
        </w:tc>
      </w:tr>
      <w:tr>
        <w:trPr>
          <w:trHeight w:val="224" w:hRule="atLeast"/>
        </w:trPr>
        <w:tc>
          <w:tcPr>
            <w:tcW w:w="583" w:type="dxa"/>
          </w:tcPr>
          <w:p>
            <w:pPr>
              <w:pStyle w:val="TableParagraph"/>
              <w:spacing w:before="5"/>
              <w:ind w:right="77"/>
              <w:jc w:val="center"/>
              <w:rPr>
                <w:sz w:val="18"/>
              </w:rPr>
            </w:pPr>
            <w:r>
              <w:rPr>
                <w:spacing w:val="-4"/>
                <w:sz w:val="18"/>
              </w:rPr>
              <w:t>2014</w:t>
            </w:r>
          </w:p>
        </w:tc>
        <w:tc>
          <w:tcPr>
            <w:tcW w:w="957" w:type="dxa"/>
          </w:tcPr>
          <w:p>
            <w:pPr>
              <w:pStyle w:val="TableParagraph"/>
              <w:spacing w:before="5"/>
              <w:ind w:right="73"/>
              <w:jc w:val="right"/>
              <w:rPr>
                <w:sz w:val="18"/>
              </w:rPr>
            </w:pPr>
            <w:r>
              <w:rPr>
                <w:spacing w:val="-2"/>
                <w:sz w:val="18"/>
              </w:rPr>
              <w:t>4.287991</w:t>
            </w:r>
          </w:p>
        </w:tc>
        <w:tc>
          <w:tcPr>
            <w:tcW w:w="901" w:type="dxa"/>
          </w:tcPr>
          <w:p>
            <w:pPr>
              <w:pStyle w:val="TableParagraph"/>
              <w:spacing w:before="5"/>
              <w:ind w:right="71"/>
              <w:jc w:val="right"/>
              <w:rPr>
                <w:sz w:val="18"/>
              </w:rPr>
            </w:pPr>
            <w:r>
              <w:rPr>
                <w:spacing w:val="-2"/>
                <w:sz w:val="18"/>
              </w:rPr>
              <w:t>11.11571</w:t>
            </w:r>
          </w:p>
        </w:tc>
        <w:tc>
          <w:tcPr>
            <w:tcW w:w="990" w:type="dxa"/>
          </w:tcPr>
          <w:p>
            <w:pPr>
              <w:pStyle w:val="TableParagraph"/>
              <w:spacing w:before="5"/>
              <w:ind w:right="161"/>
              <w:jc w:val="right"/>
              <w:rPr>
                <w:sz w:val="18"/>
              </w:rPr>
            </w:pPr>
            <w:r>
              <w:rPr>
                <w:spacing w:val="-2"/>
                <w:sz w:val="18"/>
              </w:rPr>
              <w:t>5.947251</w:t>
            </w:r>
          </w:p>
        </w:tc>
        <w:tc>
          <w:tcPr>
            <w:tcW w:w="989" w:type="dxa"/>
          </w:tcPr>
          <w:p>
            <w:pPr>
              <w:pStyle w:val="TableParagraph"/>
              <w:spacing w:before="5"/>
              <w:ind w:right="70"/>
              <w:jc w:val="right"/>
              <w:rPr>
                <w:sz w:val="18"/>
              </w:rPr>
            </w:pPr>
            <w:r>
              <w:rPr>
                <w:spacing w:val="-2"/>
                <w:sz w:val="18"/>
              </w:rPr>
              <w:t>9.165657</w:t>
            </w:r>
          </w:p>
        </w:tc>
        <w:tc>
          <w:tcPr>
            <w:tcW w:w="913" w:type="dxa"/>
          </w:tcPr>
          <w:p>
            <w:pPr>
              <w:pStyle w:val="TableParagraph"/>
              <w:spacing w:before="5"/>
              <w:ind w:right="83"/>
              <w:jc w:val="right"/>
              <w:rPr>
                <w:sz w:val="18"/>
              </w:rPr>
            </w:pPr>
            <w:r>
              <w:rPr>
                <w:spacing w:val="-2"/>
                <w:sz w:val="18"/>
              </w:rPr>
              <w:t>2.806386</w:t>
            </w:r>
          </w:p>
        </w:tc>
        <w:tc>
          <w:tcPr>
            <w:tcW w:w="1018" w:type="dxa"/>
          </w:tcPr>
          <w:p>
            <w:pPr>
              <w:pStyle w:val="TableParagraph"/>
              <w:spacing w:before="5"/>
              <w:ind w:right="112"/>
              <w:jc w:val="right"/>
              <w:rPr>
                <w:sz w:val="18"/>
              </w:rPr>
            </w:pPr>
            <w:r>
              <w:rPr>
                <w:spacing w:val="-2"/>
                <w:sz w:val="18"/>
              </w:rPr>
              <w:t>5.057900</w:t>
            </w:r>
          </w:p>
        </w:tc>
        <w:tc>
          <w:tcPr>
            <w:tcW w:w="1034" w:type="dxa"/>
          </w:tcPr>
          <w:p>
            <w:pPr>
              <w:pStyle w:val="TableParagraph"/>
              <w:spacing w:before="5"/>
              <w:ind w:right="157"/>
              <w:jc w:val="right"/>
              <w:rPr>
                <w:sz w:val="18"/>
              </w:rPr>
            </w:pPr>
            <w:r>
              <w:rPr>
                <w:spacing w:val="-2"/>
                <w:sz w:val="18"/>
              </w:rPr>
              <w:t>8.274892</w:t>
            </w:r>
          </w:p>
        </w:tc>
        <w:tc>
          <w:tcPr>
            <w:tcW w:w="976" w:type="dxa"/>
          </w:tcPr>
          <w:p>
            <w:pPr>
              <w:pStyle w:val="TableParagraph"/>
              <w:spacing w:before="5"/>
              <w:ind w:right="50"/>
              <w:jc w:val="right"/>
              <w:rPr>
                <w:sz w:val="18"/>
              </w:rPr>
            </w:pPr>
            <w:r>
              <w:rPr>
                <w:spacing w:val="-2"/>
                <w:sz w:val="18"/>
              </w:rPr>
              <w:t>5.126105</w:t>
            </w:r>
          </w:p>
        </w:tc>
        <w:tc>
          <w:tcPr>
            <w:tcW w:w="1069" w:type="dxa"/>
          </w:tcPr>
          <w:p>
            <w:pPr>
              <w:pStyle w:val="TableParagraph"/>
              <w:spacing w:before="5"/>
              <w:ind w:right="39"/>
              <w:jc w:val="right"/>
              <w:rPr>
                <w:sz w:val="18"/>
              </w:rPr>
            </w:pPr>
            <w:r>
              <w:rPr>
                <w:spacing w:val="-2"/>
                <w:sz w:val="18"/>
              </w:rPr>
              <w:t>2.922417</w:t>
            </w:r>
          </w:p>
        </w:tc>
      </w:tr>
      <w:tr>
        <w:trPr>
          <w:trHeight w:val="225" w:hRule="atLeast"/>
        </w:trPr>
        <w:tc>
          <w:tcPr>
            <w:tcW w:w="583" w:type="dxa"/>
          </w:tcPr>
          <w:p>
            <w:pPr>
              <w:pStyle w:val="TableParagraph"/>
              <w:ind w:right="77"/>
              <w:jc w:val="center"/>
              <w:rPr>
                <w:sz w:val="18"/>
              </w:rPr>
            </w:pPr>
            <w:r>
              <w:rPr>
                <w:spacing w:val="-4"/>
                <w:sz w:val="18"/>
              </w:rPr>
              <w:t>2015</w:t>
            </w:r>
          </w:p>
        </w:tc>
        <w:tc>
          <w:tcPr>
            <w:tcW w:w="957" w:type="dxa"/>
          </w:tcPr>
          <w:p>
            <w:pPr>
              <w:pStyle w:val="TableParagraph"/>
              <w:ind w:right="73"/>
              <w:jc w:val="right"/>
              <w:rPr>
                <w:sz w:val="18"/>
              </w:rPr>
            </w:pPr>
            <w:r>
              <w:rPr>
                <w:spacing w:val="-2"/>
                <w:sz w:val="18"/>
              </w:rPr>
              <w:t>4.301088</w:t>
            </w:r>
          </w:p>
        </w:tc>
        <w:tc>
          <w:tcPr>
            <w:tcW w:w="901" w:type="dxa"/>
          </w:tcPr>
          <w:p>
            <w:pPr>
              <w:pStyle w:val="TableParagraph"/>
              <w:ind w:right="71"/>
              <w:jc w:val="right"/>
              <w:rPr>
                <w:sz w:val="18"/>
              </w:rPr>
            </w:pPr>
            <w:r>
              <w:rPr>
                <w:spacing w:val="-2"/>
                <w:sz w:val="18"/>
              </w:rPr>
              <w:t>11.14221</w:t>
            </w:r>
          </w:p>
        </w:tc>
        <w:tc>
          <w:tcPr>
            <w:tcW w:w="990" w:type="dxa"/>
          </w:tcPr>
          <w:p>
            <w:pPr>
              <w:pStyle w:val="TableParagraph"/>
              <w:ind w:right="161"/>
              <w:jc w:val="right"/>
              <w:rPr>
                <w:sz w:val="18"/>
              </w:rPr>
            </w:pPr>
            <w:r>
              <w:rPr>
                <w:spacing w:val="-2"/>
                <w:sz w:val="18"/>
              </w:rPr>
              <w:t>6.097287</w:t>
            </w:r>
          </w:p>
        </w:tc>
        <w:tc>
          <w:tcPr>
            <w:tcW w:w="989" w:type="dxa"/>
          </w:tcPr>
          <w:p>
            <w:pPr>
              <w:pStyle w:val="TableParagraph"/>
              <w:ind w:right="70"/>
              <w:jc w:val="right"/>
              <w:rPr>
                <w:sz w:val="18"/>
              </w:rPr>
            </w:pPr>
            <w:r>
              <w:rPr>
                <w:spacing w:val="-2"/>
                <w:sz w:val="18"/>
              </w:rPr>
              <w:t>8.858056</w:t>
            </w:r>
          </w:p>
        </w:tc>
        <w:tc>
          <w:tcPr>
            <w:tcW w:w="913" w:type="dxa"/>
          </w:tcPr>
          <w:p>
            <w:pPr>
              <w:pStyle w:val="TableParagraph"/>
              <w:ind w:right="83"/>
              <w:jc w:val="right"/>
              <w:rPr>
                <w:sz w:val="18"/>
              </w:rPr>
            </w:pPr>
            <w:r>
              <w:rPr>
                <w:spacing w:val="-2"/>
                <w:sz w:val="18"/>
              </w:rPr>
              <w:t>2.824351</w:t>
            </w:r>
          </w:p>
        </w:tc>
        <w:tc>
          <w:tcPr>
            <w:tcW w:w="1018" w:type="dxa"/>
          </w:tcPr>
          <w:p>
            <w:pPr>
              <w:pStyle w:val="TableParagraph"/>
              <w:ind w:right="112"/>
              <w:jc w:val="right"/>
              <w:rPr>
                <w:sz w:val="18"/>
              </w:rPr>
            </w:pPr>
            <w:r>
              <w:rPr>
                <w:spacing w:val="-2"/>
                <w:sz w:val="18"/>
              </w:rPr>
              <w:t>5.126105</w:t>
            </w:r>
          </w:p>
        </w:tc>
        <w:tc>
          <w:tcPr>
            <w:tcW w:w="1034" w:type="dxa"/>
          </w:tcPr>
          <w:p>
            <w:pPr>
              <w:pStyle w:val="TableParagraph"/>
              <w:ind w:right="157"/>
              <w:jc w:val="right"/>
              <w:rPr>
                <w:sz w:val="18"/>
              </w:rPr>
            </w:pPr>
            <w:r>
              <w:rPr>
                <w:spacing w:val="-2"/>
                <w:sz w:val="18"/>
              </w:rPr>
              <w:t>8.020731</w:t>
            </w:r>
          </w:p>
        </w:tc>
        <w:tc>
          <w:tcPr>
            <w:tcW w:w="976" w:type="dxa"/>
          </w:tcPr>
          <w:p>
            <w:pPr>
              <w:pStyle w:val="TableParagraph"/>
              <w:ind w:right="50"/>
              <w:jc w:val="right"/>
              <w:rPr>
                <w:sz w:val="18"/>
              </w:rPr>
            </w:pPr>
            <w:r>
              <w:rPr>
                <w:spacing w:val="-2"/>
                <w:sz w:val="18"/>
              </w:rPr>
              <w:t>4.621339</w:t>
            </w:r>
          </w:p>
        </w:tc>
        <w:tc>
          <w:tcPr>
            <w:tcW w:w="1069" w:type="dxa"/>
          </w:tcPr>
          <w:p>
            <w:pPr>
              <w:pStyle w:val="TableParagraph"/>
              <w:ind w:right="39"/>
              <w:jc w:val="right"/>
              <w:rPr>
                <w:sz w:val="18"/>
              </w:rPr>
            </w:pPr>
            <w:r>
              <w:rPr>
                <w:spacing w:val="-2"/>
                <w:sz w:val="18"/>
              </w:rPr>
              <w:t>2.977328</w:t>
            </w:r>
          </w:p>
        </w:tc>
      </w:tr>
      <w:tr>
        <w:trPr>
          <w:trHeight w:val="225" w:hRule="atLeast"/>
        </w:trPr>
        <w:tc>
          <w:tcPr>
            <w:tcW w:w="583" w:type="dxa"/>
          </w:tcPr>
          <w:p>
            <w:pPr>
              <w:pStyle w:val="TableParagraph"/>
              <w:ind w:right="77"/>
              <w:jc w:val="center"/>
              <w:rPr>
                <w:sz w:val="18"/>
              </w:rPr>
            </w:pPr>
            <w:r>
              <w:rPr>
                <w:spacing w:val="-4"/>
                <w:sz w:val="18"/>
              </w:rPr>
              <w:t>2016</w:t>
            </w:r>
          </w:p>
        </w:tc>
        <w:tc>
          <w:tcPr>
            <w:tcW w:w="957" w:type="dxa"/>
          </w:tcPr>
          <w:p>
            <w:pPr>
              <w:pStyle w:val="TableParagraph"/>
              <w:ind w:right="73"/>
              <w:jc w:val="right"/>
              <w:rPr>
                <w:sz w:val="18"/>
              </w:rPr>
            </w:pPr>
            <w:r>
              <w:rPr>
                <w:spacing w:val="-2"/>
                <w:sz w:val="18"/>
              </w:rPr>
              <w:t>4.301223</w:t>
            </w:r>
          </w:p>
        </w:tc>
        <w:tc>
          <w:tcPr>
            <w:tcW w:w="901" w:type="dxa"/>
          </w:tcPr>
          <w:p>
            <w:pPr>
              <w:pStyle w:val="TableParagraph"/>
              <w:ind w:right="71"/>
              <w:jc w:val="right"/>
              <w:rPr>
                <w:sz w:val="18"/>
              </w:rPr>
            </w:pPr>
            <w:r>
              <w:rPr>
                <w:spacing w:val="-2"/>
                <w:sz w:val="18"/>
              </w:rPr>
              <w:t>11.12625</w:t>
            </w:r>
          </w:p>
        </w:tc>
        <w:tc>
          <w:tcPr>
            <w:tcW w:w="990" w:type="dxa"/>
          </w:tcPr>
          <w:p>
            <w:pPr>
              <w:pStyle w:val="TableParagraph"/>
              <w:ind w:right="161"/>
              <w:jc w:val="right"/>
              <w:rPr>
                <w:sz w:val="18"/>
              </w:rPr>
            </w:pPr>
            <w:r>
              <w:rPr>
                <w:spacing w:val="-2"/>
                <w:sz w:val="18"/>
              </w:rPr>
              <w:t>6.582330</w:t>
            </w:r>
          </w:p>
        </w:tc>
        <w:tc>
          <w:tcPr>
            <w:tcW w:w="989" w:type="dxa"/>
          </w:tcPr>
          <w:p>
            <w:pPr>
              <w:pStyle w:val="TableParagraph"/>
              <w:ind w:right="70"/>
              <w:jc w:val="right"/>
              <w:rPr>
                <w:sz w:val="18"/>
              </w:rPr>
            </w:pPr>
            <w:r>
              <w:rPr>
                <w:spacing w:val="-2"/>
                <w:sz w:val="18"/>
              </w:rPr>
              <w:t>9.202127</w:t>
            </w:r>
          </w:p>
        </w:tc>
        <w:tc>
          <w:tcPr>
            <w:tcW w:w="913" w:type="dxa"/>
          </w:tcPr>
          <w:p>
            <w:pPr>
              <w:pStyle w:val="TableParagraph"/>
              <w:ind w:right="83"/>
              <w:jc w:val="right"/>
              <w:rPr>
                <w:sz w:val="18"/>
              </w:rPr>
            </w:pPr>
            <w:r>
              <w:rPr>
                <w:spacing w:val="-2"/>
                <w:sz w:val="18"/>
              </w:rPr>
              <w:t>2.825537</w:t>
            </w:r>
          </w:p>
        </w:tc>
        <w:tc>
          <w:tcPr>
            <w:tcW w:w="1018" w:type="dxa"/>
          </w:tcPr>
          <w:p>
            <w:pPr>
              <w:pStyle w:val="TableParagraph"/>
              <w:ind w:right="112"/>
              <w:jc w:val="right"/>
              <w:rPr>
                <w:sz w:val="18"/>
              </w:rPr>
            </w:pPr>
            <w:r>
              <w:rPr>
                <w:spacing w:val="-2"/>
                <w:sz w:val="18"/>
              </w:rPr>
              <w:t>5.126105</w:t>
            </w:r>
          </w:p>
        </w:tc>
        <w:tc>
          <w:tcPr>
            <w:tcW w:w="1034" w:type="dxa"/>
          </w:tcPr>
          <w:p>
            <w:pPr>
              <w:pStyle w:val="TableParagraph"/>
              <w:ind w:right="157"/>
              <w:jc w:val="right"/>
              <w:rPr>
                <w:sz w:val="18"/>
              </w:rPr>
            </w:pPr>
            <w:r>
              <w:rPr>
                <w:spacing w:val="-2"/>
                <w:sz w:val="18"/>
              </w:rPr>
              <w:t>7.778923</w:t>
            </w:r>
          </w:p>
        </w:tc>
        <w:tc>
          <w:tcPr>
            <w:tcW w:w="976" w:type="dxa"/>
          </w:tcPr>
          <w:p>
            <w:pPr>
              <w:pStyle w:val="TableParagraph"/>
              <w:ind w:right="50"/>
              <w:jc w:val="right"/>
              <w:rPr>
                <w:sz w:val="18"/>
              </w:rPr>
            </w:pPr>
            <w:r>
              <w:rPr>
                <w:spacing w:val="-2"/>
                <w:sz w:val="18"/>
              </w:rPr>
              <w:t>4.849605</w:t>
            </w:r>
          </w:p>
        </w:tc>
        <w:tc>
          <w:tcPr>
            <w:tcW w:w="1069" w:type="dxa"/>
          </w:tcPr>
          <w:p>
            <w:pPr>
              <w:pStyle w:val="TableParagraph"/>
              <w:ind w:right="39"/>
              <w:jc w:val="right"/>
              <w:rPr>
                <w:sz w:val="18"/>
              </w:rPr>
            </w:pPr>
            <w:r>
              <w:rPr>
                <w:spacing w:val="-2"/>
                <w:sz w:val="18"/>
              </w:rPr>
              <w:t>3.020296</w:t>
            </w:r>
          </w:p>
        </w:tc>
      </w:tr>
      <w:tr>
        <w:trPr>
          <w:trHeight w:val="224" w:hRule="atLeast"/>
        </w:trPr>
        <w:tc>
          <w:tcPr>
            <w:tcW w:w="583" w:type="dxa"/>
          </w:tcPr>
          <w:p>
            <w:pPr>
              <w:pStyle w:val="TableParagraph"/>
              <w:spacing w:line="198" w:lineRule="exact"/>
              <w:ind w:right="77"/>
              <w:jc w:val="center"/>
              <w:rPr>
                <w:sz w:val="18"/>
              </w:rPr>
            </w:pPr>
            <w:r>
              <w:rPr>
                <w:spacing w:val="-4"/>
                <w:sz w:val="18"/>
              </w:rPr>
              <w:t>2017</w:t>
            </w:r>
          </w:p>
        </w:tc>
        <w:tc>
          <w:tcPr>
            <w:tcW w:w="957" w:type="dxa"/>
          </w:tcPr>
          <w:p>
            <w:pPr>
              <w:pStyle w:val="TableParagraph"/>
              <w:spacing w:line="198" w:lineRule="exact"/>
              <w:ind w:right="73"/>
              <w:jc w:val="right"/>
              <w:rPr>
                <w:sz w:val="18"/>
              </w:rPr>
            </w:pPr>
            <w:r>
              <w:rPr>
                <w:spacing w:val="-2"/>
                <w:sz w:val="18"/>
              </w:rPr>
              <w:t>4.312811</w:t>
            </w:r>
          </w:p>
        </w:tc>
        <w:tc>
          <w:tcPr>
            <w:tcW w:w="901" w:type="dxa"/>
          </w:tcPr>
          <w:p>
            <w:pPr>
              <w:pStyle w:val="TableParagraph"/>
              <w:spacing w:line="198" w:lineRule="exact"/>
              <w:ind w:right="71"/>
              <w:jc w:val="right"/>
              <w:rPr>
                <w:sz w:val="18"/>
              </w:rPr>
            </w:pPr>
            <w:r>
              <w:rPr>
                <w:spacing w:val="-2"/>
                <w:sz w:val="18"/>
              </w:rPr>
              <w:t>11.13446</w:t>
            </w:r>
          </w:p>
        </w:tc>
        <w:tc>
          <w:tcPr>
            <w:tcW w:w="990" w:type="dxa"/>
          </w:tcPr>
          <w:p>
            <w:pPr>
              <w:pStyle w:val="TableParagraph"/>
              <w:spacing w:line="198" w:lineRule="exact"/>
              <w:ind w:right="161"/>
              <w:jc w:val="right"/>
              <w:rPr>
                <w:sz w:val="18"/>
              </w:rPr>
            </w:pPr>
            <w:r>
              <w:rPr>
                <w:spacing w:val="-2"/>
                <w:sz w:val="18"/>
              </w:rPr>
              <w:t>6.810120</w:t>
            </w:r>
          </w:p>
        </w:tc>
        <w:tc>
          <w:tcPr>
            <w:tcW w:w="989" w:type="dxa"/>
          </w:tcPr>
          <w:p>
            <w:pPr>
              <w:pStyle w:val="TableParagraph"/>
              <w:spacing w:line="198" w:lineRule="exact"/>
              <w:ind w:right="70"/>
              <w:jc w:val="right"/>
              <w:rPr>
                <w:sz w:val="18"/>
              </w:rPr>
            </w:pPr>
            <w:r>
              <w:rPr>
                <w:spacing w:val="-2"/>
                <w:sz w:val="18"/>
              </w:rPr>
              <w:t>9.237498</w:t>
            </w:r>
          </w:p>
        </w:tc>
        <w:tc>
          <w:tcPr>
            <w:tcW w:w="913" w:type="dxa"/>
          </w:tcPr>
          <w:p>
            <w:pPr>
              <w:pStyle w:val="TableParagraph"/>
              <w:spacing w:line="198" w:lineRule="exact"/>
              <w:ind w:right="83"/>
              <w:jc w:val="right"/>
              <w:rPr>
                <w:sz w:val="18"/>
              </w:rPr>
            </w:pPr>
            <w:r>
              <w:rPr>
                <w:spacing w:val="-2"/>
                <w:sz w:val="18"/>
              </w:rPr>
              <w:t>2.865624</w:t>
            </w:r>
          </w:p>
        </w:tc>
        <w:tc>
          <w:tcPr>
            <w:tcW w:w="1018" w:type="dxa"/>
          </w:tcPr>
          <w:p>
            <w:pPr>
              <w:pStyle w:val="TableParagraph"/>
              <w:spacing w:line="198" w:lineRule="exact"/>
              <w:ind w:right="112"/>
              <w:jc w:val="right"/>
              <w:rPr>
                <w:sz w:val="18"/>
              </w:rPr>
            </w:pPr>
            <w:r>
              <w:rPr>
                <w:spacing w:val="-2"/>
                <w:sz w:val="18"/>
              </w:rPr>
              <w:t>5.131259</w:t>
            </w:r>
          </w:p>
        </w:tc>
        <w:tc>
          <w:tcPr>
            <w:tcW w:w="1034" w:type="dxa"/>
          </w:tcPr>
          <w:p>
            <w:pPr>
              <w:pStyle w:val="TableParagraph"/>
              <w:spacing w:line="198" w:lineRule="exact"/>
              <w:ind w:right="157"/>
              <w:jc w:val="right"/>
              <w:rPr>
                <w:sz w:val="18"/>
              </w:rPr>
            </w:pPr>
            <w:r>
              <w:rPr>
                <w:spacing w:val="-2"/>
                <w:sz w:val="18"/>
              </w:rPr>
              <w:t>7.778923</w:t>
            </w:r>
          </w:p>
        </w:tc>
        <w:tc>
          <w:tcPr>
            <w:tcW w:w="976" w:type="dxa"/>
          </w:tcPr>
          <w:p>
            <w:pPr>
              <w:pStyle w:val="TableParagraph"/>
              <w:spacing w:line="198" w:lineRule="exact"/>
              <w:ind w:right="50"/>
              <w:jc w:val="right"/>
              <w:rPr>
                <w:sz w:val="18"/>
              </w:rPr>
            </w:pPr>
            <w:r>
              <w:rPr>
                <w:spacing w:val="-2"/>
                <w:sz w:val="18"/>
              </w:rPr>
              <w:t>5.191066</w:t>
            </w:r>
          </w:p>
        </w:tc>
        <w:tc>
          <w:tcPr>
            <w:tcW w:w="1069" w:type="dxa"/>
          </w:tcPr>
          <w:p>
            <w:pPr>
              <w:pStyle w:val="TableParagraph"/>
              <w:spacing w:line="198" w:lineRule="exact"/>
              <w:ind w:right="39"/>
              <w:jc w:val="right"/>
              <w:rPr>
                <w:sz w:val="18"/>
              </w:rPr>
            </w:pPr>
            <w:r>
              <w:rPr>
                <w:spacing w:val="-2"/>
                <w:sz w:val="18"/>
              </w:rPr>
              <w:t>2.972814</w:t>
            </w:r>
          </w:p>
        </w:tc>
      </w:tr>
      <w:tr>
        <w:trPr>
          <w:trHeight w:val="224" w:hRule="atLeast"/>
        </w:trPr>
        <w:tc>
          <w:tcPr>
            <w:tcW w:w="583" w:type="dxa"/>
          </w:tcPr>
          <w:p>
            <w:pPr>
              <w:pStyle w:val="TableParagraph"/>
              <w:spacing w:before="5"/>
              <w:ind w:right="77"/>
              <w:jc w:val="center"/>
              <w:rPr>
                <w:sz w:val="18"/>
              </w:rPr>
            </w:pPr>
            <w:r>
              <w:rPr>
                <w:spacing w:val="-4"/>
                <w:sz w:val="18"/>
              </w:rPr>
              <w:t>2018</w:t>
            </w:r>
          </w:p>
        </w:tc>
        <w:tc>
          <w:tcPr>
            <w:tcW w:w="957" w:type="dxa"/>
          </w:tcPr>
          <w:p>
            <w:pPr>
              <w:pStyle w:val="TableParagraph"/>
              <w:spacing w:before="5"/>
              <w:ind w:right="73"/>
              <w:jc w:val="right"/>
              <w:rPr>
                <w:sz w:val="18"/>
              </w:rPr>
            </w:pPr>
            <w:r>
              <w:rPr>
                <w:spacing w:val="-2"/>
                <w:sz w:val="18"/>
              </w:rPr>
              <w:t>4.287991</w:t>
            </w:r>
          </w:p>
        </w:tc>
        <w:tc>
          <w:tcPr>
            <w:tcW w:w="901" w:type="dxa"/>
          </w:tcPr>
          <w:p>
            <w:pPr>
              <w:pStyle w:val="TableParagraph"/>
              <w:spacing w:before="5"/>
              <w:ind w:right="71"/>
              <w:jc w:val="right"/>
              <w:rPr>
                <w:sz w:val="18"/>
              </w:rPr>
            </w:pPr>
            <w:r>
              <w:rPr>
                <w:spacing w:val="-2"/>
                <w:sz w:val="18"/>
              </w:rPr>
              <w:t>11.15353</w:t>
            </w:r>
          </w:p>
        </w:tc>
        <w:tc>
          <w:tcPr>
            <w:tcW w:w="990" w:type="dxa"/>
          </w:tcPr>
          <w:p>
            <w:pPr>
              <w:pStyle w:val="TableParagraph"/>
              <w:spacing w:before="5"/>
              <w:ind w:right="161"/>
              <w:jc w:val="right"/>
              <w:rPr>
                <w:sz w:val="18"/>
              </w:rPr>
            </w:pPr>
            <w:r>
              <w:rPr>
                <w:spacing w:val="-2"/>
                <w:sz w:val="18"/>
              </w:rPr>
              <w:t>5.661014</w:t>
            </w:r>
          </w:p>
        </w:tc>
        <w:tc>
          <w:tcPr>
            <w:tcW w:w="989" w:type="dxa"/>
          </w:tcPr>
          <w:p>
            <w:pPr>
              <w:pStyle w:val="TableParagraph"/>
              <w:spacing w:before="5"/>
              <w:ind w:right="70"/>
              <w:jc w:val="right"/>
              <w:rPr>
                <w:sz w:val="18"/>
              </w:rPr>
            </w:pPr>
            <w:r>
              <w:rPr>
                <w:spacing w:val="-2"/>
                <w:sz w:val="18"/>
              </w:rPr>
              <w:t>9.602443</w:t>
            </w:r>
          </w:p>
        </w:tc>
        <w:tc>
          <w:tcPr>
            <w:tcW w:w="913" w:type="dxa"/>
          </w:tcPr>
          <w:p>
            <w:pPr>
              <w:pStyle w:val="TableParagraph"/>
              <w:spacing w:before="5"/>
              <w:ind w:right="83"/>
              <w:jc w:val="right"/>
              <w:rPr>
                <w:sz w:val="18"/>
              </w:rPr>
            </w:pPr>
            <w:r>
              <w:rPr>
                <w:spacing w:val="-2"/>
                <w:sz w:val="18"/>
              </w:rPr>
              <w:t>2.961658</w:t>
            </w:r>
          </w:p>
        </w:tc>
        <w:tc>
          <w:tcPr>
            <w:tcW w:w="1018" w:type="dxa"/>
          </w:tcPr>
          <w:p>
            <w:pPr>
              <w:pStyle w:val="TableParagraph"/>
              <w:spacing w:before="5"/>
              <w:ind w:right="112"/>
              <w:jc w:val="right"/>
              <w:rPr>
                <w:sz w:val="18"/>
              </w:rPr>
            </w:pPr>
            <w:r>
              <w:rPr>
                <w:spacing w:val="-2"/>
                <w:sz w:val="18"/>
              </w:rPr>
              <w:t>5.007831</w:t>
            </w:r>
          </w:p>
        </w:tc>
        <w:tc>
          <w:tcPr>
            <w:tcW w:w="1034" w:type="dxa"/>
          </w:tcPr>
          <w:p>
            <w:pPr>
              <w:pStyle w:val="TableParagraph"/>
              <w:spacing w:before="5"/>
              <w:ind w:right="157"/>
              <w:jc w:val="right"/>
              <w:rPr>
                <w:sz w:val="18"/>
              </w:rPr>
            </w:pPr>
            <w:r>
              <w:rPr>
                <w:spacing w:val="-2"/>
                <w:sz w:val="18"/>
              </w:rPr>
              <w:t>7.999108</w:t>
            </w:r>
          </w:p>
        </w:tc>
        <w:tc>
          <w:tcPr>
            <w:tcW w:w="976" w:type="dxa"/>
          </w:tcPr>
          <w:p>
            <w:pPr>
              <w:pStyle w:val="TableParagraph"/>
              <w:spacing w:before="5"/>
              <w:ind w:right="50"/>
              <w:jc w:val="right"/>
              <w:rPr>
                <w:sz w:val="18"/>
              </w:rPr>
            </w:pPr>
            <w:r>
              <w:rPr>
                <w:spacing w:val="-2"/>
                <w:sz w:val="18"/>
              </w:rPr>
              <w:t>5.222893</w:t>
            </w:r>
          </w:p>
        </w:tc>
        <w:tc>
          <w:tcPr>
            <w:tcW w:w="1069" w:type="dxa"/>
          </w:tcPr>
          <w:p>
            <w:pPr>
              <w:pStyle w:val="TableParagraph"/>
              <w:spacing w:before="5"/>
              <w:ind w:right="39"/>
              <w:jc w:val="right"/>
              <w:rPr>
                <w:sz w:val="18"/>
              </w:rPr>
            </w:pPr>
            <w:r>
              <w:rPr>
                <w:spacing w:val="-2"/>
                <w:sz w:val="18"/>
              </w:rPr>
              <w:t>2.864682</w:t>
            </w:r>
          </w:p>
        </w:tc>
      </w:tr>
      <w:tr>
        <w:trPr>
          <w:trHeight w:val="225" w:hRule="atLeast"/>
        </w:trPr>
        <w:tc>
          <w:tcPr>
            <w:tcW w:w="583" w:type="dxa"/>
          </w:tcPr>
          <w:p>
            <w:pPr>
              <w:pStyle w:val="TableParagraph"/>
              <w:ind w:right="77"/>
              <w:jc w:val="center"/>
              <w:rPr>
                <w:sz w:val="18"/>
              </w:rPr>
            </w:pPr>
            <w:r>
              <w:rPr>
                <w:spacing w:val="-4"/>
                <w:sz w:val="18"/>
              </w:rPr>
              <w:t>2019</w:t>
            </w:r>
          </w:p>
        </w:tc>
        <w:tc>
          <w:tcPr>
            <w:tcW w:w="957" w:type="dxa"/>
          </w:tcPr>
          <w:p>
            <w:pPr>
              <w:pStyle w:val="TableParagraph"/>
              <w:ind w:right="73"/>
              <w:jc w:val="right"/>
              <w:rPr>
                <w:sz w:val="18"/>
              </w:rPr>
            </w:pPr>
            <w:r>
              <w:rPr>
                <w:spacing w:val="-2"/>
                <w:sz w:val="18"/>
              </w:rPr>
              <w:t>4.301088</w:t>
            </w:r>
          </w:p>
        </w:tc>
        <w:tc>
          <w:tcPr>
            <w:tcW w:w="901" w:type="dxa"/>
          </w:tcPr>
          <w:p>
            <w:pPr>
              <w:pStyle w:val="TableParagraph"/>
              <w:ind w:right="71"/>
              <w:jc w:val="right"/>
              <w:rPr>
                <w:sz w:val="18"/>
              </w:rPr>
            </w:pPr>
            <w:r>
              <w:rPr>
                <w:spacing w:val="-2"/>
                <w:sz w:val="18"/>
              </w:rPr>
              <w:t>11.17588</w:t>
            </w:r>
          </w:p>
        </w:tc>
        <w:tc>
          <w:tcPr>
            <w:tcW w:w="990" w:type="dxa"/>
          </w:tcPr>
          <w:p>
            <w:pPr>
              <w:pStyle w:val="TableParagraph"/>
              <w:ind w:right="161"/>
              <w:jc w:val="right"/>
              <w:rPr>
                <w:sz w:val="18"/>
              </w:rPr>
            </w:pPr>
            <w:r>
              <w:rPr>
                <w:spacing w:val="-2"/>
                <w:sz w:val="18"/>
              </w:rPr>
              <w:t>5.947251</w:t>
            </w:r>
          </w:p>
        </w:tc>
        <w:tc>
          <w:tcPr>
            <w:tcW w:w="989" w:type="dxa"/>
          </w:tcPr>
          <w:p>
            <w:pPr>
              <w:pStyle w:val="TableParagraph"/>
              <w:ind w:right="70"/>
              <w:jc w:val="right"/>
              <w:rPr>
                <w:sz w:val="18"/>
              </w:rPr>
            </w:pPr>
            <w:r>
              <w:rPr>
                <w:spacing w:val="-2"/>
                <w:sz w:val="18"/>
              </w:rPr>
              <w:t>9.856260</w:t>
            </w:r>
          </w:p>
        </w:tc>
        <w:tc>
          <w:tcPr>
            <w:tcW w:w="913" w:type="dxa"/>
          </w:tcPr>
          <w:p>
            <w:pPr>
              <w:pStyle w:val="TableParagraph"/>
              <w:ind w:right="83"/>
              <w:jc w:val="right"/>
              <w:rPr>
                <w:sz w:val="18"/>
              </w:rPr>
            </w:pPr>
            <w:r>
              <w:rPr>
                <w:spacing w:val="-2"/>
                <w:sz w:val="18"/>
              </w:rPr>
              <w:t>2.742774</w:t>
            </w:r>
          </w:p>
        </w:tc>
        <w:tc>
          <w:tcPr>
            <w:tcW w:w="1018" w:type="dxa"/>
          </w:tcPr>
          <w:p>
            <w:pPr>
              <w:pStyle w:val="TableParagraph"/>
              <w:ind w:right="112"/>
              <w:jc w:val="right"/>
              <w:rPr>
                <w:sz w:val="18"/>
              </w:rPr>
            </w:pPr>
            <w:r>
              <w:rPr>
                <w:spacing w:val="-2"/>
                <w:sz w:val="18"/>
              </w:rPr>
              <w:t>5.015026</w:t>
            </w:r>
          </w:p>
        </w:tc>
        <w:tc>
          <w:tcPr>
            <w:tcW w:w="1034" w:type="dxa"/>
          </w:tcPr>
          <w:p>
            <w:pPr>
              <w:pStyle w:val="TableParagraph"/>
              <w:ind w:right="157"/>
              <w:jc w:val="right"/>
              <w:rPr>
                <w:sz w:val="18"/>
              </w:rPr>
            </w:pPr>
            <w:r>
              <w:rPr>
                <w:spacing w:val="-2"/>
                <w:sz w:val="18"/>
              </w:rPr>
              <w:t>8.162488</w:t>
            </w:r>
          </w:p>
        </w:tc>
        <w:tc>
          <w:tcPr>
            <w:tcW w:w="976" w:type="dxa"/>
          </w:tcPr>
          <w:p>
            <w:pPr>
              <w:pStyle w:val="TableParagraph"/>
              <w:ind w:right="50"/>
              <w:jc w:val="right"/>
              <w:rPr>
                <w:sz w:val="18"/>
              </w:rPr>
            </w:pPr>
            <w:r>
              <w:rPr>
                <w:spacing w:val="-2"/>
                <w:sz w:val="18"/>
              </w:rPr>
              <w:t>5.177448</w:t>
            </w:r>
          </w:p>
        </w:tc>
        <w:tc>
          <w:tcPr>
            <w:tcW w:w="1069" w:type="dxa"/>
          </w:tcPr>
          <w:p>
            <w:pPr>
              <w:pStyle w:val="TableParagraph"/>
              <w:ind w:right="39"/>
              <w:jc w:val="right"/>
              <w:rPr>
                <w:sz w:val="18"/>
              </w:rPr>
            </w:pPr>
            <w:r>
              <w:rPr>
                <w:spacing w:val="-2"/>
                <w:sz w:val="18"/>
              </w:rPr>
              <w:t>2.869629</w:t>
            </w:r>
          </w:p>
        </w:tc>
      </w:tr>
      <w:tr>
        <w:trPr>
          <w:trHeight w:val="213" w:hRule="atLeast"/>
        </w:trPr>
        <w:tc>
          <w:tcPr>
            <w:tcW w:w="583" w:type="dxa"/>
          </w:tcPr>
          <w:p>
            <w:pPr>
              <w:pStyle w:val="TableParagraph"/>
              <w:spacing w:line="187" w:lineRule="exact"/>
              <w:ind w:right="77"/>
              <w:jc w:val="center"/>
              <w:rPr>
                <w:sz w:val="18"/>
              </w:rPr>
            </w:pPr>
            <w:r>
              <w:rPr>
                <w:spacing w:val="-4"/>
                <w:sz w:val="18"/>
              </w:rPr>
              <w:t>2020</w:t>
            </w:r>
          </w:p>
        </w:tc>
        <w:tc>
          <w:tcPr>
            <w:tcW w:w="957" w:type="dxa"/>
          </w:tcPr>
          <w:p>
            <w:pPr>
              <w:pStyle w:val="TableParagraph"/>
              <w:spacing w:line="187" w:lineRule="exact"/>
              <w:ind w:right="73"/>
              <w:jc w:val="right"/>
              <w:rPr>
                <w:sz w:val="18"/>
              </w:rPr>
            </w:pPr>
            <w:r>
              <w:rPr>
                <w:spacing w:val="-2"/>
                <w:sz w:val="18"/>
              </w:rPr>
              <w:t>4.301223</w:t>
            </w:r>
          </w:p>
        </w:tc>
        <w:tc>
          <w:tcPr>
            <w:tcW w:w="901" w:type="dxa"/>
          </w:tcPr>
          <w:p>
            <w:pPr>
              <w:pStyle w:val="TableParagraph"/>
              <w:spacing w:line="187" w:lineRule="exact"/>
              <w:ind w:right="71"/>
              <w:jc w:val="right"/>
              <w:rPr>
                <w:sz w:val="18"/>
              </w:rPr>
            </w:pPr>
            <w:r>
              <w:rPr>
                <w:spacing w:val="-2"/>
                <w:sz w:val="18"/>
              </w:rPr>
              <w:t>11.15646</w:t>
            </w:r>
          </w:p>
        </w:tc>
        <w:tc>
          <w:tcPr>
            <w:tcW w:w="990" w:type="dxa"/>
          </w:tcPr>
          <w:p>
            <w:pPr>
              <w:pStyle w:val="TableParagraph"/>
              <w:spacing w:line="187" w:lineRule="exact"/>
              <w:ind w:right="161"/>
              <w:jc w:val="right"/>
              <w:rPr>
                <w:sz w:val="18"/>
              </w:rPr>
            </w:pPr>
            <w:r>
              <w:rPr>
                <w:spacing w:val="-2"/>
                <w:sz w:val="18"/>
              </w:rPr>
              <w:t>6.097287</w:t>
            </w:r>
          </w:p>
        </w:tc>
        <w:tc>
          <w:tcPr>
            <w:tcW w:w="989" w:type="dxa"/>
          </w:tcPr>
          <w:p>
            <w:pPr>
              <w:pStyle w:val="TableParagraph"/>
              <w:spacing w:line="187" w:lineRule="exact"/>
              <w:ind w:right="70"/>
              <w:jc w:val="right"/>
              <w:rPr>
                <w:sz w:val="18"/>
              </w:rPr>
            </w:pPr>
            <w:r>
              <w:rPr>
                <w:spacing w:val="-2"/>
                <w:sz w:val="18"/>
              </w:rPr>
              <w:t>9.733594</w:t>
            </w:r>
          </w:p>
        </w:tc>
        <w:tc>
          <w:tcPr>
            <w:tcW w:w="913" w:type="dxa"/>
          </w:tcPr>
          <w:p>
            <w:pPr>
              <w:pStyle w:val="TableParagraph"/>
              <w:spacing w:line="187" w:lineRule="exact"/>
              <w:ind w:right="83"/>
              <w:jc w:val="right"/>
              <w:rPr>
                <w:sz w:val="18"/>
              </w:rPr>
            </w:pPr>
            <w:r>
              <w:rPr>
                <w:spacing w:val="-2"/>
                <w:sz w:val="18"/>
              </w:rPr>
              <w:t>2.511224</w:t>
            </w:r>
          </w:p>
        </w:tc>
        <w:tc>
          <w:tcPr>
            <w:tcW w:w="1018" w:type="dxa"/>
          </w:tcPr>
          <w:p>
            <w:pPr>
              <w:pStyle w:val="TableParagraph"/>
              <w:spacing w:line="187" w:lineRule="exact"/>
              <w:ind w:right="112"/>
              <w:jc w:val="right"/>
              <w:rPr>
                <w:sz w:val="18"/>
              </w:rPr>
            </w:pPr>
            <w:r>
              <w:rPr>
                <w:spacing w:val="-2"/>
                <w:sz w:val="18"/>
              </w:rPr>
              <w:t>5.064302</w:t>
            </w:r>
          </w:p>
        </w:tc>
        <w:tc>
          <w:tcPr>
            <w:tcW w:w="1034" w:type="dxa"/>
          </w:tcPr>
          <w:p>
            <w:pPr>
              <w:pStyle w:val="TableParagraph"/>
              <w:spacing w:line="187" w:lineRule="exact"/>
              <w:ind w:right="157"/>
              <w:jc w:val="right"/>
              <w:rPr>
                <w:sz w:val="18"/>
              </w:rPr>
            </w:pPr>
            <w:r>
              <w:rPr>
                <w:spacing w:val="-2"/>
                <w:sz w:val="18"/>
              </w:rPr>
              <w:t>8.148359</w:t>
            </w:r>
          </w:p>
        </w:tc>
        <w:tc>
          <w:tcPr>
            <w:tcW w:w="976" w:type="dxa"/>
          </w:tcPr>
          <w:p>
            <w:pPr>
              <w:pStyle w:val="TableParagraph"/>
              <w:spacing w:line="187" w:lineRule="exact"/>
              <w:ind w:right="50"/>
              <w:jc w:val="right"/>
              <w:rPr>
                <w:sz w:val="18"/>
              </w:rPr>
            </w:pPr>
            <w:r>
              <w:rPr>
                <w:spacing w:val="-2"/>
                <w:sz w:val="18"/>
              </w:rPr>
              <w:t>5.184645</w:t>
            </w:r>
          </w:p>
        </w:tc>
        <w:tc>
          <w:tcPr>
            <w:tcW w:w="1069" w:type="dxa"/>
          </w:tcPr>
          <w:p>
            <w:pPr>
              <w:pStyle w:val="TableParagraph"/>
              <w:spacing w:line="187" w:lineRule="exact"/>
              <w:ind w:right="39"/>
              <w:jc w:val="right"/>
              <w:rPr>
                <w:sz w:val="18"/>
              </w:rPr>
            </w:pPr>
            <w:r>
              <w:rPr>
                <w:spacing w:val="-2"/>
                <w:sz w:val="18"/>
              </w:rPr>
              <w:t>2.935654</w:t>
            </w:r>
          </w:p>
        </w:tc>
      </w:tr>
    </w:tbl>
    <w:p>
      <w:pPr>
        <w:spacing w:after="0" w:line="187" w:lineRule="exact"/>
        <w:jc w:val="right"/>
        <w:rPr>
          <w:sz w:val="18"/>
        </w:rPr>
        <w:sectPr>
          <w:footerReference w:type="default" r:id="rId12"/>
          <w:pgSz w:w="15840" w:h="12240" w:orient="landscape"/>
          <w:pgMar w:header="0" w:footer="1012" w:top="1380" w:bottom="1200" w:left="1280" w:right="2260"/>
        </w:sectPr>
      </w:pPr>
    </w:p>
    <w:p>
      <w:pPr>
        <w:pStyle w:val="BodyText"/>
        <w:ind w:left="0"/>
        <w:rPr>
          <w:b/>
        </w:rPr>
      </w:pPr>
      <w:r>
        <w:rPr/>
        <mc:AlternateContent>
          <mc:Choice Requires="wps">
            <w:drawing>
              <wp:anchor distT="0" distB="0" distL="0" distR="0" allowOverlap="1" layoutInCell="1" locked="0" behindDoc="1" simplePos="0" relativeHeight="478120448">
                <wp:simplePos x="0" y="0"/>
                <wp:positionH relativeFrom="page">
                  <wp:posOffset>2093087</wp:posOffset>
                </wp:positionH>
                <wp:positionV relativeFrom="page">
                  <wp:posOffset>3863975</wp:posOffset>
                </wp:positionV>
                <wp:extent cx="2725420" cy="2851785"/>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2725420" cy="2851785"/>
                        </a:xfrm>
                        <a:custGeom>
                          <a:avLst/>
                          <a:gdLst/>
                          <a:ahLst/>
                          <a:cxnLst/>
                          <a:rect l="l" t="t" r="r" b="b"/>
                          <a:pathLst>
                            <a:path w="2725420" h="2851785">
                              <a:moveTo>
                                <a:pt x="677037" y="2727363"/>
                              </a:moveTo>
                              <a:lnTo>
                                <a:pt x="123825" y="2174240"/>
                              </a:lnTo>
                              <a:lnTo>
                                <a:pt x="0" y="2298065"/>
                              </a:lnTo>
                              <a:lnTo>
                                <a:pt x="553212" y="2851188"/>
                              </a:lnTo>
                              <a:lnTo>
                                <a:pt x="677037" y="2727363"/>
                              </a:lnTo>
                              <a:close/>
                            </a:path>
                            <a:path w="2725420" h="2851785">
                              <a:moveTo>
                                <a:pt x="1052703" y="2298128"/>
                              </a:moveTo>
                              <a:lnTo>
                                <a:pt x="1049020" y="2245868"/>
                              </a:lnTo>
                              <a:lnTo>
                                <a:pt x="1033995" y="2190204"/>
                              </a:lnTo>
                              <a:lnTo>
                                <a:pt x="1007364" y="2134997"/>
                              </a:lnTo>
                              <a:lnTo>
                                <a:pt x="970749" y="2082050"/>
                              </a:lnTo>
                              <a:lnTo>
                                <a:pt x="925957" y="2031746"/>
                              </a:lnTo>
                              <a:lnTo>
                                <a:pt x="596138" y="1701927"/>
                              </a:lnTo>
                              <a:lnTo>
                                <a:pt x="472821" y="1825244"/>
                              </a:lnTo>
                              <a:lnTo>
                                <a:pt x="810387" y="2162937"/>
                              </a:lnTo>
                              <a:lnTo>
                                <a:pt x="830897" y="2185746"/>
                              </a:lnTo>
                              <a:lnTo>
                                <a:pt x="846543" y="2208212"/>
                              </a:lnTo>
                              <a:lnTo>
                                <a:pt x="857389" y="2230310"/>
                              </a:lnTo>
                              <a:lnTo>
                                <a:pt x="863473" y="2251964"/>
                              </a:lnTo>
                              <a:lnTo>
                                <a:pt x="864425" y="2272804"/>
                              </a:lnTo>
                              <a:lnTo>
                                <a:pt x="860488" y="2292248"/>
                              </a:lnTo>
                              <a:lnTo>
                                <a:pt x="838073" y="2326894"/>
                              </a:lnTo>
                              <a:lnTo>
                                <a:pt x="803160" y="2349462"/>
                              </a:lnTo>
                              <a:lnTo>
                                <a:pt x="783615" y="2353246"/>
                              </a:lnTo>
                              <a:lnTo>
                                <a:pt x="762635" y="2351913"/>
                              </a:lnTo>
                              <a:lnTo>
                                <a:pt x="718566" y="2335238"/>
                              </a:lnTo>
                              <a:lnTo>
                                <a:pt x="673735" y="2299589"/>
                              </a:lnTo>
                              <a:lnTo>
                                <a:pt x="336169" y="1961896"/>
                              </a:lnTo>
                              <a:lnTo>
                                <a:pt x="212725" y="2085213"/>
                              </a:lnTo>
                              <a:lnTo>
                                <a:pt x="542544" y="2415032"/>
                              </a:lnTo>
                              <a:lnTo>
                                <a:pt x="589292" y="2455926"/>
                              </a:lnTo>
                              <a:lnTo>
                                <a:pt x="647573" y="2497201"/>
                              </a:lnTo>
                              <a:lnTo>
                                <a:pt x="690054" y="2519197"/>
                              </a:lnTo>
                              <a:lnTo>
                                <a:pt x="737870" y="2534412"/>
                              </a:lnTo>
                              <a:lnTo>
                                <a:pt x="785342" y="2541803"/>
                              </a:lnTo>
                              <a:lnTo>
                                <a:pt x="807173" y="2541905"/>
                              </a:lnTo>
                              <a:lnTo>
                                <a:pt x="827786" y="2539746"/>
                              </a:lnTo>
                              <a:lnTo>
                                <a:pt x="867879" y="2527871"/>
                              </a:lnTo>
                              <a:lnTo>
                                <a:pt x="908177" y="2504567"/>
                              </a:lnTo>
                              <a:lnTo>
                                <a:pt x="945210" y="2475331"/>
                              </a:lnTo>
                              <a:lnTo>
                                <a:pt x="977011" y="2446274"/>
                              </a:lnTo>
                              <a:lnTo>
                                <a:pt x="1019365" y="2394864"/>
                              </a:lnTo>
                              <a:lnTo>
                                <a:pt x="1045337" y="2341626"/>
                              </a:lnTo>
                              <a:lnTo>
                                <a:pt x="1050340" y="2320988"/>
                              </a:lnTo>
                              <a:lnTo>
                                <a:pt x="1052703" y="2298128"/>
                              </a:lnTo>
                              <a:close/>
                            </a:path>
                            <a:path w="2725420" h="2851785">
                              <a:moveTo>
                                <a:pt x="1514906" y="1800758"/>
                              </a:moveTo>
                              <a:lnTo>
                                <a:pt x="1510944" y="1760004"/>
                              </a:lnTo>
                              <a:lnTo>
                                <a:pt x="1500924" y="1718437"/>
                              </a:lnTo>
                              <a:lnTo>
                                <a:pt x="1484630" y="1676019"/>
                              </a:lnTo>
                              <a:lnTo>
                                <a:pt x="1466799" y="1641500"/>
                              </a:lnTo>
                              <a:lnTo>
                                <a:pt x="1444396" y="1605927"/>
                              </a:lnTo>
                              <a:lnTo>
                                <a:pt x="1417332" y="1569351"/>
                              </a:lnTo>
                              <a:lnTo>
                                <a:pt x="1385658" y="1531886"/>
                              </a:lnTo>
                              <a:lnTo>
                                <a:pt x="1374343" y="1519974"/>
                              </a:lnTo>
                              <a:lnTo>
                                <a:pt x="1349248" y="1493520"/>
                              </a:lnTo>
                              <a:lnTo>
                                <a:pt x="1334071" y="1479397"/>
                              </a:lnTo>
                              <a:lnTo>
                                <a:pt x="1334071" y="1793036"/>
                              </a:lnTo>
                              <a:lnTo>
                                <a:pt x="1330960" y="1818589"/>
                              </a:lnTo>
                              <a:lnTo>
                                <a:pt x="1304544" y="1862963"/>
                              </a:lnTo>
                              <a:lnTo>
                                <a:pt x="1260627" y="1888655"/>
                              </a:lnTo>
                              <a:lnTo>
                                <a:pt x="1234922" y="1891474"/>
                              </a:lnTo>
                              <a:lnTo>
                                <a:pt x="1206627" y="1887474"/>
                              </a:lnTo>
                              <a:lnTo>
                                <a:pt x="1141310" y="1855927"/>
                              </a:lnTo>
                              <a:lnTo>
                                <a:pt x="1103998" y="1827225"/>
                              </a:lnTo>
                              <a:lnTo>
                                <a:pt x="1063625" y="1789684"/>
                              </a:lnTo>
                              <a:lnTo>
                                <a:pt x="1025956" y="1749107"/>
                              </a:lnTo>
                              <a:lnTo>
                                <a:pt x="997077" y="1711579"/>
                              </a:lnTo>
                              <a:lnTo>
                                <a:pt x="976858" y="1677212"/>
                              </a:lnTo>
                              <a:lnTo>
                                <a:pt x="961186" y="1617764"/>
                              </a:lnTo>
                              <a:lnTo>
                                <a:pt x="963891" y="1592186"/>
                              </a:lnTo>
                              <a:lnTo>
                                <a:pt x="988695" y="1549273"/>
                              </a:lnTo>
                              <a:lnTo>
                                <a:pt x="1032675" y="1523263"/>
                              </a:lnTo>
                              <a:lnTo>
                                <a:pt x="1058392" y="1519974"/>
                              </a:lnTo>
                              <a:lnTo>
                                <a:pt x="1086523" y="1523263"/>
                              </a:lnTo>
                              <a:lnTo>
                                <a:pt x="1150073" y="1553133"/>
                              </a:lnTo>
                              <a:lnTo>
                                <a:pt x="1185532" y="1579981"/>
                              </a:lnTo>
                              <a:lnTo>
                                <a:pt x="1223391" y="1614932"/>
                              </a:lnTo>
                              <a:lnTo>
                                <a:pt x="1264805" y="1659191"/>
                              </a:lnTo>
                              <a:lnTo>
                                <a:pt x="1296377" y="1699094"/>
                              </a:lnTo>
                              <a:lnTo>
                                <a:pt x="1318183" y="1734540"/>
                              </a:lnTo>
                              <a:lnTo>
                                <a:pt x="1334071" y="1793036"/>
                              </a:lnTo>
                              <a:lnTo>
                                <a:pt x="1334071" y="1479397"/>
                              </a:lnTo>
                              <a:lnTo>
                                <a:pt x="1304861" y="1452206"/>
                              </a:lnTo>
                              <a:lnTo>
                                <a:pt x="1260741" y="1417243"/>
                              </a:lnTo>
                              <a:lnTo>
                                <a:pt x="1216926" y="1388579"/>
                              </a:lnTo>
                              <a:lnTo>
                                <a:pt x="1173403" y="1366139"/>
                              </a:lnTo>
                              <a:lnTo>
                                <a:pt x="1130211" y="1349883"/>
                              </a:lnTo>
                              <a:lnTo>
                                <a:pt x="1087374" y="1339723"/>
                              </a:lnTo>
                              <a:lnTo>
                                <a:pt x="1037336" y="1336192"/>
                              </a:lnTo>
                              <a:lnTo>
                                <a:pt x="989520" y="1342542"/>
                              </a:lnTo>
                              <a:lnTo>
                                <a:pt x="943940" y="1358671"/>
                              </a:lnTo>
                              <a:lnTo>
                                <a:pt x="900595" y="1384452"/>
                              </a:lnTo>
                              <a:lnTo>
                                <a:pt x="859536" y="1419733"/>
                              </a:lnTo>
                              <a:lnTo>
                                <a:pt x="825195" y="1460017"/>
                              </a:lnTo>
                              <a:lnTo>
                                <a:pt x="800277" y="1502918"/>
                              </a:lnTo>
                              <a:lnTo>
                                <a:pt x="784872" y="1548434"/>
                              </a:lnTo>
                              <a:lnTo>
                                <a:pt x="779068" y="1596491"/>
                              </a:lnTo>
                              <a:lnTo>
                                <a:pt x="782955" y="1647063"/>
                              </a:lnTo>
                              <a:lnTo>
                                <a:pt x="793432" y="1690458"/>
                              </a:lnTo>
                              <a:lnTo>
                                <a:pt x="810082" y="1734261"/>
                              </a:lnTo>
                              <a:lnTo>
                                <a:pt x="832942" y="1778419"/>
                              </a:lnTo>
                              <a:lnTo>
                                <a:pt x="862076" y="1822894"/>
                              </a:lnTo>
                              <a:lnTo>
                                <a:pt x="897547" y="1867649"/>
                              </a:lnTo>
                              <a:lnTo>
                                <a:pt x="939419" y="1912620"/>
                              </a:lnTo>
                              <a:lnTo>
                                <a:pt x="977925" y="1948903"/>
                              </a:lnTo>
                              <a:lnTo>
                                <a:pt x="1016152" y="1980374"/>
                              </a:lnTo>
                              <a:lnTo>
                                <a:pt x="1054023" y="2007082"/>
                              </a:lnTo>
                              <a:lnTo>
                                <a:pt x="1091463" y="2029104"/>
                              </a:lnTo>
                              <a:lnTo>
                                <a:pt x="1128395" y="2046478"/>
                              </a:lnTo>
                              <a:lnTo>
                                <a:pt x="1173149" y="2061946"/>
                              </a:lnTo>
                              <a:lnTo>
                                <a:pt x="1215809" y="2070620"/>
                              </a:lnTo>
                              <a:lnTo>
                                <a:pt x="1256347" y="2072805"/>
                              </a:lnTo>
                              <a:lnTo>
                                <a:pt x="1294765" y="2068830"/>
                              </a:lnTo>
                              <a:lnTo>
                                <a:pt x="1331455" y="2058555"/>
                              </a:lnTo>
                              <a:lnTo>
                                <a:pt x="1367294" y="2041334"/>
                              </a:lnTo>
                              <a:lnTo>
                                <a:pt x="1402295" y="2017369"/>
                              </a:lnTo>
                              <a:lnTo>
                                <a:pt x="1436497" y="1986788"/>
                              </a:lnTo>
                              <a:lnTo>
                                <a:pt x="1466329" y="1952650"/>
                              </a:lnTo>
                              <a:lnTo>
                                <a:pt x="1489113" y="1916912"/>
                              </a:lnTo>
                              <a:lnTo>
                                <a:pt x="1504734" y="1879600"/>
                              </a:lnTo>
                              <a:lnTo>
                                <a:pt x="1513078" y="1840738"/>
                              </a:lnTo>
                              <a:lnTo>
                                <a:pt x="1514906" y="1800758"/>
                              </a:lnTo>
                              <a:close/>
                            </a:path>
                            <a:path w="2725420" h="2851785">
                              <a:moveTo>
                                <a:pt x="1687068" y="1432687"/>
                              </a:moveTo>
                              <a:lnTo>
                                <a:pt x="1568323" y="1313815"/>
                              </a:lnTo>
                              <a:lnTo>
                                <a:pt x="1406906" y="1475359"/>
                              </a:lnTo>
                              <a:lnTo>
                                <a:pt x="1525651" y="1594104"/>
                              </a:lnTo>
                              <a:lnTo>
                                <a:pt x="1687068" y="1432687"/>
                              </a:lnTo>
                              <a:close/>
                            </a:path>
                            <a:path w="2725420" h="2851785">
                              <a:moveTo>
                                <a:pt x="2011426" y="1392936"/>
                              </a:moveTo>
                              <a:lnTo>
                                <a:pt x="1458214" y="839724"/>
                              </a:lnTo>
                              <a:lnTo>
                                <a:pt x="1334389" y="963549"/>
                              </a:lnTo>
                              <a:lnTo>
                                <a:pt x="1887601" y="1516761"/>
                              </a:lnTo>
                              <a:lnTo>
                                <a:pt x="2011426" y="1392936"/>
                              </a:lnTo>
                              <a:close/>
                            </a:path>
                            <a:path w="2725420" h="2851785">
                              <a:moveTo>
                                <a:pt x="2223643" y="1180719"/>
                              </a:moveTo>
                              <a:lnTo>
                                <a:pt x="2018411" y="975360"/>
                              </a:lnTo>
                              <a:lnTo>
                                <a:pt x="2086102" y="907669"/>
                              </a:lnTo>
                              <a:lnTo>
                                <a:pt x="2118220" y="869683"/>
                              </a:lnTo>
                              <a:lnTo>
                                <a:pt x="2121700" y="863346"/>
                              </a:lnTo>
                              <a:lnTo>
                                <a:pt x="2139683" y="830580"/>
                              </a:lnTo>
                              <a:lnTo>
                                <a:pt x="2150389" y="790448"/>
                              </a:lnTo>
                              <a:lnTo>
                                <a:pt x="2150237" y="749300"/>
                              </a:lnTo>
                              <a:lnTo>
                                <a:pt x="2140077" y="707618"/>
                              </a:lnTo>
                              <a:lnTo>
                                <a:pt x="2125307" y="675309"/>
                              </a:lnTo>
                              <a:lnTo>
                                <a:pt x="2120976" y="665822"/>
                              </a:lnTo>
                              <a:lnTo>
                                <a:pt x="2092845" y="623951"/>
                              </a:lnTo>
                              <a:lnTo>
                                <a:pt x="2055622" y="582041"/>
                              </a:lnTo>
                              <a:lnTo>
                                <a:pt x="2015096" y="545795"/>
                              </a:lnTo>
                              <a:lnTo>
                                <a:pt x="1975065" y="518439"/>
                              </a:lnTo>
                              <a:lnTo>
                                <a:pt x="1969516" y="515823"/>
                              </a:lnTo>
                              <a:lnTo>
                                <a:pt x="1969516" y="765429"/>
                              </a:lnTo>
                              <a:lnTo>
                                <a:pt x="1968728" y="781672"/>
                              </a:lnTo>
                              <a:lnTo>
                                <a:pt x="1962873" y="798372"/>
                              </a:lnTo>
                              <a:lnTo>
                                <a:pt x="1952117" y="815530"/>
                              </a:lnTo>
                              <a:lnTo>
                                <a:pt x="1936623" y="833120"/>
                              </a:lnTo>
                              <a:lnTo>
                                <a:pt x="1906397" y="863346"/>
                              </a:lnTo>
                              <a:lnTo>
                                <a:pt x="1782953" y="739902"/>
                              </a:lnTo>
                              <a:lnTo>
                                <a:pt x="1818132" y="704723"/>
                              </a:lnTo>
                              <a:lnTo>
                                <a:pt x="1835251" y="689838"/>
                              </a:lnTo>
                              <a:lnTo>
                                <a:pt x="1851812" y="680046"/>
                              </a:lnTo>
                              <a:lnTo>
                                <a:pt x="1867852" y="675309"/>
                              </a:lnTo>
                              <a:lnTo>
                                <a:pt x="1883410" y="675640"/>
                              </a:lnTo>
                              <a:lnTo>
                                <a:pt x="1926856" y="695528"/>
                              </a:lnTo>
                              <a:lnTo>
                                <a:pt x="1960791" y="735203"/>
                              </a:lnTo>
                              <a:lnTo>
                                <a:pt x="1969516" y="765429"/>
                              </a:lnTo>
                              <a:lnTo>
                                <a:pt x="1969516" y="515823"/>
                              </a:lnTo>
                              <a:lnTo>
                                <a:pt x="1935568" y="499770"/>
                              </a:lnTo>
                              <a:lnTo>
                                <a:pt x="1896618" y="489585"/>
                              </a:lnTo>
                              <a:lnTo>
                                <a:pt x="1858467" y="488988"/>
                              </a:lnTo>
                              <a:lnTo>
                                <a:pt x="1821599" y="498335"/>
                              </a:lnTo>
                              <a:lnTo>
                                <a:pt x="1786039" y="517474"/>
                              </a:lnTo>
                              <a:lnTo>
                                <a:pt x="1751838" y="546227"/>
                              </a:lnTo>
                              <a:lnTo>
                                <a:pt x="1546352" y="751586"/>
                              </a:lnTo>
                              <a:lnTo>
                                <a:pt x="2099564" y="1304798"/>
                              </a:lnTo>
                              <a:lnTo>
                                <a:pt x="2223643" y="1180719"/>
                              </a:lnTo>
                              <a:close/>
                            </a:path>
                            <a:path w="2725420" h="2851785">
                              <a:moveTo>
                                <a:pt x="2725166" y="679196"/>
                              </a:moveTo>
                              <a:lnTo>
                                <a:pt x="2308479" y="262636"/>
                              </a:lnTo>
                              <a:lnTo>
                                <a:pt x="2434590" y="136525"/>
                              </a:lnTo>
                              <a:lnTo>
                                <a:pt x="2298065" y="0"/>
                              </a:lnTo>
                              <a:lnTo>
                                <a:pt x="1922399" y="375666"/>
                              </a:lnTo>
                              <a:lnTo>
                                <a:pt x="2058924" y="512191"/>
                              </a:lnTo>
                              <a:lnTo>
                                <a:pt x="2184908" y="386207"/>
                              </a:lnTo>
                              <a:lnTo>
                                <a:pt x="2601595" y="802767"/>
                              </a:lnTo>
                              <a:lnTo>
                                <a:pt x="2725166" y="6791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64.810013pt;margin-top:304.25pt;width:214.6pt;height:224.55pt;mso-position-horizontal-relative:page;mso-position-vertical-relative:page;z-index:-25196032" id="docshape236" coordorigin="3296,6085" coordsize="4292,4491" path="m4362,10380l3491,9509,3296,9704,4167,10575,4362,10380xm4954,9704l4953,9665,4948,9622,4939,9578,4925,9534,4906,9490,4883,9447,4855,9405,4825,9364,4791,9324,4754,9285,4235,8765,4041,8959,4572,9491,4605,9527,4629,9563,4646,9597,4656,9631,4658,9664,4651,9695,4637,9723,4616,9749,4590,9771,4561,9785,4530,9791,4497,9789,4463,9779,4428,9763,4393,9738,4357,9706,3826,9175,3631,9369,4151,9888,4185,9920,4224,9953,4268,9985,4316,10018,4348,10036,4383,10052,4420,10065,4458,10076,4497,10084,4533,10088,4567,10088,4600,10085,4631,10078,4663,10066,4695,10050,4726,10029,4757,10006,4785,9983,4811,9960,4835,9937,4871,9897,4902,9856,4925,9815,4942,9773,4950,9740,4954,9704xm5682,8921l5676,8857,5660,8791,5634,8724,5606,8670,5571,8614,5528,8556,5478,8497,5461,8479,5421,8437,5397,8415,5397,8909,5392,8949,5377,8986,5351,9019,5318,9044,5281,9059,5241,9064,5196,9057,5147,9039,5094,9008,5035,8963,4971,8903,4912,8840,4866,8780,4835,8726,4816,8677,4810,8633,4814,8592,4829,8556,4853,8525,4886,8499,4922,8484,4963,8479,5007,8484,5055,8501,5107,8531,5163,8573,5223,8628,5288,8698,5338,8761,5372,8817,5391,8865,5397,8909,5397,8415,5351,8372,5282,8317,5213,8272,5144,8236,5076,8211,5009,8195,4930,8189,4855,8199,4783,8225,4714,8265,4650,8321,4596,8384,4556,8452,4532,8523,4523,8599,4529,8679,4546,8747,4572,8816,4608,8886,4654,8956,4710,9026,4776,9097,4836,9154,4896,9204,4956,9246,5015,9280,5073,9308,5144,9332,5211,9346,5275,9349,5335,9343,5393,9327,5449,9300,5505,9262,5558,9214,5605,9160,5641,9104,5658,9064,5666,9045,5679,8984,5682,8921xm5953,8341l5766,8154,5512,8408,5699,8595,5953,8341xm6464,8279l5593,7407,5398,7602,6269,8474,6464,8279xm6798,7944l6475,7621,6581,7514,6632,7455,6637,7445,6666,7393,6683,7330,6682,7265,6666,7199,6643,7148,6636,7134,6592,7068,6533,7002,6470,6945,6407,6901,6398,6897,6398,7290,6397,7316,6387,7342,6370,7369,6346,7397,6298,7445,6104,7250,6159,7195,6186,7171,6212,7156,6238,7148,6262,7149,6286,7155,6309,7166,6331,7180,6352,7199,6370,7220,6384,7243,6393,7266,6398,7290,6398,6897,6344,6872,6283,6856,6223,6855,6165,6870,6109,6900,6055,6945,5731,7269,6603,8140,6798,7944xm7588,7155l6932,6499,7130,6300,6915,6085,6324,6677,6539,6892,6737,6693,7393,7349,7588,7155xe" filled="true" fillcolor="#c0c0c0" stroked="false">
                <v:path arrowok="t"/>
                <v:fill opacity="32896f" type="solid"/>
                <w10:wrap type="none"/>
              </v:shape>
            </w:pict>
          </mc:Fallback>
        </mc:AlternateContent>
      </w:r>
    </w:p>
    <w:p>
      <w:pPr>
        <w:pStyle w:val="BodyText"/>
        <w:spacing w:before="60"/>
        <w:ind w:left="0"/>
        <w:rPr>
          <w:b/>
        </w:rPr>
      </w:pPr>
    </w:p>
    <w:p>
      <w:pPr>
        <w:spacing w:before="1"/>
        <w:ind w:left="3580" w:right="0" w:firstLine="0"/>
        <w:jc w:val="left"/>
        <w:rPr>
          <w:b/>
          <w:sz w:val="25"/>
        </w:rPr>
      </w:pPr>
      <w:r>
        <w:rPr/>
        <mc:AlternateContent>
          <mc:Choice Requires="wps">
            <w:drawing>
              <wp:anchor distT="0" distB="0" distL="0" distR="0" allowOverlap="1" layoutInCell="1" locked="0" behindDoc="1" simplePos="0" relativeHeight="478120960">
                <wp:simplePos x="0" y="0"/>
                <wp:positionH relativeFrom="page">
                  <wp:posOffset>4418965</wp:posOffset>
                </wp:positionH>
                <wp:positionV relativeFrom="paragraph">
                  <wp:posOffset>-358249</wp:posOffset>
                </wp:positionV>
                <wp:extent cx="3179445" cy="3342640"/>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3179445" cy="3342640"/>
                          <a:chExt cx="3179445" cy="3342640"/>
                        </a:xfrm>
                      </wpg:grpSpPr>
                      <wps:wsp>
                        <wps:cNvPr id="238" name="Graphic 238"/>
                        <wps:cNvSpPr/>
                        <wps:spPr>
                          <a:xfrm>
                            <a:off x="0" y="133109"/>
                            <a:ext cx="3179445" cy="3209290"/>
                          </a:xfrm>
                          <a:custGeom>
                            <a:avLst/>
                            <a:gdLst/>
                            <a:ahLst/>
                            <a:cxnLst/>
                            <a:rect l="l" t="t" r="r" b="b"/>
                            <a:pathLst>
                              <a:path w="3179445" h="3209290">
                                <a:moveTo>
                                  <a:pt x="802767" y="3085338"/>
                                </a:moveTo>
                                <a:lnTo>
                                  <a:pt x="386207" y="2668651"/>
                                </a:lnTo>
                                <a:lnTo>
                                  <a:pt x="512191" y="2542667"/>
                                </a:lnTo>
                                <a:lnTo>
                                  <a:pt x="375666" y="2406142"/>
                                </a:lnTo>
                                <a:lnTo>
                                  <a:pt x="0" y="2781808"/>
                                </a:lnTo>
                                <a:lnTo>
                                  <a:pt x="136652" y="2918333"/>
                                </a:lnTo>
                                <a:lnTo>
                                  <a:pt x="262636" y="2792349"/>
                                </a:lnTo>
                                <a:lnTo>
                                  <a:pt x="679196" y="3208909"/>
                                </a:lnTo>
                                <a:lnTo>
                                  <a:pt x="802767" y="3085338"/>
                                </a:lnTo>
                                <a:close/>
                              </a:path>
                              <a:path w="3179445" h="3209290">
                                <a:moveTo>
                                  <a:pt x="1268552" y="2530856"/>
                                </a:moveTo>
                                <a:lnTo>
                                  <a:pt x="1264627" y="2490063"/>
                                </a:lnTo>
                                <a:lnTo>
                                  <a:pt x="1254658" y="2448458"/>
                                </a:lnTo>
                                <a:lnTo>
                                  <a:pt x="1238377" y="2406015"/>
                                </a:lnTo>
                                <a:lnTo>
                                  <a:pt x="1220482" y="2371560"/>
                                </a:lnTo>
                                <a:lnTo>
                                  <a:pt x="1198041" y="2336038"/>
                                </a:lnTo>
                                <a:lnTo>
                                  <a:pt x="1170927" y="2299449"/>
                                </a:lnTo>
                                <a:lnTo>
                                  <a:pt x="1139278" y="2262073"/>
                                </a:lnTo>
                                <a:lnTo>
                                  <a:pt x="1127887" y="2250097"/>
                                </a:lnTo>
                                <a:lnTo>
                                  <a:pt x="1102868" y="2223770"/>
                                </a:lnTo>
                                <a:lnTo>
                                  <a:pt x="1087691" y="2209635"/>
                                </a:lnTo>
                                <a:lnTo>
                                  <a:pt x="1087691" y="2523134"/>
                                </a:lnTo>
                                <a:lnTo>
                                  <a:pt x="1084554" y="2548661"/>
                                </a:lnTo>
                                <a:lnTo>
                                  <a:pt x="1058037" y="2593086"/>
                                </a:lnTo>
                                <a:lnTo>
                                  <a:pt x="1014298" y="2618714"/>
                                </a:lnTo>
                                <a:lnTo>
                                  <a:pt x="988644" y="2621483"/>
                                </a:lnTo>
                                <a:lnTo>
                                  <a:pt x="960374" y="2617470"/>
                                </a:lnTo>
                                <a:lnTo>
                                  <a:pt x="895057" y="2585936"/>
                                </a:lnTo>
                                <a:lnTo>
                                  <a:pt x="857745" y="2557272"/>
                                </a:lnTo>
                                <a:lnTo>
                                  <a:pt x="817372" y="2519807"/>
                                </a:lnTo>
                                <a:lnTo>
                                  <a:pt x="779627" y="2479154"/>
                                </a:lnTo>
                                <a:lnTo>
                                  <a:pt x="750722" y="2441600"/>
                                </a:lnTo>
                                <a:lnTo>
                                  <a:pt x="730529" y="2407208"/>
                                </a:lnTo>
                                <a:lnTo>
                                  <a:pt x="714908" y="2347785"/>
                                </a:lnTo>
                                <a:lnTo>
                                  <a:pt x="717575" y="2322245"/>
                                </a:lnTo>
                                <a:lnTo>
                                  <a:pt x="742315" y="2279396"/>
                                </a:lnTo>
                                <a:lnTo>
                                  <a:pt x="786295" y="2253386"/>
                                </a:lnTo>
                                <a:lnTo>
                                  <a:pt x="812012" y="2250097"/>
                                </a:lnTo>
                                <a:lnTo>
                                  <a:pt x="840143" y="2253386"/>
                                </a:lnTo>
                                <a:lnTo>
                                  <a:pt x="903643" y="2283256"/>
                                </a:lnTo>
                                <a:lnTo>
                                  <a:pt x="939126" y="2310104"/>
                                </a:lnTo>
                                <a:lnTo>
                                  <a:pt x="977011" y="2345055"/>
                                </a:lnTo>
                                <a:lnTo>
                                  <a:pt x="1018451" y="2389289"/>
                                </a:lnTo>
                                <a:lnTo>
                                  <a:pt x="1050048" y="2429167"/>
                                </a:lnTo>
                                <a:lnTo>
                                  <a:pt x="1071854" y="2464612"/>
                                </a:lnTo>
                                <a:lnTo>
                                  <a:pt x="1087691" y="2523134"/>
                                </a:lnTo>
                                <a:lnTo>
                                  <a:pt x="1087691" y="2209635"/>
                                </a:lnTo>
                                <a:lnTo>
                                  <a:pt x="1058481" y="2182406"/>
                                </a:lnTo>
                                <a:lnTo>
                                  <a:pt x="1014361" y="2147405"/>
                                </a:lnTo>
                                <a:lnTo>
                                  <a:pt x="970546" y="2118715"/>
                                </a:lnTo>
                                <a:lnTo>
                                  <a:pt x="927023" y="2096274"/>
                                </a:lnTo>
                                <a:lnTo>
                                  <a:pt x="883831" y="2080006"/>
                                </a:lnTo>
                                <a:lnTo>
                                  <a:pt x="840994" y="2069846"/>
                                </a:lnTo>
                                <a:lnTo>
                                  <a:pt x="790956" y="2066315"/>
                                </a:lnTo>
                                <a:lnTo>
                                  <a:pt x="743140" y="2072665"/>
                                </a:lnTo>
                                <a:lnTo>
                                  <a:pt x="697560" y="2088769"/>
                                </a:lnTo>
                                <a:lnTo>
                                  <a:pt x="654215" y="2114512"/>
                                </a:lnTo>
                                <a:lnTo>
                                  <a:pt x="613156" y="2149729"/>
                                </a:lnTo>
                                <a:lnTo>
                                  <a:pt x="578866" y="2190026"/>
                                </a:lnTo>
                                <a:lnTo>
                                  <a:pt x="553961" y="2232964"/>
                                </a:lnTo>
                                <a:lnTo>
                                  <a:pt x="538556" y="2278507"/>
                                </a:lnTo>
                                <a:lnTo>
                                  <a:pt x="532765" y="2326602"/>
                                </a:lnTo>
                                <a:lnTo>
                                  <a:pt x="536702" y="2377186"/>
                                </a:lnTo>
                                <a:lnTo>
                                  <a:pt x="547128" y="2420582"/>
                                </a:lnTo>
                                <a:lnTo>
                                  <a:pt x="563740" y="2464346"/>
                                </a:lnTo>
                                <a:lnTo>
                                  <a:pt x="586574" y="2508478"/>
                                </a:lnTo>
                                <a:lnTo>
                                  <a:pt x="615696" y="2552928"/>
                                </a:lnTo>
                                <a:lnTo>
                                  <a:pt x="651167" y="2597645"/>
                                </a:lnTo>
                                <a:lnTo>
                                  <a:pt x="693039" y="2642616"/>
                                </a:lnTo>
                                <a:lnTo>
                                  <a:pt x="731596" y="2678912"/>
                                </a:lnTo>
                                <a:lnTo>
                                  <a:pt x="769835" y="2710408"/>
                                </a:lnTo>
                                <a:lnTo>
                                  <a:pt x="807681" y="2737167"/>
                                </a:lnTo>
                                <a:lnTo>
                                  <a:pt x="845096" y="2759214"/>
                                </a:lnTo>
                                <a:lnTo>
                                  <a:pt x="882015" y="2776601"/>
                                </a:lnTo>
                                <a:lnTo>
                                  <a:pt x="926833" y="2792006"/>
                                </a:lnTo>
                                <a:lnTo>
                                  <a:pt x="969479" y="2800693"/>
                                </a:lnTo>
                                <a:lnTo>
                                  <a:pt x="1009992" y="2802915"/>
                                </a:lnTo>
                                <a:lnTo>
                                  <a:pt x="1048385" y="2798953"/>
                                </a:lnTo>
                                <a:lnTo>
                                  <a:pt x="1085100" y="2788602"/>
                                </a:lnTo>
                                <a:lnTo>
                                  <a:pt x="1120965" y="2771368"/>
                                </a:lnTo>
                                <a:lnTo>
                                  <a:pt x="1155966" y="2747416"/>
                                </a:lnTo>
                                <a:lnTo>
                                  <a:pt x="1190117" y="2716911"/>
                                </a:lnTo>
                                <a:lnTo>
                                  <a:pt x="1219974" y="2682722"/>
                                </a:lnTo>
                                <a:lnTo>
                                  <a:pt x="1242783" y="2646984"/>
                                </a:lnTo>
                                <a:lnTo>
                                  <a:pt x="1253464" y="2621483"/>
                                </a:lnTo>
                                <a:lnTo>
                                  <a:pt x="1258404" y="2609710"/>
                                </a:lnTo>
                                <a:lnTo>
                                  <a:pt x="1266698" y="2570861"/>
                                </a:lnTo>
                                <a:lnTo>
                                  <a:pt x="1268552" y="2530856"/>
                                </a:lnTo>
                                <a:close/>
                              </a:path>
                              <a:path w="3179445" h="3209290">
                                <a:moveTo>
                                  <a:pt x="1911921" y="1898713"/>
                                </a:moveTo>
                                <a:lnTo>
                                  <a:pt x="1900936" y="1835531"/>
                                </a:lnTo>
                                <a:lnTo>
                                  <a:pt x="1873542" y="1767636"/>
                                </a:lnTo>
                                <a:lnTo>
                                  <a:pt x="1853907" y="1732191"/>
                                </a:lnTo>
                                <a:lnTo>
                                  <a:pt x="1830070" y="1695831"/>
                                </a:lnTo>
                                <a:lnTo>
                                  <a:pt x="1791639" y="1711452"/>
                                </a:lnTo>
                                <a:lnTo>
                                  <a:pt x="1676400" y="1758823"/>
                                </a:lnTo>
                                <a:lnTo>
                                  <a:pt x="1696453" y="1788236"/>
                                </a:lnTo>
                                <a:lnTo>
                                  <a:pt x="1711985" y="1815719"/>
                                </a:lnTo>
                                <a:lnTo>
                                  <a:pt x="1723186" y="1841309"/>
                                </a:lnTo>
                                <a:lnTo>
                                  <a:pt x="1730248" y="1864995"/>
                                </a:lnTo>
                                <a:lnTo>
                                  <a:pt x="1732229" y="1887347"/>
                                </a:lnTo>
                                <a:lnTo>
                                  <a:pt x="1728495" y="1908327"/>
                                </a:lnTo>
                                <a:lnTo>
                                  <a:pt x="1704086" y="1946402"/>
                                </a:lnTo>
                                <a:lnTo>
                                  <a:pt x="1663014" y="1970443"/>
                                </a:lnTo>
                                <a:lnTo>
                                  <a:pt x="1639201" y="1973021"/>
                                </a:lnTo>
                                <a:lnTo>
                                  <a:pt x="1613281" y="1969135"/>
                                </a:lnTo>
                                <a:lnTo>
                                  <a:pt x="1549806" y="1935657"/>
                                </a:lnTo>
                                <a:lnTo>
                                  <a:pt x="1510830" y="1904365"/>
                                </a:lnTo>
                                <a:lnTo>
                                  <a:pt x="1467104" y="1863217"/>
                                </a:lnTo>
                                <a:lnTo>
                                  <a:pt x="1433563" y="1827504"/>
                                </a:lnTo>
                                <a:lnTo>
                                  <a:pt x="1407058" y="1794510"/>
                                </a:lnTo>
                                <a:lnTo>
                                  <a:pt x="1375029" y="1737233"/>
                                </a:lnTo>
                                <a:lnTo>
                                  <a:pt x="1366748" y="1704390"/>
                                </a:lnTo>
                                <a:lnTo>
                                  <a:pt x="1366989" y="1674964"/>
                                </a:lnTo>
                                <a:lnTo>
                                  <a:pt x="1392682" y="1626108"/>
                                </a:lnTo>
                                <a:lnTo>
                                  <a:pt x="1436751" y="1603121"/>
                                </a:lnTo>
                                <a:lnTo>
                                  <a:pt x="1449895" y="1601851"/>
                                </a:lnTo>
                                <a:lnTo>
                                  <a:pt x="1463497" y="1602105"/>
                                </a:lnTo>
                                <a:lnTo>
                                  <a:pt x="1502016" y="1611642"/>
                                </a:lnTo>
                                <a:lnTo>
                                  <a:pt x="1541272" y="1632966"/>
                                </a:lnTo>
                                <a:lnTo>
                                  <a:pt x="1616710" y="1490218"/>
                                </a:lnTo>
                                <a:lnTo>
                                  <a:pt x="1563992" y="1461084"/>
                                </a:lnTo>
                                <a:lnTo>
                                  <a:pt x="1514081" y="1440662"/>
                                </a:lnTo>
                                <a:lnTo>
                                  <a:pt x="1467040" y="1428572"/>
                                </a:lnTo>
                                <a:lnTo>
                                  <a:pt x="1422908" y="1424432"/>
                                </a:lnTo>
                                <a:lnTo>
                                  <a:pt x="1380642" y="1429385"/>
                                </a:lnTo>
                                <a:lnTo>
                                  <a:pt x="1339748" y="1443939"/>
                                </a:lnTo>
                                <a:lnTo>
                                  <a:pt x="1300137" y="1467904"/>
                                </a:lnTo>
                                <a:lnTo>
                                  <a:pt x="1261745" y="1501140"/>
                                </a:lnTo>
                                <a:lnTo>
                                  <a:pt x="1227734" y="1540979"/>
                                </a:lnTo>
                                <a:lnTo>
                                  <a:pt x="1203071" y="1583207"/>
                                </a:lnTo>
                                <a:lnTo>
                                  <a:pt x="1187831" y="1627797"/>
                                </a:lnTo>
                                <a:lnTo>
                                  <a:pt x="1182128" y="1674749"/>
                                </a:lnTo>
                                <a:lnTo>
                                  <a:pt x="1186053" y="1724025"/>
                                </a:lnTo>
                                <a:lnTo>
                                  <a:pt x="1196657" y="1766570"/>
                                </a:lnTo>
                                <a:lnTo>
                                  <a:pt x="1213446" y="1809699"/>
                                </a:lnTo>
                                <a:lnTo>
                                  <a:pt x="1236497" y="1853438"/>
                                </a:lnTo>
                                <a:lnTo>
                                  <a:pt x="1265923" y="1897773"/>
                                </a:lnTo>
                                <a:lnTo>
                                  <a:pt x="1301826" y="1942693"/>
                                </a:lnTo>
                                <a:lnTo>
                                  <a:pt x="1344295" y="1988185"/>
                                </a:lnTo>
                                <a:lnTo>
                                  <a:pt x="1385252" y="2026716"/>
                                </a:lnTo>
                                <a:lnTo>
                                  <a:pt x="1425663" y="2059787"/>
                                </a:lnTo>
                                <a:lnTo>
                                  <a:pt x="1465516" y="2087511"/>
                                </a:lnTo>
                                <a:lnTo>
                                  <a:pt x="1504784" y="2110003"/>
                                </a:lnTo>
                                <a:lnTo>
                                  <a:pt x="1543431" y="2127377"/>
                                </a:lnTo>
                                <a:lnTo>
                                  <a:pt x="1589608" y="2142363"/>
                                </a:lnTo>
                                <a:lnTo>
                                  <a:pt x="1632305" y="2150580"/>
                                </a:lnTo>
                                <a:lnTo>
                                  <a:pt x="1671459" y="2152332"/>
                                </a:lnTo>
                                <a:lnTo>
                                  <a:pt x="1707007" y="2147951"/>
                                </a:lnTo>
                                <a:lnTo>
                                  <a:pt x="1773847" y="2120328"/>
                                </a:lnTo>
                                <a:lnTo>
                                  <a:pt x="1806816" y="2097024"/>
                                </a:lnTo>
                                <a:lnTo>
                                  <a:pt x="1839468" y="2067560"/>
                                </a:lnTo>
                                <a:lnTo>
                                  <a:pt x="1883181" y="2013115"/>
                                </a:lnTo>
                                <a:lnTo>
                                  <a:pt x="1906524" y="1957324"/>
                                </a:lnTo>
                                <a:lnTo>
                                  <a:pt x="1911146" y="1928583"/>
                                </a:lnTo>
                                <a:lnTo>
                                  <a:pt x="1911921" y="1898713"/>
                                </a:lnTo>
                                <a:close/>
                              </a:path>
                              <a:path w="3179445" h="3209290">
                                <a:moveTo>
                                  <a:pt x="2354910" y="1444447"/>
                                </a:moveTo>
                                <a:lnTo>
                                  <a:pt x="2350986" y="1403692"/>
                                </a:lnTo>
                                <a:lnTo>
                                  <a:pt x="2341016" y="1362100"/>
                                </a:lnTo>
                                <a:lnTo>
                                  <a:pt x="2324735" y="1319657"/>
                                </a:lnTo>
                                <a:lnTo>
                                  <a:pt x="2306891" y="1285138"/>
                                </a:lnTo>
                                <a:lnTo>
                                  <a:pt x="2284463" y="1249578"/>
                                </a:lnTo>
                                <a:lnTo>
                                  <a:pt x="2257412" y="1213040"/>
                                </a:lnTo>
                                <a:lnTo>
                                  <a:pt x="2225713" y="1175588"/>
                                </a:lnTo>
                                <a:lnTo>
                                  <a:pt x="2189353" y="1137285"/>
                                </a:lnTo>
                                <a:lnTo>
                                  <a:pt x="2174049" y="1123035"/>
                                </a:lnTo>
                                <a:lnTo>
                                  <a:pt x="2174049" y="1436776"/>
                                </a:lnTo>
                                <a:lnTo>
                                  <a:pt x="2170938" y="1462278"/>
                                </a:lnTo>
                                <a:lnTo>
                                  <a:pt x="2144509" y="1506601"/>
                                </a:lnTo>
                                <a:lnTo>
                                  <a:pt x="2100719" y="1532293"/>
                                </a:lnTo>
                                <a:lnTo>
                                  <a:pt x="2075027" y="1535112"/>
                                </a:lnTo>
                                <a:lnTo>
                                  <a:pt x="2046732" y="1531112"/>
                                </a:lnTo>
                                <a:lnTo>
                                  <a:pt x="1981415" y="1499577"/>
                                </a:lnTo>
                                <a:lnTo>
                                  <a:pt x="1944103" y="1470914"/>
                                </a:lnTo>
                                <a:lnTo>
                                  <a:pt x="1903730" y="1433449"/>
                                </a:lnTo>
                                <a:lnTo>
                                  <a:pt x="1865985" y="1392796"/>
                                </a:lnTo>
                                <a:lnTo>
                                  <a:pt x="1837080" y="1355242"/>
                                </a:lnTo>
                                <a:lnTo>
                                  <a:pt x="1816887" y="1320850"/>
                                </a:lnTo>
                                <a:lnTo>
                                  <a:pt x="1801291" y="1261414"/>
                                </a:lnTo>
                                <a:lnTo>
                                  <a:pt x="1803984" y="1235837"/>
                                </a:lnTo>
                                <a:lnTo>
                                  <a:pt x="1828673" y="1193038"/>
                                </a:lnTo>
                                <a:lnTo>
                                  <a:pt x="1872678" y="1166964"/>
                                </a:lnTo>
                                <a:lnTo>
                                  <a:pt x="1898421" y="1163624"/>
                                </a:lnTo>
                                <a:lnTo>
                                  <a:pt x="1926590" y="1166876"/>
                                </a:lnTo>
                                <a:lnTo>
                                  <a:pt x="1990128" y="1196771"/>
                                </a:lnTo>
                                <a:lnTo>
                                  <a:pt x="2025611" y="1223619"/>
                                </a:lnTo>
                                <a:lnTo>
                                  <a:pt x="2063496" y="1258570"/>
                                </a:lnTo>
                                <a:lnTo>
                                  <a:pt x="2104910" y="1302829"/>
                                </a:lnTo>
                                <a:lnTo>
                                  <a:pt x="2136470" y="1342745"/>
                                </a:lnTo>
                                <a:lnTo>
                                  <a:pt x="2158238" y="1378229"/>
                                </a:lnTo>
                                <a:lnTo>
                                  <a:pt x="2174049" y="1436776"/>
                                </a:lnTo>
                                <a:lnTo>
                                  <a:pt x="2174049" y="1123035"/>
                                </a:lnTo>
                                <a:lnTo>
                                  <a:pt x="2144966" y="1095921"/>
                                </a:lnTo>
                                <a:lnTo>
                                  <a:pt x="2100846" y="1060919"/>
                                </a:lnTo>
                                <a:lnTo>
                                  <a:pt x="2057031" y="1032230"/>
                                </a:lnTo>
                                <a:lnTo>
                                  <a:pt x="2013508" y="1009789"/>
                                </a:lnTo>
                                <a:lnTo>
                                  <a:pt x="1970316" y="993521"/>
                                </a:lnTo>
                                <a:lnTo>
                                  <a:pt x="1927479" y="983361"/>
                                </a:lnTo>
                                <a:lnTo>
                                  <a:pt x="1877390" y="979881"/>
                                </a:lnTo>
                                <a:lnTo>
                                  <a:pt x="1829562" y="986269"/>
                                </a:lnTo>
                                <a:lnTo>
                                  <a:pt x="1783981" y="1002411"/>
                                </a:lnTo>
                                <a:lnTo>
                                  <a:pt x="1740623" y="1028153"/>
                                </a:lnTo>
                                <a:lnTo>
                                  <a:pt x="1699514" y="1063371"/>
                                </a:lnTo>
                                <a:lnTo>
                                  <a:pt x="1665224" y="1103668"/>
                                </a:lnTo>
                                <a:lnTo>
                                  <a:pt x="1640319" y="1146606"/>
                                </a:lnTo>
                                <a:lnTo>
                                  <a:pt x="1624914" y="1192149"/>
                                </a:lnTo>
                                <a:lnTo>
                                  <a:pt x="1619123" y="1240243"/>
                                </a:lnTo>
                                <a:lnTo>
                                  <a:pt x="1623060" y="1290828"/>
                                </a:lnTo>
                                <a:lnTo>
                                  <a:pt x="1633486" y="1334223"/>
                                </a:lnTo>
                                <a:lnTo>
                                  <a:pt x="1650098" y="1377988"/>
                                </a:lnTo>
                                <a:lnTo>
                                  <a:pt x="1672932" y="1422120"/>
                                </a:lnTo>
                                <a:lnTo>
                                  <a:pt x="1702054" y="1466570"/>
                                </a:lnTo>
                                <a:lnTo>
                                  <a:pt x="1737525" y="1511287"/>
                                </a:lnTo>
                                <a:lnTo>
                                  <a:pt x="1779397" y="1556258"/>
                                </a:lnTo>
                                <a:lnTo>
                                  <a:pt x="1817954" y="1592554"/>
                                </a:lnTo>
                                <a:lnTo>
                                  <a:pt x="1856193" y="1624050"/>
                                </a:lnTo>
                                <a:lnTo>
                                  <a:pt x="1894065" y="1650809"/>
                                </a:lnTo>
                                <a:lnTo>
                                  <a:pt x="1931517" y="1672856"/>
                                </a:lnTo>
                                <a:lnTo>
                                  <a:pt x="1968500" y="1690243"/>
                                </a:lnTo>
                                <a:lnTo>
                                  <a:pt x="2013254" y="1705635"/>
                                </a:lnTo>
                                <a:lnTo>
                                  <a:pt x="2055914" y="1714271"/>
                                </a:lnTo>
                                <a:lnTo>
                                  <a:pt x="2096452" y="1716443"/>
                                </a:lnTo>
                                <a:lnTo>
                                  <a:pt x="2134857" y="1712468"/>
                                </a:lnTo>
                                <a:lnTo>
                                  <a:pt x="2207349" y="1684972"/>
                                </a:lnTo>
                                <a:lnTo>
                                  <a:pt x="2242375" y="1661007"/>
                                </a:lnTo>
                                <a:lnTo>
                                  <a:pt x="2276602" y="1630426"/>
                                </a:lnTo>
                                <a:lnTo>
                                  <a:pt x="2306383" y="1596301"/>
                                </a:lnTo>
                                <a:lnTo>
                                  <a:pt x="2329154" y="1560601"/>
                                </a:lnTo>
                                <a:lnTo>
                                  <a:pt x="2344763" y="1523288"/>
                                </a:lnTo>
                                <a:lnTo>
                                  <a:pt x="2353056" y="1484376"/>
                                </a:lnTo>
                                <a:lnTo>
                                  <a:pt x="2354910" y="1444447"/>
                                </a:lnTo>
                                <a:close/>
                              </a:path>
                              <a:path w="3179445" h="3209290">
                                <a:moveTo>
                                  <a:pt x="2660269" y="1227963"/>
                                </a:moveTo>
                                <a:lnTo>
                                  <a:pt x="2454910" y="1022604"/>
                                </a:lnTo>
                                <a:lnTo>
                                  <a:pt x="2522601" y="954913"/>
                                </a:lnTo>
                                <a:lnTo>
                                  <a:pt x="2554744" y="916901"/>
                                </a:lnTo>
                                <a:lnTo>
                                  <a:pt x="2558211" y="910590"/>
                                </a:lnTo>
                                <a:lnTo>
                                  <a:pt x="2576233" y="877760"/>
                                </a:lnTo>
                                <a:lnTo>
                                  <a:pt x="2586939" y="837577"/>
                                </a:lnTo>
                                <a:lnTo>
                                  <a:pt x="2586736" y="796417"/>
                                </a:lnTo>
                                <a:lnTo>
                                  <a:pt x="2576639" y="754748"/>
                                </a:lnTo>
                                <a:lnTo>
                                  <a:pt x="2557564" y="713003"/>
                                </a:lnTo>
                                <a:lnTo>
                                  <a:pt x="2529421" y="671169"/>
                                </a:lnTo>
                                <a:lnTo>
                                  <a:pt x="2492121" y="629285"/>
                                </a:lnTo>
                                <a:lnTo>
                                  <a:pt x="2451595" y="593026"/>
                                </a:lnTo>
                                <a:lnTo>
                                  <a:pt x="2411565" y="565632"/>
                                </a:lnTo>
                                <a:lnTo>
                                  <a:pt x="2406015" y="563016"/>
                                </a:lnTo>
                                <a:lnTo>
                                  <a:pt x="2406015" y="812673"/>
                                </a:lnTo>
                                <a:lnTo>
                                  <a:pt x="2405253" y="828903"/>
                                </a:lnTo>
                                <a:lnTo>
                                  <a:pt x="2399436" y="845553"/>
                                </a:lnTo>
                                <a:lnTo>
                                  <a:pt x="2388717" y="862672"/>
                                </a:lnTo>
                                <a:lnTo>
                                  <a:pt x="2373249" y="880237"/>
                                </a:lnTo>
                                <a:lnTo>
                                  <a:pt x="2342896" y="910590"/>
                                </a:lnTo>
                                <a:lnTo>
                                  <a:pt x="2219452" y="787146"/>
                                </a:lnTo>
                                <a:lnTo>
                                  <a:pt x="2254631" y="751967"/>
                                </a:lnTo>
                                <a:lnTo>
                                  <a:pt x="2271750" y="737082"/>
                                </a:lnTo>
                                <a:lnTo>
                                  <a:pt x="2288311" y="727290"/>
                                </a:lnTo>
                                <a:lnTo>
                                  <a:pt x="2304351" y="722553"/>
                                </a:lnTo>
                                <a:lnTo>
                                  <a:pt x="2319909" y="722884"/>
                                </a:lnTo>
                                <a:lnTo>
                                  <a:pt x="2363355" y="742772"/>
                                </a:lnTo>
                                <a:lnTo>
                                  <a:pt x="2397290" y="782447"/>
                                </a:lnTo>
                                <a:lnTo>
                                  <a:pt x="2406015" y="812673"/>
                                </a:lnTo>
                                <a:lnTo>
                                  <a:pt x="2406015" y="563016"/>
                                </a:lnTo>
                                <a:lnTo>
                                  <a:pt x="2372068" y="546963"/>
                                </a:lnTo>
                                <a:lnTo>
                                  <a:pt x="2333117" y="536829"/>
                                </a:lnTo>
                                <a:lnTo>
                                  <a:pt x="2294991" y="536219"/>
                                </a:lnTo>
                                <a:lnTo>
                                  <a:pt x="2258161" y="545515"/>
                                </a:lnTo>
                                <a:lnTo>
                                  <a:pt x="2222652" y="564603"/>
                                </a:lnTo>
                                <a:lnTo>
                                  <a:pt x="2188464" y="593344"/>
                                </a:lnTo>
                                <a:lnTo>
                                  <a:pt x="1982851" y="798830"/>
                                </a:lnTo>
                                <a:lnTo>
                                  <a:pt x="2536063" y="1352042"/>
                                </a:lnTo>
                                <a:lnTo>
                                  <a:pt x="2660269" y="1227963"/>
                                </a:lnTo>
                                <a:close/>
                              </a:path>
                              <a:path w="3179445" h="3209290">
                                <a:moveTo>
                                  <a:pt x="3179445" y="708660"/>
                                </a:moveTo>
                                <a:lnTo>
                                  <a:pt x="2947670" y="477012"/>
                                </a:lnTo>
                                <a:lnTo>
                                  <a:pt x="2914142" y="381711"/>
                                </a:lnTo>
                                <a:lnTo>
                                  <a:pt x="2815323" y="95250"/>
                                </a:lnTo>
                                <a:lnTo>
                                  <a:pt x="2781808" y="0"/>
                                </a:lnTo>
                                <a:lnTo>
                                  <a:pt x="2645156" y="136652"/>
                                </a:lnTo>
                                <a:lnTo>
                                  <a:pt x="2662974" y="181178"/>
                                </a:lnTo>
                                <a:lnTo>
                                  <a:pt x="2715653" y="315112"/>
                                </a:lnTo>
                                <a:lnTo>
                                  <a:pt x="2751201" y="404241"/>
                                </a:lnTo>
                                <a:lnTo>
                                  <a:pt x="2706687" y="386359"/>
                                </a:lnTo>
                                <a:lnTo>
                                  <a:pt x="2572867" y="333527"/>
                                </a:lnTo>
                                <a:lnTo>
                                  <a:pt x="2483866" y="297942"/>
                                </a:lnTo>
                                <a:lnTo>
                                  <a:pt x="2346579" y="435229"/>
                                </a:lnTo>
                                <a:lnTo>
                                  <a:pt x="2441892" y="468693"/>
                                </a:lnTo>
                                <a:lnTo>
                                  <a:pt x="2728518" y="567385"/>
                                </a:lnTo>
                                <a:lnTo>
                                  <a:pt x="2823845" y="600837"/>
                                </a:lnTo>
                                <a:lnTo>
                                  <a:pt x="3055620" y="832485"/>
                                </a:lnTo>
                                <a:lnTo>
                                  <a:pt x="3179445" y="708660"/>
                                </a:lnTo>
                                <a:close/>
                              </a:path>
                            </a:pathLst>
                          </a:custGeom>
                          <a:solidFill>
                            <a:srgbClr val="C0C0C0">
                              <a:alpha val="50195"/>
                            </a:srgbClr>
                          </a:solidFill>
                        </wps:spPr>
                        <wps:bodyPr wrap="square" lIns="0" tIns="0" rIns="0" bIns="0" rtlCol="0">
                          <a:prstTxWarp prst="textNoShape">
                            <a:avLst/>
                          </a:prstTxWarp>
                          <a:noAutofit/>
                        </wps:bodyPr>
                      </wps:wsp>
                      <wps:wsp>
                        <wps:cNvPr id="239" name="Textbox 239"/>
                        <wps:cNvSpPr txBox="1"/>
                        <wps:spPr>
                          <a:xfrm>
                            <a:off x="0" y="0"/>
                            <a:ext cx="3179445" cy="3342640"/>
                          </a:xfrm>
                          <a:prstGeom prst="rect">
                            <a:avLst/>
                          </a:prstGeom>
                        </wps:spPr>
                        <wps:txbx>
                          <w:txbxContent>
                            <w:p>
                              <w:pPr>
                                <w:spacing w:line="276" w:lineRule="exact" w:before="0"/>
                                <w:ind w:left="186" w:right="0" w:firstLine="0"/>
                                <w:jc w:val="left"/>
                                <w:rPr>
                                  <w:b/>
                                  <w:sz w:val="25"/>
                                </w:rPr>
                              </w:pPr>
                              <w:r>
                                <w:rPr>
                                  <w:b/>
                                  <w:sz w:val="25"/>
                                </w:rPr>
                                <w:t>APPENDIX</w:t>
                              </w:r>
                              <w:r>
                                <w:rPr>
                                  <w:b/>
                                  <w:spacing w:val="-15"/>
                                  <w:sz w:val="25"/>
                                </w:rPr>
                                <w:t> </w:t>
                              </w:r>
                              <w:r>
                                <w:rPr>
                                  <w:b/>
                                  <w:spacing w:val="-5"/>
                                  <w:sz w:val="25"/>
                                </w:rPr>
                                <w:t>II</w:t>
                              </w:r>
                            </w:p>
                            <w:p>
                              <w:pPr>
                                <w:spacing w:line="240" w:lineRule="auto" w:before="1"/>
                                <w:rPr>
                                  <w:b/>
                                  <w:sz w:val="25"/>
                                </w:rPr>
                              </w:pPr>
                            </w:p>
                            <w:p>
                              <w:pPr>
                                <w:spacing w:before="0"/>
                                <w:ind w:left="10" w:right="0" w:firstLine="0"/>
                                <w:jc w:val="left"/>
                                <w:rPr>
                                  <w:b/>
                                  <w:sz w:val="25"/>
                                </w:rPr>
                              </w:pPr>
                              <w:r>
                                <w:rPr>
                                  <w:b/>
                                  <w:sz w:val="25"/>
                                </w:rPr>
                                <w:t>OF</w:t>
                              </w:r>
                              <w:r>
                                <w:rPr>
                                  <w:b/>
                                  <w:spacing w:val="-8"/>
                                  <w:sz w:val="25"/>
                                </w:rPr>
                                <w:t> </w:t>
                              </w:r>
                              <w:r>
                                <w:rPr>
                                  <w:b/>
                                  <w:sz w:val="25"/>
                                </w:rPr>
                                <w:t>THE</w:t>
                              </w:r>
                              <w:r>
                                <w:rPr>
                                  <w:b/>
                                  <w:spacing w:val="-9"/>
                                  <w:sz w:val="25"/>
                                </w:rPr>
                                <w:t> </w:t>
                              </w:r>
                              <w:r>
                                <w:rPr>
                                  <w:b/>
                                  <w:sz w:val="25"/>
                                </w:rPr>
                                <w:t>STATISTICAL</w:t>
                              </w:r>
                              <w:r>
                                <w:rPr>
                                  <w:b/>
                                  <w:spacing w:val="-10"/>
                                  <w:sz w:val="25"/>
                                </w:rPr>
                                <w:t> </w:t>
                              </w:r>
                              <w:r>
                                <w:rPr>
                                  <w:b/>
                                  <w:spacing w:val="-2"/>
                                  <w:sz w:val="25"/>
                                </w:rPr>
                                <w:t>ANALYSIS</w:t>
                              </w:r>
                            </w:p>
                          </w:txbxContent>
                        </wps:txbx>
                        <wps:bodyPr wrap="square" lIns="0" tIns="0" rIns="0" bIns="0" rtlCol="0">
                          <a:noAutofit/>
                        </wps:bodyPr>
                      </wps:wsp>
                    </wpg:wgp>
                  </a:graphicData>
                </a:graphic>
              </wp:anchor>
            </w:drawing>
          </mc:Choice>
          <mc:Fallback>
            <w:pict>
              <v:group style="position:absolute;margin-left:347.950012pt;margin-top:-28.208652pt;width:250.35pt;height:263.2pt;mso-position-horizontal-relative:page;mso-position-vertical-relative:paragraph;z-index:-25195520" id="docshapegroup237" coordorigin="6959,-564" coordsize="5007,5264">
                <v:shape style="position:absolute;left:6959;top:-355;width:5007;height:5054" id="docshape238" coordorigin="6959,-355" coordsize="5007,5054" path="m8223,4504l7567,3848,7766,3650,7551,3435,6959,4026,7174,4241,7373,4043,8029,4699,8223,4504xm8957,3631l8951,3567,8935,3501,8909,3434,8881,3380,8846,3324,8803,3267,8753,3208,8735,3189,8696,3147,8672,3125,8672,3619,8667,3659,8651,3696,8625,3729,8593,3754,8556,3769,8516,3774,8471,3767,8422,3749,8369,3718,8310,3673,8246,3614,8187,3550,8141,3490,8109,3436,8091,3387,8085,3343,8089,3303,8104,3267,8128,3235,8161,3210,8197,3194,8238,3189,8282,3194,8330,3211,8382,3241,8438,3283,8498,3338,8563,3408,8613,3471,8647,3527,8666,3575,8672,3619,8672,3125,8626,3082,8556,3027,8487,2982,8419,2947,8351,2921,8283,2905,8205,2899,8129,2909,8058,2935,7989,2975,7925,3031,7871,3094,7831,3162,7807,3234,7798,3309,7804,3389,7821,3457,7847,3526,7883,3596,7929,3666,7984,3736,8050,3807,8111,3864,8171,3914,8231,3956,8290,3991,8348,4018,8419,4042,8486,4056,8550,4059,8610,4053,8668,4037,8724,4010,8779,3972,8833,3924,8880,3870,8916,3814,8933,3774,8941,3755,8954,3694,8957,3631xm9970,2636l9965,2587,9953,2536,9934,2483,9909,2429,9879,2373,9841,2316,9780,2341,9599,2415,9631,2462,9655,2505,9673,2545,9684,2582,9687,2618,9681,2651,9666,2682,9643,2711,9612,2734,9578,2749,9540,2753,9500,2746,9453,2728,9400,2694,9338,2644,9269,2580,9217,2523,9175,2471,9144,2424,9124,2381,9111,2330,9112,2283,9125,2242,9152,2206,9167,2193,9184,2183,9202,2175,9222,2170,9242,2168,9264,2168,9286,2172,9309,2178,9324,2183,9342,2192,9363,2203,9386,2217,9505,1992,9422,1946,9343,1914,9269,1895,9200,1889,9133,1896,9069,1919,9006,1957,8946,2009,8892,2072,8854,2139,8830,2209,8821,2283,8827,2360,8844,2427,8870,2495,8906,2564,8953,2634,9009,2705,9076,2776,9141,2837,9204,2889,9267,2933,9329,2968,9390,2996,9462,3019,9530,3032,9591,3035,9647,3028,9700,3011,9752,2985,9804,2948,9856,2901,9894,2859,9925,2816,9947,2772,9961,2728,9969,2683,9970,2636xm10668,1920l10661,1856,10646,1790,10620,1724,10592,1669,10557,1613,10514,1556,10464,1497,10446,1478,10407,1436,10383,1414,10383,1908,10378,1948,10362,1985,10336,2018,10304,2043,10267,2059,10227,2063,10182,2057,10133,2039,10079,2007,10021,1962,9957,1903,9898,1839,9852,1780,9820,1726,9802,1676,9796,1632,9800,1592,9814,1556,9839,1524,9871,1499,9908,1483,9949,1478,9993,1483,10041,1500,10093,1530,10149,1572,10209,1627,10274,1697,10324,1760,10358,1816,10377,1865,10383,1908,10383,1414,10337,1371,10267,1316,10198,1271,10130,1236,10062,1210,9994,1194,9916,1189,9840,1199,9768,1224,9700,1265,9635,1320,9581,1384,9542,1451,9518,1523,9509,1599,9515,1678,9531,1747,9558,1816,9594,1885,9639,1955,9695,2025,9761,2096,9822,2153,9882,2203,9942,2245,10001,2280,10059,2307,10129,2331,10197,2345,10261,2349,10321,2342,10379,2326,10435,2299,10490,2261,10544,2213,10591,2159,10627,2103,10644,2063,10652,2044,10665,1983,10668,1920xm11148,1579l10825,1256,10932,1149,10982,1089,10988,1079,11016,1028,11033,964,11033,900,11017,834,10994,783,10987,768,10942,702,10884,636,10820,579,10757,536,10748,532,10748,925,10747,951,10738,977,10721,1004,10696,1032,10649,1079,10454,885,10510,830,10537,806,10563,791,10588,783,10612,784,10636,790,10659,801,10681,815,10702,834,10720,855,10734,878,10743,901,10748,925,10748,532,10695,507,10633,491,10573,490,10515,505,10459,535,10405,580,10082,903,10953,1775,11148,1579xm11966,761l11601,397,11548,247,11393,-205,11340,-355,11125,-139,11153,-69,11236,142,11292,282,11222,254,11011,171,10871,115,10654,331,10805,384,11256,539,11406,592,11771,956,11966,761xe" filled="true" fillcolor="#c0c0c0" stroked="false">
                  <v:path arrowok="t"/>
                  <v:fill opacity="32896f" type="solid"/>
                </v:shape>
                <v:shape style="position:absolute;left:6959;top:-565;width:5007;height:5264" type="#_x0000_t202" id="docshape239" filled="false" stroked="false">
                  <v:textbox inset="0,0,0,0">
                    <w:txbxContent>
                      <w:p>
                        <w:pPr>
                          <w:spacing w:line="276" w:lineRule="exact" w:before="0"/>
                          <w:ind w:left="186" w:right="0" w:firstLine="0"/>
                          <w:jc w:val="left"/>
                          <w:rPr>
                            <w:b/>
                            <w:sz w:val="25"/>
                          </w:rPr>
                        </w:pPr>
                        <w:r>
                          <w:rPr>
                            <w:b/>
                            <w:sz w:val="25"/>
                          </w:rPr>
                          <w:t>APPENDIX</w:t>
                        </w:r>
                        <w:r>
                          <w:rPr>
                            <w:b/>
                            <w:spacing w:val="-15"/>
                            <w:sz w:val="25"/>
                          </w:rPr>
                          <w:t> </w:t>
                        </w:r>
                        <w:r>
                          <w:rPr>
                            <w:b/>
                            <w:spacing w:val="-5"/>
                            <w:sz w:val="25"/>
                          </w:rPr>
                          <w:t>II</w:t>
                        </w:r>
                      </w:p>
                      <w:p>
                        <w:pPr>
                          <w:spacing w:line="240" w:lineRule="auto" w:before="1"/>
                          <w:rPr>
                            <w:b/>
                            <w:sz w:val="25"/>
                          </w:rPr>
                        </w:pPr>
                      </w:p>
                      <w:p>
                        <w:pPr>
                          <w:spacing w:before="0"/>
                          <w:ind w:left="10" w:right="0" w:firstLine="0"/>
                          <w:jc w:val="left"/>
                          <w:rPr>
                            <w:b/>
                            <w:sz w:val="25"/>
                          </w:rPr>
                        </w:pPr>
                        <w:r>
                          <w:rPr>
                            <w:b/>
                            <w:sz w:val="25"/>
                          </w:rPr>
                          <w:t>OF</w:t>
                        </w:r>
                        <w:r>
                          <w:rPr>
                            <w:b/>
                            <w:spacing w:val="-8"/>
                            <w:sz w:val="25"/>
                          </w:rPr>
                          <w:t> </w:t>
                        </w:r>
                        <w:r>
                          <w:rPr>
                            <w:b/>
                            <w:sz w:val="25"/>
                          </w:rPr>
                          <w:t>THE</w:t>
                        </w:r>
                        <w:r>
                          <w:rPr>
                            <w:b/>
                            <w:spacing w:val="-9"/>
                            <w:sz w:val="25"/>
                          </w:rPr>
                          <w:t> </w:t>
                        </w:r>
                        <w:r>
                          <w:rPr>
                            <w:b/>
                            <w:sz w:val="25"/>
                          </w:rPr>
                          <w:t>STATISTICAL</w:t>
                        </w:r>
                        <w:r>
                          <w:rPr>
                            <w:b/>
                            <w:spacing w:val="-10"/>
                            <w:sz w:val="25"/>
                          </w:rPr>
                          <w:t> </w:t>
                        </w:r>
                        <w:r>
                          <w:rPr>
                            <w:b/>
                            <w:spacing w:val="-2"/>
                            <w:sz w:val="25"/>
                          </w:rPr>
                          <w:t>ANALYSIS</w:t>
                        </w:r>
                      </w:p>
                    </w:txbxContent>
                  </v:textbox>
                  <w10:wrap type="none"/>
                </v:shape>
                <w10:wrap type="none"/>
              </v:group>
            </w:pict>
          </mc:Fallback>
        </mc:AlternateContent>
      </w:r>
      <w:r>
        <w:rPr>
          <w:b/>
          <w:sz w:val="25"/>
        </w:rPr>
        <w:t>E-VIEW</w:t>
      </w:r>
      <w:r>
        <w:rPr>
          <w:b/>
          <w:spacing w:val="-13"/>
          <w:sz w:val="25"/>
        </w:rPr>
        <w:t> </w:t>
      </w:r>
      <w:r>
        <w:rPr>
          <w:b/>
          <w:spacing w:val="-2"/>
          <w:sz w:val="25"/>
        </w:rPr>
        <w:t>OUTPUT</w:t>
      </w:r>
    </w:p>
    <w:p>
      <w:pPr>
        <w:spacing w:before="286"/>
        <w:ind w:left="160" w:right="0" w:firstLine="0"/>
        <w:jc w:val="left"/>
        <w:rPr>
          <w:b/>
          <w:sz w:val="25"/>
        </w:rPr>
      </w:pPr>
      <w:r>
        <w:rPr>
          <w:b/>
          <w:spacing w:val="-2"/>
          <w:sz w:val="25"/>
        </w:rPr>
        <w:t>DESCRIPTIVE</w:t>
      </w:r>
      <w:r>
        <w:rPr>
          <w:b/>
          <w:spacing w:val="2"/>
          <w:sz w:val="25"/>
        </w:rPr>
        <w:t> </w:t>
      </w:r>
      <w:r>
        <w:rPr>
          <w:b/>
          <w:spacing w:val="-2"/>
          <w:sz w:val="25"/>
        </w:rPr>
        <w:t>STATISTICS</w:t>
      </w:r>
    </w:p>
    <w:p>
      <w:pPr>
        <w:pStyle w:val="BodyText"/>
        <w:spacing w:before="80" w:after="1"/>
        <w:ind w:left="0"/>
        <w:rPr>
          <w:b/>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4"/>
        <w:gridCol w:w="1030"/>
        <w:gridCol w:w="959"/>
        <w:gridCol w:w="957"/>
        <w:gridCol w:w="1000"/>
        <w:gridCol w:w="967"/>
        <w:gridCol w:w="1066"/>
        <w:gridCol w:w="953"/>
        <w:gridCol w:w="940"/>
        <w:gridCol w:w="953"/>
      </w:tblGrid>
      <w:tr>
        <w:trPr>
          <w:trHeight w:val="213" w:hRule="atLeast"/>
        </w:trPr>
        <w:tc>
          <w:tcPr>
            <w:tcW w:w="1224" w:type="dxa"/>
          </w:tcPr>
          <w:p>
            <w:pPr>
              <w:pStyle w:val="TableParagraph"/>
              <w:spacing w:line="240" w:lineRule="auto" w:before="0"/>
              <w:rPr>
                <w:rFonts w:ascii="Times New Roman"/>
                <w:sz w:val="14"/>
              </w:rPr>
            </w:pPr>
          </w:p>
        </w:tc>
        <w:tc>
          <w:tcPr>
            <w:tcW w:w="1030" w:type="dxa"/>
          </w:tcPr>
          <w:p>
            <w:pPr>
              <w:pStyle w:val="TableParagraph"/>
              <w:spacing w:line="193" w:lineRule="exact" w:before="0"/>
              <w:ind w:left="6" w:right="54"/>
              <w:jc w:val="center"/>
              <w:rPr>
                <w:rFonts w:ascii="Arial"/>
                <w:b/>
                <w:sz w:val="18"/>
              </w:rPr>
            </w:pPr>
            <w:r>
              <w:rPr>
                <w:rFonts w:ascii="Arial"/>
                <w:b/>
                <w:spacing w:val="-4"/>
                <w:sz w:val="18"/>
              </w:rPr>
              <w:t>RGDP</w:t>
            </w:r>
          </w:p>
        </w:tc>
        <w:tc>
          <w:tcPr>
            <w:tcW w:w="959" w:type="dxa"/>
          </w:tcPr>
          <w:p>
            <w:pPr>
              <w:pStyle w:val="TableParagraph"/>
              <w:spacing w:line="193" w:lineRule="exact" w:before="0"/>
              <w:ind w:left="35"/>
              <w:jc w:val="center"/>
              <w:rPr>
                <w:rFonts w:ascii="Arial"/>
                <w:b/>
                <w:sz w:val="18"/>
              </w:rPr>
            </w:pPr>
            <w:r>
              <w:rPr>
                <w:rFonts w:ascii="Arial"/>
                <w:b/>
                <w:spacing w:val="-5"/>
                <w:sz w:val="18"/>
              </w:rPr>
              <w:t>FDI</w:t>
            </w:r>
          </w:p>
        </w:tc>
        <w:tc>
          <w:tcPr>
            <w:tcW w:w="957" w:type="dxa"/>
          </w:tcPr>
          <w:p>
            <w:pPr>
              <w:pStyle w:val="TableParagraph"/>
              <w:spacing w:line="193" w:lineRule="exact" w:before="0"/>
              <w:ind w:left="1" w:right="79"/>
              <w:jc w:val="center"/>
              <w:rPr>
                <w:rFonts w:ascii="Arial"/>
                <w:b/>
                <w:sz w:val="18"/>
              </w:rPr>
            </w:pPr>
            <w:r>
              <w:rPr>
                <w:rFonts w:ascii="Arial"/>
                <w:b/>
                <w:spacing w:val="-5"/>
                <w:sz w:val="18"/>
              </w:rPr>
              <w:t>FPI</w:t>
            </w:r>
          </w:p>
        </w:tc>
        <w:tc>
          <w:tcPr>
            <w:tcW w:w="1000" w:type="dxa"/>
          </w:tcPr>
          <w:p>
            <w:pPr>
              <w:pStyle w:val="TableParagraph"/>
              <w:spacing w:line="193" w:lineRule="exact" w:before="0"/>
              <w:ind w:right="57"/>
              <w:jc w:val="center"/>
              <w:rPr>
                <w:rFonts w:ascii="Arial"/>
                <w:b/>
                <w:sz w:val="18"/>
              </w:rPr>
            </w:pPr>
            <w:r>
              <w:rPr>
                <w:rFonts w:ascii="Arial"/>
                <w:b/>
                <w:spacing w:val="-5"/>
                <w:sz w:val="18"/>
              </w:rPr>
              <w:t>ODA</w:t>
            </w:r>
          </w:p>
        </w:tc>
        <w:tc>
          <w:tcPr>
            <w:tcW w:w="967" w:type="dxa"/>
          </w:tcPr>
          <w:p>
            <w:pPr>
              <w:pStyle w:val="TableParagraph"/>
              <w:spacing w:line="193" w:lineRule="exact" w:before="0"/>
              <w:ind w:left="7" w:right="48"/>
              <w:jc w:val="center"/>
              <w:rPr>
                <w:rFonts w:ascii="Arial"/>
                <w:b/>
                <w:sz w:val="18"/>
              </w:rPr>
            </w:pPr>
            <w:r>
              <w:rPr>
                <w:rFonts w:ascii="Arial"/>
                <w:b/>
                <w:spacing w:val="-5"/>
                <w:sz w:val="18"/>
              </w:rPr>
              <w:t>REM</w:t>
            </w:r>
          </w:p>
        </w:tc>
        <w:tc>
          <w:tcPr>
            <w:tcW w:w="1066" w:type="dxa"/>
          </w:tcPr>
          <w:p>
            <w:pPr>
              <w:pStyle w:val="TableParagraph"/>
              <w:spacing w:line="193" w:lineRule="exact" w:before="0"/>
              <w:ind w:left="48" w:right="49"/>
              <w:jc w:val="center"/>
              <w:rPr>
                <w:rFonts w:ascii="Arial"/>
                <w:b/>
                <w:sz w:val="18"/>
              </w:rPr>
            </w:pPr>
            <w:r>
              <w:rPr>
                <w:rFonts w:ascii="Arial"/>
                <w:b/>
                <w:spacing w:val="-2"/>
                <w:sz w:val="18"/>
              </w:rPr>
              <w:t>CPS_GDP</w:t>
            </w:r>
          </w:p>
        </w:tc>
        <w:tc>
          <w:tcPr>
            <w:tcW w:w="953" w:type="dxa"/>
          </w:tcPr>
          <w:p>
            <w:pPr>
              <w:pStyle w:val="TableParagraph"/>
              <w:spacing w:line="193" w:lineRule="exact" w:before="0"/>
              <w:ind w:right="42"/>
              <w:jc w:val="center"/>
              <w:rPr>
                <w:rFonts w:ascii="Arial"/>
                <w:b/>
                <w:sz w:val="18"/>
              </w:rPr>
            </w:pPr>
            <w:r>
              <w:rPr>
                <w:rFonts w:ascii="Arial"/>
                <w:b/>
                <w:spacing w:val="-5"/>
                <w:sz w:val="18"/>
              </w:rPr>
              <w:t>TOP</w:t>
            </w:r>
          </w:p>
        </w:tc>
        <w:tc>
          <w:tcPr>
            <w:tcW w:w="940" w:type="dxa"/>
          </w:tcPr>
          <w:p>
            <w:pPr>
              <w:pStyle w:val="TableParagraph"/>
              <w:spacing w:line="193" w:lineRule="exact" w:before="0"/>
              <w:ind w:left="6" w:right="53"/>
              <w:jc w:val="center"/>
              <w:rPr>
                <w:rFonts w:ascii="Arial"/>
                <w:b/>
                <w:sz w:val="18"/>
              </w:rPr>
            </w:pPr>
            <w:r>
              <w:rPr>
                <w:rFonts w:ascii="Arial"/>
                <w:b/>
                <w:spacing w:val="-5"/>
                <w:sz w:val="18"/>
              </w:rPr>
              <w:t>INT</w:t>
            </w:r>
          </w:p>
        </w:tc>
        <w:tc>
          <w:tcPr>
            <w:tcW w:w="953" w:type="dxa"/>
          </w:tcPr>
          <w:p>
            <w:pPr>
              <w:pStyle w:val="TableParagraph"/>
              <w:spacing w:line="193" w:lineRule="exact" w:before="0"/>
              <w:ind w:left="38"/>
              <w:jc w:val="center"/>
              <w:rPr>
                <w:rFonts w:ascii="Arial"/>
                <w:b/>
                <w:sz w:val="18"/>
              </w:rPr>
            </w:pPr>
            <w:r>
              <w:rPr>
                <w:rFonts w:ascii="Arial"/>
                <w:b/>
                <w:spacing w:val="-4"/>
                <w:sz w:val="18"/>
              </w:rPr>
              <w:t>EXCH</w:t>
            </w:r>
          </w:p>
        </w:tc>
      </w:tr>
      <w:tr>
        <w:trPr>
          <w:trHeight w:val="225" w:hRule="atLeast"/>
        </w:trPr>
        <w:tc>
          <w:tcPr>
            <w:tcW w:w="1224" w:type="dxa"/>
          </w:tcPr>
          <w:p>
            <w:pPr>
              <w:pStyle w:val="TableParagraph"/>
              <w:spacing w:line="200" w:lineRule="exact"/>
              <w:ind w:left="100"/>
              <w:rPr>
                <w:sz w:val="18"/>
              </w:rPr>
            </w:pPr>
            <w:r>
              <w:rPr>
                <w:spacing w:val="-4"/>
                <w:sz w:val="18"/>
              </w:rPr>
              <w:t>Mean</w:t>
            </w:r>
          </w:p>
        </w:tc>
        <w:tc>
          <w:tcPr>
            <w:tcW w:w="1030" w:type="dxa"/>
          </w:tcPr>
          <w:p>
            <w:pPr>
              <w:pStyle w:val="TableParagraph"/>
              <w:spacing w:line="200" w:lineRule="exact"/>
              <w:ind w:left="53" w:right="48"/>
              <w:jc w:val="center"/>
              <w:rPr>
                <w:sz w:val="18"/>
              </w:rPr>
            </w:pPr>
            <w:r>
              <w:rPr>
                <w:spacing w:val="-2"/>
                <w:sz w:val="18"/>
              </w:rPr>
              <w:t>38577.16</w:t>
            </w:r>
          </w:p>
        </w:tc>
        <w:tc>
          <w:tcPr>
            <w:tcW w:w="959" w:type="dxa"/>
          </w:tcPr>
          <w:p>
            <w:pPr>
              <w:pStyle w:val="TableParagraph"/>
              <w:spacing w:line="200" w:lineRule="exact"/>
              <w:ind w:left="90" w:right="6"/>
              <w:jc w:val="center"/>
              <w:rPr>
                <w:sz w:val="18"/>
              </w:rPr>
            </w:pPr>
            <w:r>
              <w:rPr>
                <w:spacing w:val="-2"/>
                <w:sz w:val="18"/>
              </w:rPr>
              <w:t>1209.514</w:t>
            </w:r>
          </w:p>
        </w:tc>
        <w:tc>
          <w:tcPr>
            <w:tcW w:w="957" w:type="dxa"/>
          </w:tcPr>
          <w:p>
            <w:pPr>
              <w:pStyle w:val="TableParagraph"/>
              <w:spacing w:line="200" w:lineRule="exact"/>
              <w:ind w:right="28"/>
              <w:jc w:val="center"/>
              <w:rPr>
                <w:sz w:val="18"/>
              </w:rPr>
            </w:pPr>
            <w:r>
              <w:rPr>
                <w:spacing w:val="-2"/>
                <w:sz w:val="18"/>
              </w:rPr>
              <w:t>89.75086</w:t>
            </w:r>
          </w:p>
        </w:tc>
        <w:tc>
          <w:tcPr>
            <w:tcW w:w="1000" w:type="dxa"/>
          </w:tcPr>
          <w:p>
            <w:pPr>
              <w:pStyle w:val="TableParagraph"/>
              <w:spacing w:line="200" w:lineRule="exact"/>
              <w:ind w:left="55" w:right="57"/>
              <w:jc w:val="center"/>
              <w:rPr>
                <w:sz w:val="18"/>
              </w:rPr>
            </w:pPr>
            <w:r>
              <w:rPr>
                <w:spacing w:val="-2"/>
                <w:sz w:val="18"/>
              </w:rPr>
              <w:t>3340.269</w:t>
            </w:r>
          </w:p>
        </w:tc>
        <w:tc>
          <w:tcPr>
            <w:tcW w:w="967" w:type="dxa"/>
          </w:tcPr>
          <w:p>
            <w:pPr>
              <w:pStyle w:val="TableParagraph"/>
              <w:spacing w:line="200" w:lineRule="exact"/>
              <w:ind w:left="47" w:right="41"/>
              <w:jc w:val="center"/>
              <w:rPr>
                <w:sz w:val="18"/>
              </w:rPr>
            </w:pPr>
            <w:r>
              <w:rPr>
                <w:spacing w:val="-2"/>
                <w:sz w:val="18"/>
              </w:rPr>
              <w:t>238.5011</w:t>
            </w:r>
          </w:p>
        </w:tc>
        <w:tc>
          <w:tcPr>
            <w:tcW w:w="1066" w:type="dxa"/>
          </w:tcPr>
          <w:p>
            <w:pPr>
              <w:pStyle w:val="TableParagraph"/>
              <w:spacing w:line="200" w:lineRule="exact"/>
              <w:ind w:left="48" w:right="2"/>
              <w:jc w:val="center"/>
              <w:rPr>
                <w:sz w:val="18"/>
              </w:rPr>
            </w:pPr>
            <w:r>
              <w:rPr>
                <w:spacing w:val="-2"/>
                <w:sz w:val="18"/>
              </w:rPr>
              <w:t>11.90285</w:t>
            </w:r>
          </w:p>
        </w:tc>
        <w:tc>
          <w:tcPr>
            <w:tcW w:w="953" w:type="dxa"/>
          </w:tcPr>
          <w:p>
            <w:pPr>
              <w:pStyle w:val="TableParagraph"/>
              <w:spacing w:line="200" w:lineRule="exact"/>
              <w:ind w:left="6"/>
              <w:jc w:val="center"/>
              <w:rPr>
                <w:sz w:val="18"/>
              </w:rPr>
            </w:pPr>
            <w:r>
              <w:rPr>
                <w:spacing w:val="-2"/>
                <w:sz w:val="18"/>
              </w:rPr>
              <w:t>68.07457</w:t>
            </w:r>
          </w:p>
        </w:tc>
        <w:tc>
          <w:tcPr>
            <w:tcW w:w="940" w:type="dxa"/>
          </w:tcPr>
          <w:p>
            <w:pPr>
              <w:pStyle w:val="TableParagraph"/>
              <w:spacing w:line="200" w:lineRule="exact"/>
              <w:ind w:left="51" w:right="47"/>
              <w:jc w:val="center"/>
              <w:rPr>
                <w:sz w:val="18"/>
              </w:rPr>
            </w:pPr>
            <w:r>
              <w:rPr>
                <w:spacing w:val="-2"/>
                <w:sz w:val="18"/>
              </w:rPr>
              <w:t>19.01571</w:t>
            </w:r>
          </w:p>
        </w:tc>
        <w:tc>
          <w:tcPr>
            <w:tcW w:w="953" w:type="dxa"/>
          </w:tcPr>
          <w:p>
            <w:pPr>
              <w:pStyle w:val="TableParagraph"/>
              <w:spacing w:line="200" w:lineRule="exact"/>
              <w:ind w:left="89"/>
              <w:jc w:val="center"/>
              <w:rPr>
                <w:sz w:val="18"/>
              </w:rPr>
            </w:pPr>
            <w:r>
              <w:rPr>
                <w:spacing w:val="-2"/>
                <w:sz w:val="18"/>
              </w:rPr>
              <w:t>94.12800</w:t>
            </w:r>
          </w:p>
        </w:tc>
      </w:tr>
      <w:tr>
        <w:trPr>
          <w:trHeight w:val="224" w:hRule="atLeast"/>
        </w:trPr>
        <w:tc>
          <w:tcPr>
            <w:tcW w:w="1224" w:type="dxa"/>
          </w:tcPr>
          <w:p>
            <w:pPr>
              <w:pStyle w:val="TableParagraph"/>
              <w:spacing w:line="198" w:lineRule="exact"/>
              <w:ind w:left="100"/>
              <w:rPr>
                <w:sz w:val="18"/>
              </w:rPr>
            </w:pPr>
            <w:r>
              <w:rPr>
                <w:spacing w:val="-2"/>
                <w:sz w:val="18"/>
              </w:rPr>
              <w:t>Median</w:t>
            </w:r>
          </w:p>
        </w:tc>
        <w:tc>
          <w:tcPr>
            <w:tcW w:w="1030" w:type="dxa"/>
          </w:tcPr>
          <w:p>
            <w:pPr>
              <w:pStyle w:val="TableParagraph"/>
              <w:spacing w:line="198" w:lineRule="exact"/>
              <w:ind w:left="53" w:right="48"/>
              <w:jc w:val="center"/>
              <w:rPr>
                <w:sz w:val="18"/>
              </w:rPr>
            </w:pPr>
            <w:r>
              <w:rPr>
                <w:spacing w:val="-2"/>
                <w:sz w:val="18"/>
              </w:rPr>
              <w:t>31709.45</w:t>
            </w:r>
          </w:p>
        </w:tc>
        <w:tc>
          <w:tcPr>
            <w:tcW w:w="959" w:type="dxa"/>
          </w:tcPr>
          <w:p>
            <w:pPr>
              <w:pStyle w:val="TableParagraph"/>
              <w:spacing w:line="198" w:lineRule="exact"/>
              <w:ind w:left="90" w:right="5"/>
              <w:jc w:val="center"/>
              <w:rPr>
                <w:sz w:val="18"/>
              </w:rPr>
            </w:pPr>
            <w:r>
              <w:rPr>
                <w:spacing w:val="-2"/>
                <w:sz w:val="18"/>
              </w:rPr>
              <w:t>296.6000</w:t>
            </w:r>
          </w:p>
        </w:tc>
        <w:tc>
          <w:tcPr>
            <w:tcW w:w="957" w:type="dxa"/>
          </w:tcPr>
          <w:p>
            <w:pPr>
              <w:pStyle w:val="TableParagraph"/>
              <w:spacing w:line="198" w:lineRule="exact"/>
              <w:ind w:right="28"/>
              <w:jc w:val="center"/>
              <w:rPr>
                <w:sz w:val="18"/>
              </w:rPr>
            </w:pPr>
            <w:r>
              <w:rPr>
                <w:spacing w:val="-2"/>
                <w:sz w:val="18"/>
              </w:rPr>
              <w:t>117.9700</w:t>
            </w:r>
          </w:p>
        </w:tc>
        <w:tc>
          <w:tcPr>
            <w:tcW w:w="1000" w:type="dxa"/>
          </w:tcPr>
          <w:p>
            <w:pPr>
              <w:pStyle w:val="TableParagraph"/>
              <w:spacing w:line="198" w:lineRule="exact"/>
              <w:ind w:left="55" w:right="57"/>
              <w:jc w:val="center"/>
              <w:rPr>
                <w:sz w:val="18"/>
              </w:rPr>
            </w:pPr>
            <w:r>
              <w:rPr>
                <w:spacing w:val="-2"/>
                <w:sz w:val="18"/>
              </w:rPr>
              <w:t>281.9000</w:t>
            </w:r>
          </w:p>
        </w:tc>
        <w:tc>
          <w:tcPr>
            <w:tcW w:w="967" w:type="dxa"/>
          </w:tcPr>
          <w:p>
            <w:pPr>
              <w:pStyle w:val="TableParagraph"/>
              <w:spacing w:line="198" w:lineRule="exact"/>
              <w:ind w:left="47" w:right="41"/>
              <w:jc w:val="center"/>
              <w:rPr>
                <w:sz w:val="18"/>
              </w:rPr>
            </w:pPr>
            <w:r>
              <w:rPr>
                <w:spacing w:val="-2"/>
                <w:sz w:val="18"/>
              </w:rPr>
              <w:t>137.5800</w:t>
            </w:r>
          </w:p>
        </w:tc>
        <w:tc>
          <w:tcPr>
            <w:tcW w:w="1066" w:type="dxa"/>
          </w:tcPr>
          <w:p>
            <w:pPr>
              <w:pStyle w:val="TableParagraph"/>
              <w:spacing w:line="198" w:lineRule="exact"/>
              <w:ind w:left="48" w:right="2"/>
              <w:jc w:val="center"/>
              <w:rPr>
                <w:sz w:val="18"/>
              </w:rPr>
            </w:pPr>
            <w:r>
              <w:rPr>
                <w:spacing w:val="-2"/>
                <w:sz w:val="18"/>
              </w:rPr>
              <w:t>8.616549</w:t>
            </w:r>
          </w:p>
        </w:tc>
        <w:tc>
          <w:tcPr>
            <w:tcW w:w="953" w:type="dxa"/>
          </w:tcPr>
          <w:p>
            <w:pPr>
              <w:pStyle w:val="TableParagraph"/>
              <w:spacing w:line="198" w:lineRule="exact"/>
              <w:ind w:left="6"/>
              <w:jc w:val="center"/>
              <w:rPr>
                <w:sz w:val="18"/>
              </w:rPr>
            </w:pPr>
            <w:r>
              <w:rPr>
                <w:spacing w:val="-2"/>
                <w:sz w:val="18"/>
              </w:rPr>
              <w:t>71.35000</w:t>
            </w:r>
          </w:p>
        </w:tc>
        <w:tc>
          <w:tcPr>
            <w:tcW w:w="940" w:type="dxa"/>
          </w:tcPr>
          <w:p>
            <w:pPr>
              <w:pStyle w:val="TableParagraph"/>
              <w:spacing w:line="198" w:lineRule="exact"/>
              <w:ind w:left="51" w:right="47"/>
              <w:jc w:val="center"/>
              <w:rPr>
                <w:sz w:val="18"/>
              </w:rPr>
            </w:pPr>
            <w:r>
              <w:rPr>
                <w:spacing w:val="-2"/>
                <w:sz w:val="18"/>
              </w:rPr>
              <w:t>17.95000</w:t>
            </w:r>
          </w:p>
        </w:tc>
        <w:tc>
          <w:tcPr>
            <w:tcW w:w="953" w:type="dxa"/>
          </w:tcPr>
          <w:p>
            <w:pPr>
              <w:pStyle w:val="TableParagraph"/>
              <w:spacing w:line="198" w:lineRule="exact"/>
              <w:ind w:left="89"/>
              <w:jc w:val="center"/>
              <w:rPr>
                <w:sz w:val="18"/>
              </w:rPr>
            </w:pPr>
            <w:r>
              <w:rPr>
                <w:spacing w:val="-2"/>
                <w:sz w:val="18"/>
              </w:rPr>
              <w:t>117.9700</w:t>
            </w:r>
          </w:p>
        </w:tc>
      </w:tr>
      <w:tr>
        <w:trPr>
          <w:trHeight w:val="224" w:hRule="atLeast"/>
        </w:trPr>
        <w:tc>
          <w:tcPr>
            <w:tcW w:w="1224" w:type="dxa"/>
          </w:tcPr>
          <w:p>
            <w:pPr>
              <w:pStyle w:val="TableParagraph"/>
              <w:spacing w:before="5"/>
              <w:ind w:left="100"/>
              <w:rPr>
                <w:sz w:val="18"/>
              </w:rPr>
            </w:pPr>
            <w:r>
              <w:rPr>
                <w:spacing w:val="-2"/>
                <w:sz w:val="18"/>
              </w:rPr>
              <w:t>Maximum</w:t>
            </w:r>
          </w:p>
        </w:tc>
        <w:tc>
          <w:tcPr>
            <w:tcW w:w="1030" w:type="dxa"/>
          </w:tcPr>
          <w:p>
            <w:pPr>
              <w:pStyle w:val="TableParagraph"/>
              <w:spacing w:before="5"/>
              <w:ind w:left="53" w:right="48"/>
              <w:jc w:val="center"/>
              <w:rPr>
                <w:sz w:val="18"/>
              </w:rPr>
            </w:pPr>
            <w:r>
              <w:rPr>
                <w:spacing w:val="-2"/>
                <w:sz w:val="18"/>
              </w:rPr>
              <w:t>71387.83</w:t>
            </w:r>
          </w:p>
        </w:tc>
        <w:tc>
          <w:tcPr>
            <w:tcW w:w="959" w:type="dxa"/>
          </w:tcPr>
          <w:p>
            <w:pPr>
              <w:pStyle w:val="TableParagraph"/>
              <w:spacing w:before="5"/>
              <w:ind w:left="90" w:right="6"/>
              <w:jc w:val="center"/>
              <w:rPr>
                <w:sz w:val="18"/>
              </w:rPr>
            </w:pPr>
            <w:r>
              <w:rPr>
                <w:spacing w:val="-2"/>
                <w:sz w:val="18"/>
              </w:rPr>
              <w:t>3924.100</w:t>
            </w:r>
          </w:p>
        </w:tc>
        <w:tc>
          <w:tcPr>
            <w:tcW w:w="957" w:type="dxa"/>
          </w:tcPr>
          <w:p>
            <w:pPr>
              <w:pStyle w:val="TableParagraph"/>
              <w:spacing w:before="5"/>
              <w:ind w:right="28"/>
              <w:jc w:val="center"/>
              <w:rPr>
                <w:sz w:val="18"/>
              </w:rPr>
            </w:pPr>
            <w:r>
              <w:rPr>
                <w:spacing w:val="-2"/>
                <w:sz w:val="18"/>
              </w:rPr>
              <w:t>169.2300</w:t>
            </w:r>
          </w:p>
        </w:tc>
        <w:tc>
          <w:tcPr>
            <w:tcW w:w="1000" w:type="dxa"/>
          </w:tcPr>
          <w:p>
            <w:pPr>
              <w:pStyle w:val="TableParagraph"/>
              <w:spacing w:before="5"/>
              <w:ind w:left="55" w:right="57"/>
              <w:jc w:val="center"/>
              <w:rPr>
                <w:sz w:val="18"/>
              </w:rPr>
            </w:pPr>
            <w:r>
              <w:rPr>
                <w:spacing w:val="-2"/>
                <w:sz w:val="18"/>
              </w:rPr>
              <w:t>19077.40</w:t>
            </w:r>
          </w:p>
        </w:tc>
        <w:tc>
          <w:tcPr>
            <w:tcW w:w="967" w:type="dxa"/>
          </w:tcPr>
          <w:p>
            <w:pPr>
              <w:pStyle w:val="TableParagraph"/>
              <w:spacing w:before="5"/>
              <w:ind w:left="47" w:right="41"/>
              <w:jc w:val="center"/>
              <w:rPr>
                <w:sz w:val="18"/>
              </w:rPr>
            </w:pPr>
            <w:r>
              <w:rPr>
                <w:spacing w:val="-2"/>
                <w:sz w:val="18"/>
              </w:rPr>
              <w:t>949.1900</w:t>
            </w:r>
          </w:p>
        </w:tc>
        <w:tc>
          <w:tcPr>
            <w:tcW w:w="1066" w:type="dxa"/>
          </w:tcPr>
          <w:p>
            <w:pPr>
              <w:pStyle w:val="TableParagraph"/>
              <w:spacing w:before="5"/>
              <w:ind w:left="48" w:right="2"/>
              <w:jc w:val="center"/>
              <w:rPr>
                <w:sz w:val="18"/>
              </w:rPr>
            </w:pPr>
            <w:r>
              <w:rPr>
                <w:spacing w:val="-2"/>
                <w:sz w:val="18"/>
              </w:rPr>
              <w:t>22.75484</w:t>
            </w:r>
          </w:p>
        </w:tc>
        <w:tc>
          <w:tcPr>
            <w:tcW w:w="953" w:type="dxa"/>
          </w:tcPr>
          <w:p>
            <w:pPr>
              <w:pStyle w:val="TableParagraph"/>
              <w:spacing w:before="5"/>
              <w:ind w:left="6"/>
              <w:jc w:val="center"/>
              <w:rPr>
                <w:sz w:val="18"/>
              </w:rPr>
            </w:pPr>
            <w:r>
              <w:rPr>
                <w:spacing w:val="-2"/>
                <w:sz w:val="18"/>
              </w:rPr>
              <w:t>97.30000</w:t>
            </w:r>
          </w:p>
        </w:tc>
        <w:tc>
          <w:tcPr>
            <w:tcW w:w="940" w:type="dxa"/>
          </w:tcPr>
          <w:p>
            <w:pPr>
              <w:pStyle w:val="TableParagraph"/>
              <w:spacing w:before="5"/>
              <w:ind w:left="51" w:right="47"/>
              <w:jc w:val="center"/>
              <w:rPr>
                <w:sz w:val="18"/>
              </w:rPr>
            </w:pPr>
            <w:r>
              <w:rPr>
                <w:spacing w:val="-2"/>
                <w:sz w:val="18"/>
              </w:rPr>
              <w:t>36.09000</w:t>
            </w:r>
          </w:p>
        </w:tc>
        <w:tc>
          <w:tcPr>
            <w:tcW w:w="953" w:type="dxa"/>
          </w:tcPr>
          <w:p>
            <w:pPr>
              <w:pStyle w:val="TableParagraph"/>
              <w:spacing w:before="5"/>
              <w:ind w:left="89"/>
              <w:jc w:val="center"/>
              <w:rPr>
                <w:sz w:val="18"/>
              </w:rPr>
            </w:pPr>
            <w:r>
              <w:rPr>
                <w:spacing w:val="-2"/>
                <w:sz w:val="18"/>
              </w:rPr>
              <w:t>185.4700</w:t>
            </w:r>
          </w:p>
        </w:tc>
      </w:tr>
      <w:tr>
        <w:trPr>
          <w:trHeight w:val="225" w:hRule="atLeast"/>
        </w:trPr>
        <w:tc>
          <w:tcPr>
            <w:tcW w:w="1224" w:type="dxa"/>
          </w:tcPr>
          <w:p>
            <w:pPr>
              <w:pStyle w:val="TableParagraph"/>
              <w:ind w:left="100"/>
              <w:rPr>
                <w:sz w:val="18"/>
              </w:rPr>
            </w:pPr>
            <w:r>
              <w:rPr>
                <w:spacing w:val="-2"/>
                <w:sz w:val="18"/>
              </w:rPr>
              <w:t>Minimum</w:t>
            </w:r>
          </w:p>
        </w:tc>
        <w:tc>
          <w:tcPr>
            <w:tcW w:w="1030" w:type="dxa"/>
          </w:tcPr>
          <w:p>
            <w:pPr>
              <w:pStyle w:val="TableParagraph"/>
              <w:ind w:left="53" w:right="48"/>
              <w:jc w:val="center"/>
              <w:rPr>
                <w:sz w:val="18"/>
              </w:rPr>
            </w:pPr>
            <w:r>
              <w:rPr>
                <w:spacing w:val="-2"/>
                <w:sz w:val="18"/>
              </w:rPr>
              <w:t>15237.99</w:t>
            </w:r>
          </w:p>
        </w:tc>
        <w:tc>
          <w:tcPr>
            <w:tcW w:w="959" w:type="dxa"/>
          </w:tcPr>
          <w:p>
            <w:pPr>
              <w:pStyle w:val="TableParagraph"/>
              <w:ind w:left="90" w:right="5"/>
              <w:jc w:val="center"/>
              <w:rPr>
                <w:sz w:val="18"/>
              </w:rPr>
            </w:pPr>
            <w:r>
              <w:rPr>
                <w:spacing w:val="-2"/>
                <w:sz w:val="18"/>
              </w:rPr>
              <w:t>22.20000</w:t>
            </w:r>
          </w:p>
        </w:tc>
        <w:tc>
          <w:tcPr>
            <w:tcW w:w="957" w:type="dxa"/>
          </w:tcPr>
          <w:p>
            <w:pPr>
              <w:pStyle w:val="TableParagraph"/>
              <w:ind w:right="28"/>
              <w:jc w:val="center"/>
              <w:rPr>
                <w:sz w:val="18"/>
              </w:rPr>
            </w:pPr>
            <w:r>
              <w:rPr>
                <w:spacing w:val="-2"/>
                <w:sz w:val="18"/>
              </w:rPr>
              <w:t>0.890000</w:t>
            </w:r>
          </w:p>
        </w:tc>
        <w:tc>
          <w:tcPr>
            <w:tcW w:w="1000" w:type="dxa"/>
          </w:tcPr>
          <w:p>
            <w:pPr>
              <w:pStyle w:val="TableParagraph"/>
              <w:ind w:left="55" w:right="57"/>
              <w:jc w:val="center"/>
              <w:rPr>
                <w:sz w:val="18"/>
              </w:rPr>
            </w:pPr>
            <w:r>
              <w:rPr>
                <w:spacing w:val="-2"/>
                <w:sz w:val="18"/>
              </w:rPr>
              <w:t>16.30000</w:t>
            </w:r>
          </w:p>
        </w:tc>
        <w:tc>
          <w:tcPr>
            <w:tcW w:w="967" w:type="dxa"/>
          </w:tcPr>
          <w:p>
            <w:pPr>
              <w:pStyle w:val="TableParagraph"/>
              <w:ind w:left="47" w:right="41"/>
              <w:jc w:val="center"/>
              <w:rPr>
                <w:sz w:val="18"/>
              </w:rPr>
            </w:pPr>
            <w:r>
              <w:rPr>
                <w:spacing w:val="-2"/>
                <w:sz w:val="18"/>
              </w:rPr>
              <w:t>10.51000</w:t>
            </w:r>
          </w:p>
        </w:tc>
        <w:tc>
          <w:tcPr>
            <w:tcW w:w="1066" w:type="dxa"/>
          </w:tcPr>
          <w:p>
            <w:pPr>
              <w:pStyle w:val="TableParagraph"/>
              <w:ind w:left="48" w:right="2"/>
              <w:jc w:val="center"/>
              <w:rPr>
                <w:sz w:val="18"/>
              </w:rPr>
            </w:pPr>
            <w:r>
              <w:rPr>
                <w:spacing w:val="-2"/>
                <w:sz w:val="18"/>
              </w:rPr>
              <w:t>5.806165</w:t>
            </w:r>
          </w:p>
        </w:tc>
        <w:tc>
          <w:tcPr>
            <w:tcW w:w="953" w:type="dxa"/>
          </w:tcPr>
          <w:p>
            <w:pPr>
              <w:pStyle w:val="TableParagraph"/>
              <w:ind w:left="6"/>
              <w:jc w:val="center"/>
              <w:rPr>
                <w:sz w:val="18"/>
              </w:rPr>
            </w:pPr>
            <w:r>
              <w:rPr>
                <w:spacing w:val="-2"/>
                <w:sz w:val="18"/>
              </w:rPr>
              <w:t>45.20000</w:t>
            </w:r>
          </w:p>
        </w:tc>
        <w:tc>
          <w:tcPr>
            <w:tcW w:w="940" w:type="dxa"/>
          </w:tcPr>
          <w:p>
            <w:pPr>
              <w:pStyle w:val="TableParagraph"/>
              <w:ind w:left="51" w:right="47"/>
              <w:jc w:val="center"/>
              <w:rPr>
                <w:sz w:val="18"/>
              </w:rPr>
            </w:pPr>
            <w:r>
              <w:rPr>
                <w:spacing w:val="-2"/>
                <w:sz w:val="18"/>
              </w:rPr>
              <w:t>10.50000</w:t>
            </w:r>
          </w:p>
        </w:tc>
        <w:tc>
          <w:tcPr>
            <w:tcW w:w="953" w:type="dxa"/>
          </w:tcPr>
          <w:p>
            <w:pPr>
              <w:pStyle w:val="TableParagraph"/>
              <w:ind w:left="89"/>
              <w:jc w:val="center"/>
              <w:rPr>
                <w:sz w:val="18"/>
              </w:rPr>
            </w:pPr>
            <w:r>
              <w:rPr>
                <w:spacing w:val="-2"/>
                <w:sz w:val="18"/>
              </w:rPr>
              <w:t>2.020000</w:t>
            </w:r>
          </w:p>
        </w:tc>
      </w:tr>
      <w:tr>
        <w:trPr>
          <w:trHeight w:val="225" w:hRule="atLeast"/>
        </w:trPr>
        <w:tc>
          <w:tcPr>
            <w:tcW w:w="1224" w:type="dxa"/>
          </w:tcPr>
          <w:p>
            <w:pPr>
              <w:pStyle w:val="TableParagraph"/>
              <w:ind w:left="100"/>
              <w:rPr>
                <w:sz w:val="18"/>
              </w:rPr>
            </w:pPr>
            <w:r>
              <w:rPr>
                <w:sz w:val="18"/>
              </w:rPr>
              <w:t>Std.</w:t>
            </w:r>
            <w:r>
              <w:rPr>
                <w:spacing w:val="-2"/>
                <w:sz w:val="18"/>
              </w:rPr>
              <w:t> </w:t>
            </w:r>
            <w:r>
              <w:rPr>
                <w:spacing w:val="-4"/>
                <w:sz w:val="18"/>
              </w:rPr>
              <w:t>Dev.</w:t>
            </w:r>
          </w:p>
        </w:tc>
        <w:tc>
          <w:tcPr>
            <w:tcW w:w="1030" w:type="dxa"/>
          </w:tcPr>
          <w:p>
            <w:pPr>
              <w:pStyle w:val="TableParagraph"/>
              <w:ind w:left="53" w:right="48"/>
              <w:jc w:val="center"/>
              <w:rPr>
                <w:sz w:val="18"/>
              </w:rPr>
            </w:pPr>
            <w:r>
              <w:rPr>
                <w:spacing w:val="-2"/>
                <w:sz w:val="18"/>
              </w:rPr>
              <w:t>20479.94</w:t>
            </w:r>
          </w:p>
        </w:tc>
        <w:tc>
          <w:tcPr>
            <w:tcW w:w="959" w:type="dxa"/>
          </w:tcPr>
          <w:p>
            <w:pPr>
              <w:pStyle w:val="TableParagraph"/>
              <w:ind w:left="90" w:right="6"/>
              <w:jc w:val="center"/>
              <w:rPr>
                <w:sz w:val="18"/>
              </w:rPr>
            </w:pPr>
            <w:r>
              <w:rPr>
                <w:spacing w:val="-2"/>
                <w:sz w:val="18"/>
              </w:rPr>
              <w:t>1378.770</w:t>
            </w:r>
          </w:p>
        </w:tc>
        <w:tc>
          <w:tcPr>
            <w:tcW w:w="957" w:type="dxa"/>
          </w:tcPr>
          <w:p>
            <w:pPr>
              <w:pStyle w:val="TableParagraph"/>
              <w:ind w:right="28"/>
              <w:jc w:val="center"/>
              <w:rPr>
                <w:sz w:val="18"/>
              </w:rPr>
            </w:pPr>
            <w:r>
              <w:rPr>
                <w:spacing w:val="-2"/>
                <w:sz w:val="18"/>
              </w:rPr>
              <w:t>65.66546</w:t>
            </w:r>
          </w:p>
        </w:tc>
        <w:tc>
          <w:tcPr>
            <w:tcW w:w="1000" w:type="dxa"/>
          </w:tcPr>
          <w:p>
            <w:pPr>
              <w:pStyle w:val="TableParagraph"/>
              <w:ind w:left="55" w:right="57"/>
              <w:jc w:val="center"/>
              <w:rPr>
                <w:sz w:val="18"/>
              </w:rPr>
            </w:pPr>
            <w:r>
              <w:rPr>
                <w:spacing w:val="-2"/>
                <w:sz w:val="18"/>
              </w:rPr>
              <w:t>5526.912</w:t>
            </w:r>
          </w:p>
        </w:tc>
        <w:tc>
          <w:tcPr>
            <w:tcW w:w="967" w:type="dxa"/>
          </w:tcPr>
          <w:p>
            <w:pPr>
              <w:pStyle w:val="TableParagraph"/>
              <w:ind w:left="47" w:right="41"/>
              <w:jc w:val="center"/>
              <w:rPr>
                <w:sz w:val="18"/>
              </w:rPr>
            </w:pPr>
            <w:r>
              <w:rPr>
                <w:spacing w:val="-2"/>
                <w:sz w:val="18"/>
              </w:rPr>
              <w:t>262.8775</w:t>
            </w:r>
          </w:p>
        </w:tc>
        <w:tc>
          <w:tcPr>
            <w:tcW w:w="1066" w:type="dxa"/>
          </w:tcPr>
          <w:p>
            <w:pPr>
              <w:pStyle w:val="TableParagraph"/>
              <w:ind w:left="48" w:right="2"/>
              <w:jc w:val="center"/>
              <w:rPr>
                <w:sz w:val="18"/>
              </w:rPr>
            </w:pPr>
            <w:r>
              <w:rPr>
                <w:spacing w:val="-2"/>
                <w:sz w:val="18"/>
              </w:rPr>
              <w:t>5.596864</w:t>
            </w:r>
          </w:p>
        </w:tc>
        <w:tc>
          <w:tcPr>
            <w:tcW w:w="953" w:type="dxa"/>
          </w:tcPr>
          <w:p>
            <w:pPr>
              <w:pStyle w:val="TableParagraph"/>
              <w:ind w:left="6"/>
              <w:jc w:val="center"/>
              <w:rPr>
                <w:sz w:val="18"/>
              </w:rPr>
            </w:pPr>
            <w:r>
              <w:rPr>
                <w:spacing w:val="-2"/>
                <w:sz w:val="18"/>
              </w:rPr>
              <w:t>11.21954</w:t>
            </w:r>
          </w:p>
        </w:tc>
        <w:tc>
          <w:tcPr>
            <w:tcW w:w="940" w:type="dxa"/>
          </w:tcPr>
          <w:p>
            <w:pPr>
              <w:pStyle w:val="TableParagraph"/>
              <w:ind w:left="51" w:right="47"/>
              <w:jc w:val="center"/>
              <w:rPr>
                <w:sz w:val="18"/>
              </w:rPr>
            </w:pPr>
            <w:r>
              <w:rPr>
                <w:spacing w:val="-2"/>
                <w:sz w:val="18"/>
              </w:rPr>
              <w:t>4.828348</w:t>
            </w:r>
          </w:p>
        </w:tc>
        <w:tc>
          <w:tcPr>
            <w:tcW w:w="953" w:type="dxa"/>
          </w:tcPr>
          <w:p>
            <w:pPr>
              <w:pStyle w:val="TableParagraph"/>
              <w:ind w:left="89"/>
              <w:jc w:val="center"/>
              <w:rPr>
                <w:sz w:val="18"/>
              </w:rPr>
            </w:pPr>
            <w:r>
              <w:rPr>
                <w:spacing w:val="-2"/>
                <w:sz w:val="18"/>
              </w:rPr>
              <w:t>65.95810</w:t>
            </w:r>
          </w:p>
        </w:tc>
      </w:tr>
      <w:tr>
        <w:trPr>
          <w:trHeight w:val="224" w:hRule="atLeast"/>
        </w:trPr>
        <w:tc>
          <w:tcPr>
            <w:tcW w:w="1224" w:type="dxa"/>
          </w:tcPr>
          <w:p>
            <w:pPr>
              <w:pStyle w:val="TableParagraph"/>
              <w:spacing w:line="198" w:lineRule="exact"/>
              <w:ind w:left="100"/>
              <w:rPr>
                <w:sz w:val="18"/>
              </w:rPr>
            </w:pPr>
            <w:r>
              <w:rPr>
                <w:spacing w:val="-2"/>
                <w:sz w:val="18"/>
              </w:rPr>
              <w:t>Skewness</w:t>
            </w:r>
          </w:p>
        </w:tc>
        <w:tc>
          <w:tcPr>
            <w:tcW w:w="1030" w:type="dxa"/>
          </w:tcPr>
          <w:p>
            <w:pPr>
              <w:pStyle w:val="TableParagraph"/>
              <w:spacing w:line="198" w:lineRule="exact"/>
              <w:ind w:left="53" w:right="48"/>
              <w:jc w:val="center"/>
              <w:rPr>
                <w:sz w:val="18"/>
              </w:rPr>
            </w:pPr>
            <w:r>
              <w:rPr>
                <w:spacing w:val="-2"/>
                <w:sz w:val="18"/>
              </w:rPr>
              <w:t>0.438965</w:t>
            </w:r>
          </w:p>
        </w:tc>
        <w:tc>
          <w:tcPr>
            <w:tcW w:w="959" w:type="dxa"/>
          </w:tcPr>
          <w:p>
            <w:pPr>
              <w:pStyle w:val="TableParagraph"/>
              <w:spacing w:line="198" w:lineRule="exact"/>
              <w:ind w:left="90" w:right="5"/>
              <w:jc w:val="center"/>
              <w:rPr>
                <w:sz w:val="18"/>
              </w:rPr>
            </w:pPr>
            <w:r>
              <w:rPr>
                <w:spacing w:val="-2"/>
                <w:sz w:val="18"/>
              </w:rPr>
              <w:t>0.747970</w:t>
            </w:r>
          </w:p>
        </w:tc>
        <w:tc>
          <w:tcPr>
            <w:tcW w:w="957" w:type="dxa"/>
          </w:tcPr>
          <w:p>
            <w:pPr>
              <w:pStyle w:val="TableParagraph"/>
              <w:spacing w:line="198" w:lineRule="exact"/>
              <w:ind w:right="79"/>
              <w:jc w:val="center"/>
              <w:rPr>
                <w:sz w:val="18"/>
              </w:rPr>
            </w:pPr>
            <w:r>
              <w:rPr>
                <w:spacing w:val="-2"/>
                <w:sz w:val="18"/>
              </w:rPr>
              <w:t>-0.254086</w:t>
            </w:r>
          </w:p>
        </w:tc>
        <w:tc>
          <w:tcPr>
            <w:tcW w:w="1000" w:type="dxa"/>
          </w:tcPr>
          <w:p>
            <w:pPr>
              <w:pStyle w:val="TableParagraph"/>
              <w:spacing w:line="198" w:lineRule="exact"/>
              <w:ind w:left="55" w:right="57"/>
              <w:jc w:val="center"/>
              <w:rPr>
                <w:sz w:val="18"/>
              </w:rPr>
            </w:pPr>
            <w:r>
              <w:rPr>
                <w:spacing w:val="-2"/>
                <w:sz w:val="18"/>
              </w:rPr>
              <w:t>1.594983</w:t>
            </w:r>
          </w:p>
        </w:tc>
        <w:tc>
          <w:tcPr>
            <w:tcW w:w="967" w:type="dxa"/>
          </w:tcPr>
          <w:p>
            <w:pPr>
              <w:pStyle w:val="TableParagraph"/>
              <w:spacing w:line="198" w:lineRule="exact"/>
              <w:ind w:left="47" w:right="41"/>
              <w:jc w:val="center"/>
              <w:rPr>
                <w:sz w:val="18"/>
              </w:rPr>
            </w:pPr>
            <w:r>
              <w:rPr>
                <w:spacing w:val="-2"/>
                <w:sz w:val="18"/>
              </w:rPr>
              <w:t>1.198360</w:t>
            </w:r>
          </w:p>
        </w:tc>
        <w:tc>
          <w:tcPr>
            <w:tcW w:w="1066" w:type="dxa"/>
          </w:tcPr>
          <w:p>
            <w:pPr>
              <w:pStyle w:val="TableParagraph"/>
              <w:spacing w:line="198" w:lineRule="exact"/>
              <w:ind w:left="48" w:right="2"/>
              <w:jc w:val="center"/>
              <w:rPr>
                <w:sz w:val="18"/>
              </w:rPr>
            </w:pPr>
            <w:r>
              <w:rPr>
                <w:spacing w:val="-2"/>
                <w:sz w:val="18"/>
              </w:rPr>
              <w:t>0.562027</w:t>
            </w:r>
          </w:p>
        </w:tc>
        <w:tc>
          <w:tcPr>
            <w:tcW w:w="953" w:type="dxa"/>
          </w:tcPr>
          <w:p>
            <w:pPr>
              <w:pStyle w:val="TableParagraph"/>
              <w:spacing w:line="198" w:lineRule="exact"/>
              <w:ind w:left="6"/>
              <w:jc w:val="center"/>
              <w:rPr>
                <w:sz w:val="18"/>
              </w:rPr>
            </w:pPr>
            <w:r>
              <w:rPr>
                <w:spacing w:val="-2"/>
                <w:sz w:val="18"/>
              </w:rPr>
              <w:t>0.049038</w:t>
            </w:r>
          </w:p>
        </w:tc>
        <w:tc>
          <w:tcPr>
            <w:tcW w:w="940" w:type="dxa"/>
          </w:tcPr>
          <w:p>
            <w:pPr>
              <w:pStyle w:val="TableParagraph"/>
              <w:spacing w:line="198" w:lineRule="exact"/>
              <w:ind w:left="51" w:right="47"/>
              <w:jc w:val="center"/>
              <w:rPr>
                <w:sz w:val="18"/>
              </w:rPr>
            </w:pPr>
            <w:r>
              <w:rPr>
                <w:spacing w:val="-2"/>
                <w:sz w:val="18"/>
              </w:rPr>
              <w:t>1.561912</w:t>
            </w:r>
          </w:p>
        </w:tc>
        <w:tc>
          <w:tcPr>
            <w:tcW w:w="953" w:type="dxa"/>
          </w:tcPr>
          <w:p>
            <w:pPr>
              <w:pStyle w:val="TableParagraph"/>
              <w:spacing w:line="198" w:lineRule="exact"/>
              <w:ind w:left="38"/>
              <w:jc w:val="center"/>
              <w:rPr>
                <w:sz w:val="18"/>
              </w:rPr>
            </w:pPr>
            <w:r>
              <w:rPr>
                <w:spacing w:val="-2"/>
                <w:sz w:val="18"/>
              </w:rPr>
              <w:t>-0.247025</w:t>
            </w:r>
          </w:p>
        </w:tc>
      </w:tr>
      <w:tr>
        <w:trPr>
          <w:trHeight w:val="337" w:hRule="atLeast"/>
        </w:trPr>
        <w:tc>
          <w:tcPr>
            <w:tcW w:w="1224" w:type="dxa"/>
          </w:tcPr>
          <w:p>
            <w:pPr>
              <w:pStyle w:val="TableParagraph"/>
              <w:spacing w:line="240" w:lineRule="auto" w:before="5"/>
              <w:ind w:left="100"/>
              <w:rPr>
                <w:sz w:val="18"/>
              </w:rPr>
            </w:pPr>
            <w:r>
              <w:rPr>
                <w:spacing w:val="-2"/>
                <w:sz w:val="18"/>
              </w:rPr>
              <w:t>Kurtosis</w:t>
            </w:r>
          </w:p>
        </w:tc>
        <w:tc>
          <w:tcPr>
            <w:tcW w:w="1030" w:type="dxa"/>
          </w:tcPr>
          <w:p>
            <w:pPr>
              <w:pStyle w:val="TableParagraph"/>
              <w:spacing w:line="240" w:lineRule="auto" w:before="5"/>
              <w:ind w:left="53" w:right="48"/>
              <w:jc w:val="center"/>
              <w:rPr>
                <w:sz w:val="18"/>
              </w:rPr>
            </w:pPr>
            <w:r>
              <w:rPr>
                <w:spacing w:val="-2"/>
                <w:sz w:val="18"/>
              </w:rPr>
              <w:t>1.576438</w:t>
            </w:r>
          </w:p>
        </w:tc>
        <w:tc>
          <w:tcPr>
            <w:tcW w:w="959" w:type="dxa"/>
          </w:tcPr>
          <w:p>
            <w:pPr>
              <w:pStyle w:val="TableParagraph"/>
              <w:spacing w:line="240" w:lineRule="auto" w:before="5"/>
              <w:ind w:left="90" w:right="5"/>
              <w:jc w:val="center"/>
              <w:rPr>
                <w:sz w:val="18"/>
              </w:rPr>
            </w:pPr>
            <w:r>
              <w:rPr>
                <w:spacing w:val="-2"/>
                <w:sz w:val="18"/>
              </w:rPr>
              <w:t>1.862546</w:t>
            </w:r>
          </w:p>
        </w:tc>
        <w:tc>
          <w:tcPr>
            <w:tcW w:w="957" w:type="dxa"/>
          </w:tcPr>
          <w:p>
            <w:pPr>
              <w:pStyle w:val="TableParagraph"/>
              <w:spacing w:line="240" w:lineRule="auto" w:before="5"/>
              <w:ind w:right="28"/>
              <w:jc w:val="center"/>
              <w:rPr>
                <w:sz w:val="18"/>
              </w:rPr>
            </w:pPr>
            <w:r>
              <w:rPr>
                <w:spacing w:val="-2"/>
                <w:sz w:val="18"/>
              </w:rPr>
              <w:t>1.283418</w:t>
            </w:r>
          </w:p>
        </w:tc>
        <w:tc>
          <w:tcPr>
            <w:tcW w:w="1000" w:type="dxa"/>
          </w:tcPr>
          <w:p>
            <w:pPr>
              <w:pStyle w:val="TableParagraph"/>
              <w:spacing w:line="240" w:lineRule="auto" w:before="5"/>
              <w:ind w:left="55" w:right="57"/>
              <w:jc w:val="center"/>
              <w:rPr>
                <w:sz w:val="18"/>
              </w:rPr>
            </w:pPr>
            <w:r>
              <w:rPr>
                <w:spacing w:val="-2"/>
                <w:sz w:val="18"/>
              </w:rPr>
              <w:t>4.208232</w:t>
            </w:r>
          </w:p>
        </w:tc>
        <w:tc>
          <w:tcPr>
            <w:tcW w:w="967" w:type="dxa"/>
          </w:tcPr>
          <w:p>
            <w:pPr>
              <w:pStyle w:val="TableParagraph"/>
              <w:spacing w:line="240" w:lineRule="auto" w:before="5"/>
              <w:ind w:left="47" w:right="41"/>
              <w:jc w:val="center"/>
              <w:rPr>
                <w:sz w:val="18"/>
              </w:rPr>
            </w:pPr>
            <w:r>
              <w:rPr>
                <w:spacing w:val="-2"/>
                <w:sz w:val="18"/>
              </w:rPr>
              <w:t>3.624333</w:t>
            </w:r>
          </w:p>
        </w:tc>
        <w:tc>
          <w:tcPr>
            <w:tcW w:w="1066" w:type="dxa"/>
          </w:tcPr>
          <w:p>
            <w:pPr>
              <w:pStyle w:val="TableParagraph"/>
              <w:spacing w:line="240" w:lineRule="auto" w:before="5"/>
              <w:ind w:left="48" w:right="2"/>
              <w:jc w:val="center"/>
              <w:rPr>
                <w:sz w:val="18"/>
              </w:rPr>
            </w:pPr>
            <w:r>
              <w:rPr>
                <w:spacing w:val="-2"/>
                <w:sz w:val="18"/>
              </w:rPr>
              <w:t>1.576468</w:t>
            </w:r>
          </w:p>
        </w:tc>
        <w:tc>
          <w:tcPr>
            <w:tcW w:w="953" w:type="dxa"/>
          </w:tcPr>
          <w:p>
            <w:pPr>
              <w:pStyle w:val="TableParagraph"/>
              <w:spacing w:line="240" w:lineRule="auto" w:before="5"/>
              <w:ind w:left="6"/>
              <w:jc w:val="center"/>
              <w:rPr>
                <w:sz w:val="18"/>
              </w:rPr>
            </w:pPr>
            <w:r>
              <w:rPr>
                <w:spacing w:val="-2"/>
                <w:sz w:val="18"/>
              </w:rPr>
              <w:t>3.184479</w:t>
            </w:r>
          </w:p>
        </w:tc>
        <w:tc>
          <w:tcPr>
            <w:tcW w:w="940" w:type="dxa"/>
          </w:tcPr>
          <w:p>
            <w:pPr>
              <w:pStyle w:val="TableParagraph"/>
              <w:spacing w:line="240" w:lineRule="auto" w:before="5"/>
              <w:ind w:left="51" w:right="47"/>
              <w:jc w:val="center"/>
              <w:rPr>
                <w:sz w:val="18"/>
              </w:rPr>
            </w:pPr>
            <w:r>
              <w:rPr>
                <w:spacing w:val="-2"/>
                <w:sz w:val="18"/>
              </w:rPr>
              <w:t>6.351314</w:t>
            </w:r>
          </w:p>
        </w:tc>
        <w:tc>
          <w:tcPr>
            <w:tcW w:w="953" w:type="dxa"/>
          </w:tcPr>
          <w:p>
            <w:pPr>
              <w:pStyle w:val="TableParagraph"/>
              <w:spacing w:line="240" w:lineRule="auto" w:before="5"/>
              <w:ind w:left="89"/>
              <w:jc w:val="center"/>
              <w:rPr>
                <w:sz w:val="18"/>
              </w:rPr>
            </w:pPr>
            <w:r>
              <w:rPr>
                <w:spacing w:val="-2"/>
                <w:sz w:val="18"/>
              </w:rPr>
              <w:t>1.432800</w:t>
            </w:r>
          </w:p>
        </w:tc>
      </w:tr>
      <w:tr>
        <w:trPr>
          <w:trHeight w:val="338" w:hRule="atLeast"/>
        </w:trPr>
        <w:tc>
          <w:tcPr>
            <w:tcW w:w="1224" w:type="dxa"/>
          </w:tcPr>
          <w:p>
            <w:pPr>
              <w:pStyle w:val="TableParagraph"/>
              <w:spacing w:before="119"/>
              <w:ind w:left="100"/>
              <w:rPr>
                <w:sz w:val="18"/>
              </w:rPr>
            </w:pPr>
            <w:r>
              <w:rPr>
                <w:spacing w:val="-2"/>
                <w:sz w:val="18"/>
              </w:rPr>
              <w:t>Jarque-</w:t>
            </w:r>
            <w:r>
              <w:rPr>
                <w:spacing w:val="-4"/>
                <w:sz w:val="18"/>
              </w:rPr>
              <w:t>Bera</w:t>
            </w:r>
          </w:p>
        </w:tc>
        <w:tc>
          <w:tcPr>
            <w:tcW w:w="1030" w:type="dxa"/>
          </w:tcPr>
          <w:p>
            <w:pPr>
              <w:pStyle w:val="TableParagraph"/>
              <w:spacing w:before="119"/>
              <w:ind w:left="53" w:right="48"/>
              <w:jc w:val="center"/>
              <w:rPr>
                <w:sz w:val="18"/>
              </w:rPr>
            </w:pPr>
            <w:r>
              <w:rPr>
                <w:spacing w:val="-2"/>
                <w:sz w:val="18"/>
              </w:rPr>
              <w:t>4.079382</w:t>
            </w:r>
          </w:p>
        </w:tc>
        <w:tc>
          <w:tcPr>
            <w:tcW w:w="959" w:type="dxa"/>
          </w:tcPr>
          <w:p>
            <w:pPr>
              <w:pStyle w:val="TableParagraph"/>
              <w:spacing w:before="119"/>
              <w:ind w:left="90" w:right="5"/>
              <w:jc w:val="center"/>
              <w:rPr>
                <w:sz w:val="18"/>
              </w:rPr>
            </w:pPr>
            <w:r>
              <w:rPr>
                <w:spacing w:val="-2"/>
                <w:sz w:val="18"/>
              </w:rPr>
              <w:t>5.150300</w:t>
            </w:r>
          </w:p>
        </w:tc>
        <w:tc>
          <w:tcPr>
            <w:tcW w:w="957" w:type="dxa"/>
          </w:tcPr>
          <w:p>
            <w:pPr>
              <w:pStyle w:val="TableParagraph"/>
              <w:spacing w:before="119"/>
              <w:ind w:right="28"/>
              <w:jc w:val="center"/>
              <w:rPr>
                <w:sz w:val="18"/>
              </w:rPr>
            </w:pPr>
            <w:r>
              <w:rPr>
                <w:spacing w:val="-2"/>
                <w:sz w:val="18"/>
              </w:rPr>
              <w:t>4.673804</w:t>
            </w:r>
          </w:p>
        </w:tc>
        <w:tc>
          <w:tcPr>
            <w:tcW w:w="1000" w:type="dxa"/>
          </w:tcPr>
          <w:p>
            <w:pPr>
              <w:pStyle w:val="TableParagraph"/>
              <w:spacing w:before="119"/>
              <w:ind w:left="55" w:right="57"/>
              <w:jc w:val="center"/>
              <w:rPr>
                <w:sz w:val="18"/>
              </w:rPr>
            </w:pPr>
            <w:r>
              <w:rPr>
                <w:spacing w:val="-2"/>
                <w:sz w:val="18"/>
              </w:rPr>
              <w:t>16.96875</w:t>
            </w:r>
          </w:p>
        </w:tc>
        <w:tc>
          <w:tcPr>
            <w:tcW w:w="967" w:type="dxa"/>
          </w:tcPr>
          <w:p>
            <w:pPr>
              <w:pStyle w:val="TableParagraph"/>
              <w:spacing w:before="119"/>
              <w:ind w:left="47" w:right="41"/>
              <w:jc w:val="center"/>
              <w:rPr>
                <w:sz w:val="18"/>
              </w:rPr>
            </w:pPr>
            <w:r>
              <w:rPr>
                <w:spacing w:val="-2"/>
                <w:sz w:val="18"/>
              </w:rPr>
              <w:t>8.945495</w:t>
            </w:r>
          </w:p>
        </w:tc>
        <w:tc>
          <w:tcPr>
            <w:tcW w:w="1066" w:type="dxa"/>
          </w:tcPr>
          <w:p>
            <w:pPr>
              <w:pStyle w:val="TableParagraph"/>
              <w:spacing w:before="119"/>
              <w:ind w:left="48" w:right="2"/>
              <w:jc w:val="center"/>
              <w:rPr>
                <w:sz w:val="18"/>
              </w:rPr>
            </w:pPr>
            <w:r>
              <w:rPr>
                <w:spacing w:val="-2"/>
                <w:sz w:val="18"/>
              </w:rPr>
              <w:t>4.797830</w:t>
            </w:r>
          </w:p>
        </w:tc>
        <w:tc>
          <w:tcPr>
            <w:tcW w:w="953" w:type="dxa"/>
          </w:tcPr>
          <w:p>
            <w:pPr>
              <w:pStyle w:val="TableParagraph"/>
              <w:spacing w:before="119"/>
              <w:ind w:left="6"/>
              <w:jc w:val="center"/>
              <w:rPr>
                <w:sz w:val="18"/>
              </w:rPr>
            </w:pPr>
            <w:r>
              <w:rPr>
                <w:spacing w:val="-2"/>
                <w:sz w:val="18"/>
              </w:rPr>
              <w:t>0.063658</w:t>
            </w:r>
          </w:p>
        </w:tc>
        <w:tc>
          <w:tcPr>
            <w:tcW w:w="940" w:type="dxa"/>
          </w:tcPr>
          <w:p>
            <w:pPr>
              <w:pStyle w:val="TableParagraph"/>
              <w:spacing w:before="119"/>
              <w:ind w:left="51" w:right="47"/>
              <w:jc w:val="center"/>
              <w:rPr>
                <w:sz w:val="18"/>
              </w:rPr>
            </w:pPr>
            <w:r>
              <w:rPr>
                <w:spacing w:val="-2"/>
                <w:sz w:val="18"/>
              </w:rPr>
              <w:t>30.60980</w:t>
            </w:r>
          </w:p>
        </w:tc>
        <w:tc>
          <w:tcPr>
            <w:tcW w:w="953" w:type="dxa"/>
          </w:tcPr>
          <w:p>
            <w:pPr>
              <w:pStyle w:val="TableParagraph"/>
              <w:spacing w:before="119"/>
              <w:ind w:left="89"/>
              <w:jc w:val="center"/>
              <w:rPr>
                <w:sz w:val="18"/>
              </w:rPr>
            </w:pPr>
            <w:r>
              <w:rPr>
                <w:spacing w:val="-2"/>
                <w:sz w:val="18"/>
              </w:rPr>
              <w:t>3.937795</w:t>
            </w:r>
          </w:p>
        </w:tc>
      </w:tr>
      <w:tr>
        <w:trPr>
          <w:trHeight w:val="337" w:hRule="atLeast"/>
        </w:trPr>
        <w:tc>
          <w:tcPr>
            <w:tcW w:w="1224" w:type="dxa"/>
          </w:tcPr>
          <w:p>
            <w:pPr>
              <w:pStyle w:val="TableParagraph"/>
              <w:spacing w:line="240" w:lineRule="auto"/>
              <w:ind w:left="100"/>
              <w:rPr>
                <w:sz w:val="18"/>
              </w:rPr>
            </w:pPr>
            <w:r>
              <w:rPr>
                <w:spacing w:val="-2"/>
                <w:sz w:val="18"/>
              </w:rPr>
              <w:t>Probability</w:t>
            </w:r>
          </w:p>
        </w:tc>
        <w:tc>
          <w:tcPr>
            <w:tcW w:w="1030" w:type="dxa"/>
          </w:tcPr>
          <w:p>
            <w:pPr>
              <w:pStyle w:val="TableParagraph"/>
              <w:spacing w:line="240" w:lineRule="auto"/>
              <w:ind w:left="53" w:right="48"/>
              <w:jc w:val="center"/>
              <w:rPr>
                <w:sz w:val="18"/>
              </w:rPr>
            </w:pPr>
            <w:r>
              <w:rPr>
                <w:spacing w:val="-2"/>
                <w:sz w:val="18"/>
              </w:rPr>
              <w:t>0.130069</w:t>
            </w:r>
          </w:p>
        </w:tc>
        <w:tc>
          <w:tcPr>
            <w:tcW w:w="959" w:type="dxa"/>
          </w:tcPr>
          <w:p>
            <w:pPr>
              <w:pStyle w:val="TableParagraph"/>
              <w:spacing w:line="240" w:lineRule="auto"/>
              <w:ind w:left="90" w:right="5"/>
              <w:jc w:val="center"/>
              <w:rPr>
                <w:sz w:val="18"/>
              </w:rPr>
            </w:pPr>
            <w:r>
              <w:rPr>
                <w:spacing w:val="-2"/>
                <w:sz w:val="18"/>
              </w:rPr>
              <w:t>0.076142</w:t>
            </w:r>
          </w:p>
        </w:tc>
        <w:tc>
          <w:tcPr>
            <w:tcW w:w="957" w:type="dxa"/>
          </w:tcPr>
          <w:p>
            <w:pPr>
              <w:pStyle w:val="TableParagraph"/>
              <w:spacing w:line="240" w:lineRule="auto"/>
              <w:ind w:right="28"/>
              <w:jc w:val="center"/>
              <w:rPr>
                <w:sz w:val="18"/>
              </w:rPr>
            </w:pPr>
            <w:r>
              <w:rPr>
                <w:spacing w:val="-2"/>
                <w:sz w:val="18"/>
              </w:rPr>
              <w:t>0.096627</w:t>
            </w:r>
          </w:p>
        </w:tc>
        <w:tc>
          <w:tcPr>
            <w:tcW w:w="1000" w:type="dxa"/>
          </w:tcPr>
          <w:p>
            <w:pPr>
              <w:pStyle w:val="TableParagraph"/>
              <w:spacing w:line="240" w:lineRule="auto"/>
              <w:ind w:left="56" w:right="57"/>
              <w:jc w:val="center"/>
              <w:rPr>
                <w:sz w:val="18"/>
              </w:rPr>
            </w:pPr>
            <w:r>
              <w:rPr>
                <w:spacing w:val="-2"/>
                <w:sz w:val="18"/>
              </w:rPr>
              <w:t>0.240207</w:t>
            </w:r>
          </w:p>
        </w:tc>
        <w:tc>
          <w:tcPr>
            <w:tcW w:w="967" w:type="dxa"/>
          </w:tcPr>
          <w:p>
            <w:pPr>
              <w:pStyle w:val="TableParagraph"/>
              <w:spacing w:line="240" w:lineRule="auto"/>
              <w:ind w:left="47" w:right="41"/>
              <w:jc w:val="center"/>
              <w:rPr>
                <w:sz w:val="18"/>
              </w:rPr>
            </w:pPr>
            <w:r>
              <w:rPr>
                <w:spacing w:val="-2"/>
                <w:sz w:val="18"/>
              </w:rPr>
              <w:t>0.311416</w:t>
            </w:r>
          </w:p>
        </w:tc>
        <w:tc>
          <w:tcPr>
            <w:tcW w:w="1066" w:type="dxa"/>
          </w:tcPr>
          <w:p>
            <w:pPr>
              <w:pStyle w:val="TableParagraph"/>
              <w:spacing w:line="240" w:lineRule="auto"/>
              <w:ind w:left="48" w:right="2"/>
              <w:jc w:val="center"/>
              <w:rPr>
                <w:sz w:val="18"/>
              </w:rPr>
            </w:pPr>
            <w:r>
              <w:rPr>
                <w:spacing w:val="-2"/>
                <w:sz w:val="18"/>
              </w:rPr>
              <w:t>0.090816</w:t>
            </w:r>
          </w:p>
        </w:tc>
        <w:tc>
          <w:tcPr>
            <w:tcW w:w="953" w:type="dxa"/>
          </w:tcPr>
          <w:p>
            <w:pPr>
              <w:pStyle w:val="TableParagraph"/>
              <w:spacing w:line="240" w:lineRule="auto"/>
              <w:ind w:left="6"/>
              <w:jc w:val="center"/>
              <w:rPr>
                <w:sz w:val="18"/>
              </w:rPr>
            </w:pPr>
            <w:r>
              <w:rPr>
                <w:spacing w:val="-2"/>
                <w:sz w:val="18"/>
              </w:rPr>
              <w:t>0.968672</w:t>
            </w:r>
          </w:p>
        </w:tc>
        <w:tc>
          <w:tcPr>
            <w:tcW w:w="940" w:type="dxa"/>
          </w:tcPr>
          <w:p>
            <w:pPr>
              <w:pStyle w:val="TableParagraph"/>
              <w:spacing w:line="240" w:lineRule="auto"/>
              <w:ind w:left="51" w:right="47"/>
              <w:jc w:val="center"/>
              <w:rPr>
                <w:sz w:val="18"/>
              </w:rPr>
            </w:pPr>
            <w:r>
              <w:rPr>
                <w:spacing w:val="-2"/>
                <w:sz w:val="18"/>
              </w:rPr>
              <w:t>0.408725</w:t>
            </w:r>
          </w:p>
        </w:tc>
        <w:tc>
          <w:tcPr>
            <w:tcW w:w="953" w:type="dxa"/>
          </w:tcPr>
          <w:p>
            <w:pPr>
              <w:pStyle w:val="TableParagraph"/>
              <w:spacing w:line="240" w:lineRule="auto"/>
              <w:ind w:left="89"/>
              <w:jc w:val="center"/>
              <w:rPr>
                <w:sz w:val="18"/>
              </w:rPr>
            </w:pPr>
            <w:r>
              <w:rPr>
                <w:spacing w:val="-2"/>
                <w:sz w:val="18"/>
              </w:rPr>
              <w:t>0.139611</w:t>
            </w:r>
          </w:p>
        </w:tc>
      </w:tr>
      <w:tr>
        <w:trPr>
          <w:trHeight w:val="327" w:hRule="atLeast"/>
        </w:trPr>
        <w:tc>
          <w:tcPr>
            <w:tcW w:w="1224" w:type="dxa"/>
          </w:tcPr>
          <w:p>
            <w:pPr>
              <w:pStyle w:val="TableParagraph"/>
              <w:spacing w:line="190" w:lineRule="exact" w:before="118"/>
              <w:ind w:left="100"/>
              <w:rPr>
                <w:sz w:val="18"/>
              </w:rPr>
            </w:pPr>
            <w:r>
              <w:rPr>
                <w:spacing w:val="-5"/>
                <w:sz w:val="18"/>
              </w:rPr>
              <w:t>Sum</w:t>
            </w:r>
          </w:p>
        </w:tc>
        <w:tc>
          <w:tcPr>
            <w:tcW w:w="1030" w:type="dxa"/>
          </w:tcPr>
          <w:p>
            <w:pPr>
              <w:pStyle w:val="TableParagraph"/>
              <w:spacing w:line="190" w:lineRule="exact" w:before="118"/>
              <w:ind w:left="53" w:right="48"/>
              <w:jc w:val="center"/>
              <w:rPr>
                <w:sz w:val="18"/>
              </w:rPr>
            </w:pPr>
            <w:r>
              <w:rPr>
                <w:spacing w:val="-2"/>
                <w:sz w:val="18"/>
              </w:rPr>
              <w:t>1350200.</w:t>
            </w:r>
          </w:p>
        </w:tc>
        <w:tc>
          <w:tcPr>
            <w:tcW w:w="959" w:type="dxa"/>
          </w:tcPr>
          <w:p>
            <w:pPr>
              <w:pStyle w:val="TableParagraph"/>
              <w:spacing w:line="190" w:lineRule="exact" w:before="118"/>
              <w:ind w:left="90" w:right="5"/>
              <w:jc w:val="center"/>
              <w:rPr>
                <w:sz w:val="18"/>
              </w:rPr>
            </w:pPr>
            <w:r>
              <w:rPr>
                <w:spacing w:val="-2"/>
                <w:sz w:val="18"/>
              </w:rPr>
              <w:t>42333.00</w:t>
            </w:r>
          </w:p>
        </w:tc>
        <w:tc>
          <w:tcPr>
            <w:tcW w:w="957" w:type="dxa"/>
          </w:tcPr>
          <w:p>
            <w:pPr>
              <w:pStyle w:val="TableParagraph"/>
              <w:spacing w:line="190" w:lineRule="exact" w:before="118"/>
              <w:ind w:right="29"/>
              <w:jc w:val="center"/>
              <w:rPr>
                <w:sz w:val="18"/>
              </w:rPr>
            </w:pPr>
            <w:r>
              <w:rPr>
                <w:spacing w:val="-2"/>
                <w:sz w:val="18"/>
              </w:rPr>
              <w:t>3141.280</w:t>
            </w:r>
          </w:p>
        </w:tc>
        <w:tc>
          <w:tcPr>
            <w:tcW w:w="1000" w:type="dxa"/>
          </w:tcPr>
          <w:p>
            <w:pPr>
              <w:pStyle w:val="TableParagraph"/>
              <w:spacing w:line="190" w:lineRule="exact" w:before="118"/>
              <w:ind w:left="55" w:right="57"/>
              <w:jc w:val="center"/>
              <w:rPr>
                <w:sz w:val="18"/>
              </w:rPr>
            </w:pPr>
            <w:r>
              <w:rPr>
                <w:spacing w:val="-2"/>
                <w:sz w:val="18"/>
              </w:rPr>
              <w:t>116909.4</w:t>
            </w:r>
          </w:p>
        </w:tc>
        <w:tc>
          <w:tcPr>
            <w:tcW w:w="967" w:type="dxa"/>
          </w:tcPr>
          <w:p>
            <w:pPr>
              <w:pStyle w:val="TableParagraph"/>
              <w:spacing w:line="190" w:lineRule="exact" w:before="118"/>
              <w:ind w:left="47" w:right="41"/>
              <w:jc w:val="center"/>
              <w:rPr>
                <w:sz w:val="18"/>
              </w:rPr>
            </w:pPr>
            <w:r>
              <w:rPr>
                <w:spacing w:val="-2"/>
                <w:sz w:val="18"/>
              </w:rPr>
              <w:t>8347.540</w:t>
            </w:r>
          </w:p>
        </w:tc>
        <w:tc>
          <w:tcPr>
            <w:tcW w:w="1066" w:type="dxa"/>
          </w:tcPr>
          <w:p>
            <w:pPr>
              <w:pStyle w:val="TableParagraph"/>
              <w:spacing w:line="190" w:lineRule="exact" w:before="118"/>
              <w:ind w:left="48" w:right="2"/>
              <w:jc w:val="center"/>
              <w:rPr>
                <w:sz w:val="18"/>
              </w:rPr>
            </w:pPr>
            <w:r>
              <w:rPr>
                <w:spacing w:val="-2"/>
                <w:sz w:val="18"/>
              </w:rPr>
              <w:t>416.5997</w:t>
            </w:r>
          </w:p>
        </w:tc>
        <w:tc>
          <w:tcPr>
            <w:tcW w:w="953" w:type="dxa"/>
          </w:tcPr>
          <w:p>
            <w:pPr>
              <w:pStyle w:val="TableParagraph"/>
              <w:spacing w:line="190" w:lineRule="exact" w:before="118"/>
              <w:ind w:left="6"/>
              <w:jc w:val="center"/>
              <w:rPr>
                <w:sz w:val="18"/>
              </w:rPr>
            </w:pPr>
            <w:r>
              <w:rPr>
                <w:spacing w:val="-2"/>
                <w:sz w:val="18"/>
              </w:rPr>
              <w:t>2382.610</w:t>
            </w:r>
          </w:p>
        </w:tc>
        <w:tc>
          <w:tcPr>
            <w:tcW w:w="940" w:type="dxa"/>
          </w:tcPr>
          <w:p>
            <w:pPr>
              <w:pStyle w:val="TableParagraph"/>
              <w:spacing w:line="190" w:lineRule="exact" w:before="118"/>
              <w:ind w:left="51" w:right="47"/>
              <w:jc w:val="center"/>
              <w:rPr>
                <w:sz w:val="18"/>
              </w:rPr>
            </w:pPr>
            <w:r>
              <w:rPr>
                <w:spacing w:val="-2"/>
                <w:sz w:val="18"/>
              </w:rPr>
              <w:t>665.5500</w:t>
            </w:r>
          </w:p>
        </w:tc>
        <w:tc>
          <w:tcPr>
            <w:tcW w:w="953" w:type="dxa"/>
          </w:tcPr>
          <w:p>
            <w:pPr>
              <w:pStyle w:val="TableParagraph"/>
              <w:spacing w:line="190" w:lineRule="exact" w:before="118"/>
              <w:ind w:left="88"/>
              <w:jc w:val="center"/>
              <w:rPr>
                <w:sz w:val="18"/>
              </w:rPr>
            </w:pPr>
            <w:r>
              <w:rPr>
                <w:spacing w:val="-2"/>
                <w:sz w:val="18"/>
              </w:rPr>
              <w:t>3294.480</w:t>
            </w:r>
          </w:p>
        </w:tc>
      </w:tr>
      <w:tr>
        <w:trPr>
          <w:trHeight w:val="528" w:hRule="atLeast"/>
        </w:trPr>
        <w:tc>
          <w:tcPr>
            <w:tcW w:w="1224" w:type="dxa"/>
          </w:tcPr>
          <w:p>
            <w:pPr>
              <w:pStyle w:val="TableParagraph"/>
              <w:spacing w:line="242" w:lineRule="auto" w:before="0"/>
              <w:ind w:left="50" w:right="426" w:firstLine="50"/>
              <w:rPr>
                <w:sz w:val="18"/>
              </w:rPr>
            </w:pPr>
            <w:r>
              <w:rPr>
                <w:sz w:val="18"/>
              </w:rPr>
              <w:t>Sum</w:t>
            </w:r>
            <w:r>
              <w:rPr>
                <w:spacing w:val="-13"/>
                <w:sz w:val="18"/>
              </w:rPr>
              <w:t> </w:t>
            </w:r>
            <w:r>
              <w:rPr>
                <w:sz w:val="18"/>
              </w:rPr>
              <w:t>Sq. </w:t>
            </w:r>
            <w:r>
              <w:rPr>
                <w:spacing w:val="-4"/>
                <w:sz w:val="18"/>
              </w:rPr>
              <w:t>Dev.</w:t>
            </w:r>
          </w:p>
        </w:tc>
        <w:tc>
          <w:tcPr>
            <w:tcW w:w="1030" w:type="dxa"/>
          </w:tcPr>
          <w:p>
            <w:pPr>
              <w:pStyle w:val="TableParagraph"/>
              <w:spacing w:line="240" w:lineRule="auto" w:before="206"/>
              <w:ind w:left="53" w:right="48"/>
              <w:jc w:val="center"/>
              <w:rPr>
                <w:sz w:val="18"/>
              </w:rPr>
            </w:pPr>
            <w:r>
              <w:rPr>
                <w:spacing w:val="-2"/>
                <w:sz w:val="18"/>
              </w:rPr>
              <w:t>1.43E+10</w:t>
            </w:r>
          </w:p>
        </w:tc>
        <w:tc>
          <w:tcPr>
            <w:tcW w:w="959" w:type="dxa"/>
          </w:tcPr>
          <w:p>
            <w:pPr>
              <w:pStyle w:val="TableParagraph"/>
              <w:spacing w:line="240" w:lineRule="auto" w:before="206"/>
              <w:ind w:left="90" w:right="3"/>
              <w:jc w:val="center"/>
              <w:rPr>
                <w:sz w:val="18"/>
              </w:rPr>
            </w:pPr>
            <w:r>
              <w:rPr>
                <w:spacing w:val="-2"/>
                <w:sz w:val="18"/>
              </w:rPr>
              <w:t>64634257</w:t>
            </w:r>
          </w:p>
        </w:tc>
        <w:tc>
          <w:tcPr>
            <w:tcW w:w="957" w:type="dxa"/>
          </w:tcPr>
          <w:p>
            <w:pPr>
              <w:pStyle w:val="TableParagraph"/>
              <w:spacing w:line="240" w:lineRule="auto" w:before="206"/>
              <w:ind w:right="29"/>
              <w:jc w:val="center"/>
              <w:rPr>
                <w:sz w:val="18"/>
              </w:rPr>
            </w:pPr>
            <w:r>
              <w:rPr>
                <w:spacing w:val="-2"/>
                <w:sz w:val="18"/>
              </w:rPr>
              <w:t>146606.4</w:t>
            </w:r>
          </w:p>
        </w:tc>
        <w:tc>
          <w:tcPr>
            <w:tcW w:w="1000" w:type="dxa"/>
          </w:tcPr>
          <w:p>
            <w:pPr>
              <w:pStyle w:val="TableParagraph"/>
              <w:spacing w:line="240" w:lineRule="auto" w:before="206"/>
              <w:ind w:left="55" w:right="57"/>
              <w:jc w:val="center"/>
              <w:rPr>
                <w:sz w:val="18"/>
              </w:rPr>
            </w:pPr>
            <w:r>
              <w:rPr>
                <w:spacing w:val="-2"/>
                <w:sz w:val="18"/>
              </w:rPr>
              <w:t>1.04E+09</w:t>
            </w:r>
          </w:p>
        </w:tc>
        <w:tc>
          <w:tcPr>
            <w:tcW w:w="967" w:type="dxa"/>
          </w:tcPr>
          <w:p>
            <w:pPr>
              <w:pStyle w:val="TableParagraph"/>
              <w:spacing w:line="240" w:lineRule="auto" w:before="206"/>
              <w:ind w:left="47" w:right="41"/>
              <w:jc w:val="center"/>
              <w:rPr>
                <w:sz w:val="18"/>
              </w:rPr>
            </w:pPr>
            <w:r>
              <w:rPr>
                <w:spacing w:val="-2"/>
                <w:sz w:val="18"/>
              </w:rPr>
              <w:t>2349557.</w:t>
            </w:r>
          </w:p>
        </w:tc>
        <w:tc>
          <w:tcPr>
            <w:tcW w:w="1066" w:type="dxa"/>
          </w:tcPr>
          <w:p>
            <w:pPr>
              <w:pStyle w:val="TableParagraph"/>
              <w:spacing w:line="240" w:lineRule="auto" w:before="206"/>
              <w:ind w:left="48" w:right="2"/>
              <w:jc w:val="center"/>
              <w:rPr>
                <w:sz w:val="18"/>
              </w:rPr>
            </w:pPr>
            <w:r>
              <w:rPr>
                <w:spacing w:val="-2"/>
                <w:sz w:val="18"/>
              </w:rPr>
              <w:t>1065.046</w:t>
            </w:r>
          </w:p>
        </w:tc>
        <w:tc>
          <w:tcPr>
            <w:tcW w:w="953" w:type="dxa"/>
          </w:tcPr>
          <w:p>
            <w:pPr>
              <w:pStyle w:val="TableParagraph"/>
              <w:spacing w:line="240" w:lineRule="auto" w:before="206"/>
              <w:ind w:left="6"/>
              <w:jc w:val="center"/>
              <w:rPr>
                <w:sz w:val="18"/>
              </w:rPr>
            </w:pPr>
            <w:r>
              <w:rPr>
                <w:spacing w:val="-2"/>
                <w:sz w:val="18"/>
              </w:rPr>
              <w:t>4279.858</w:t>
            </w:r>
          </w:p>
        </w:tc>
        <w:tc>
          <w:tcPr>
            <w:tcW w:w="940" w:type="dxa"/>
          </w:tcPr>
          <w:p>
            <w:pPr>
              <w:pStyle w:val="TableParagraph"/>
              <w:spacing w:line="240" w:lineRule="auto" w:before="206"/>
              <w:ind w:left="51" w:right="47"/>
              <w:jc w:val="center"/>
              <w:rPr>
                <w:sz w:val="18"/>
              </w:rPr>
            </w:pPr>
            <w:r>
              <w:rPr>
                <w:spacing w:val="-2"/>
                <w:sz w:val="18"/>
              </w:rPr>
              <w:t>792.6401</w:t>
            </w:r>
          </w:p>
        </w:tc>
        <w:tc>
          <w:tcPr>
            <w:tcW w:w="953" w:type="dxa"/>
          </w:tcPr>
          <w:p>
            <w:pPr>
              <w:pStyle w:val="TableParagraph"/>
              <w:spacing w:line="240" w:lineRule="auto" w:before="206"/>
              <w:ind w:left="88"/>
              <w:jc w:val="center"/>
              <w:rPr>
                <w:sz w:val="18"/>
              </w:rPr>
            </w:pPr>
            <w:r>
              <w:rPr>
                <w:spacing w:val="-2"/>
                <w:sz w:val="18"/>
              </w:rPr>
              <w:t>147916.0</w:t>
            </w:r>
          </w:p>
        </w:tc>
      </w:tr>
      <w:tr>
        <w:trPr>
          <w:trHeight w:val="522" w:hRule="atLeast"/>
        </w:trPr>
        <w:tc>
          <w:tcPr>
            <w:tcW w:w="1224" w:type="dxa"/>
          </w:tcPr>
          <w:p>
            <w:pPr>
              <w:pStyle w:val="TableParagraph"/>
              <w:spacing w:line="206" w:lineRule="exact" w:before="91"/>
              <w:ind w:left="50" w:right="115" w:firstLine="50"/>
              <w:rPr>
                <w:sz w:val="18"/>
              </w:rPr>
            </w:pPr>
            <w:r>
              <w:rPr>
                <w:spacing w:val="-2"/>
                <w:sz w:val="18"/>
              </w:rPr>
              <w:t>Observation </w:t>
            </w:r>
            <w:r>
              <w:rPr>
                <w:spacing w:val="-10"/>
                <w:sz w:val="18"/>
              </w:rPr>
              <w:t>s</w:t>
            </w:r>
          </w:p>
        </w:tc>
        <w:tc>
          <w:tcPr>
            <w:tcW w:w="1030" w:type="dxa"/>
          </w:tcPr>
          <w:p>
            <w:pPr>
              <w:pStyle w:val="TableParagraph"/>
              <w:spacing w:line="240" w:lineRule="auto" w:before="108"/>
              <w:rPr>
                <w:rFonts w:ascii="Times New Roman"/>
                <w:b/>
                <w:sz w:val="18"/>
              </w:rPr>
            </w:pPr>
          </w:p>
          <w:p>
            <w:pPr>
              <w:pStyle w:val="TableParagraph"/>
              <w:spacing w:line="187" w:lineRule="exact" w:before="1"/>
              <w:ind w:left="54" w:right="48"/>
              <w:jc w:val="center"/>
              <w:rPr>
                <w:sz w:val="18"/>
              </w:rPr>
            </w:pPr>
            <w:r>
              <w:rPr>
                <w:spacing w:val="-5"/>
                <w:sz w:val="18"/>
              </w:rPr>
              <w:t>35</w:t>
            </w:r>
          </w:p>
        </w:tc>
        <w:tc>
          <w:tcPr>
            <w:tcW w:w="959" w:type="dxa"/>
          </w:tcPr>
          <w:p>
            <w:pPr>
              <w:pStyle w:val="TableParagraph"/>
              <w:spacing w:line="240" w:lineRule="auto" w:before="108"/>
              <w:rPr>
                <w:rFonts w:ascii="Times New Roman"/>
                <w:b/>
                <w:sz w:val="18"/>
              </w:rPr>
            </w:pPr>
          </w:p>
          <w:p>
            <w:pPr>
              <w:pStyle w:val="TableParagraph"/>
              <w:spacing w:line="187" w:lineRule="exact" w:before="1"/>
              <w:ind w:left="90" w:right="4"/>
              <w:jc w:val="center"/>
              <w:rPr>
                <w:sz w:val="18"/>
              </w:rPr>
            </w:pPr>
            <w:r>
              <w:rPr>
                <w:spacing w:val="-5"/>
                <w:sz w:val="18"/>
              </w:rPr>
              <w:t>35</w:t>
            </w:r>
          </w:p>
        </w:tc>
        <w:tc>
          <w:tcPr>
            <w:tcW w:w="957" w:type="dxa"/>
          </w:tcPr>
          <w:p>
            <w:pPr>
              <w:pStyle w:val="TableParagraph"/>
              <w:spacing w:line="240" w:lineRule="auto" w:before="108"/>
              <w:rPr>
                <w:rFonts w:ascii="Times New Roman"/>
                <w:b/>
                <w:sz w:val="18"/>
              </w:rPr>
            </w:pPr>
          </w:p>
          <w:p>
            <w:pPr>
              <w:pStyle w:val="TableParagraph"/>
              <w:spacing w:line="187" w:lineRule="exact" w:before="1"/>
              <w:ind w:right="26"/>
              <w:jc w:val="center"/>
              <w:rPr>
                <w:sz w:val="18"/>
              </w:rPr>
            </w:pPr>
            <w:r>
              <w:rPr>
                <w:spacing w:val="-5"/>
                <w:sz w:val="18"/>
              </w:rPr>
              <w:t>35</w:t>
            </w:r>
          </w:p>
        </w:tc>
        <w:tc>
          <w:tcPr>
            <w:tcW w:w="1000" w:type="dxa"/>
          </w:tcPr>
          <w:p>
            <w:pPr>
              <w:pStyle w:val="TableParagraph"/>
              <w:spacing w:line="240" w:lineRule="auto" w:before="108"/>
              <w:rPr>
                <w:rFonts w:ascii="Times New Roman"/>
                <w:b/>
                <w:sz w:val="18"/>
              </w:rPr>
            </w:pPr>
          </w:p>
          <w:p>
            <w:pPr>
              <w:pStyle w:val="TableParagraph"/>
              <w:spacing w:line="187" w:lineRule="exact" w:before="1"/>
              <w:ind w:left="57" w:right="57"/>
              <w:jc w:val="center"/>
              <w:rPr>
                <w:sz w:val="18"/>
              </w:rPr>
            </w:pPr>
            <w:r>
              <w:rPr>
                <w:spacing w:val="-5"/>
                <w:sz w:val="18"/>
              </w:rPr>
              <w:t>35</w:t>
            </w:r>
          </w:p>
        </w:tc>
        <w:tc>
          <w:tcPr>
            <w:tcW w:w="967" w:type="dxa"/>
          </w:tcPr>
          <w:p>
            <w:pPr>
              <w:pStyle w:val="TableParagraph"/>
              <w:spacing w:line="240" w:lineRule="auto" w:before="108"/>
              <w:rPr>
                <w:rFonts w:ascii="Times New Roman"/>
                <w:b/>
                <w:sz w:val="18"/>
              </w:rPr>
            </w:pPr>
          </w:p>
          <w:p>
            <w:pPr>
              <w:pStyle w:val="TableParagraph"/>
              <w:spacing w:line="187" w:lineRule="exact" w:before="1"/>
              <w:ind w:left="48" w:right="41"/>
              <w:jc w:val="center"/>
              <w:rPr>
                <w:sz w:val="18"/>
              </w:rPr>
            </w:pPr>
            <w:r>
              <w:rPr>
                <w:spacing w:val="-5"/>
                <w:sz w:val="18"/>
              </w:rPr>
              <w:t>35</w:t>
            </w:r>
          </w:p>
        </w:tc>
        <w:tc>
          <w:tcPr>
            <w:tcW w:w="1066" w:type="dxa"/>
          </w:tcPr>
          <w:p>
            <w:pPr>
              <w:pStyle w:val="TableParagraph"/>
              <w:spacing w:line="240" w:lineRule="auto" w:before="108"/>
              <w:rPr>
                <w:rFonts w:ascii="Times New Roman"/>
                <w:b/>
                <w:sz w:val="18"/>
              </w:rPr>
            </w:pPr>
          </w:p>
          <w:p>
            <w:pPr>
              <w:pStyle w:val="TableParagraph"/>
              <w:spacing w:line="187" w:lineRule="exact" w:before="1"/>
              <w:ind w:left="49" w:right="1"/>
              <w:jc w:val="center"/>
              <w:rPr>
                <w:sz w:val="18"/>
              </w:rPr>
            </w:pPr>
            <w:r>
              <w:rPr>
                <w:spacing w:val="-5"/>
                <w:sz w:val="18"/>
              </w:rPr>
              <w:t>35</w:t>
            </w:r>
          </w:p>
        </w:tc>
        <w:tc>
          <w:tcPr>
            <w:tcW w:w="953" w:type="dxa"/>
          </w:tcPr>
          <w:p>
            <w:pPr>
              <w:pStyle w:val="TableParagraph"/>
              <w:spacing w:line="240" w:lineRule="auto" w:before="108"/>
              <w:rPr>
                <w:rFonts w:ascii="Times New Roman"/>
                <w:b/>
                <w:sz w:val="18"/>
              </w:rPr>
            </w:pPr>
          </w:p>
          <w:p>
            <w:pPr>
              <w:pStyle w:val="TableParagraph"/>
              <w:spacing w:line="187" w:lineRule="exact" w:before="1"/>
              <w:ind w:left="7"/>
              <w:jc w:val="center"/>
              <w:rPr>
                <w:sz w:val="18"/>
              </w:rPr>
            </w:pPr>
            <w:r>
              <w:rPr>
                <w:spacing w:val="-5"/>
                <w:sz w:val="18"/>
              </w:rPr>
              <w:t>35</w:t>
            </w:r>
          </w:p>
        </w:tc>
        <w:tc>
          <w:tcPr>
            <w:tcW w:w="940" w:type="dxa"/>
          </w:tcPr>
          <w:p>
            <w:pPr>
              <w:pStyle w:val="TableParagraph"/>
              <w:spacing w:line="240" w:lineRule="auto" w:before="108"/>
              <w:rPr>
                <w:rFonts w:ascii="Times New Roman"/>
                <w:b/>
                <w:sz w:val="18"/>
              </w:rPr>
            </w:pPr>
          </w:p>
          <w:p>
            <w:pPr>
              <w:pStyle w:val="TableParagraph"/>
              <w:spacing w:line="187" w:lineRule="exact" w:before="1"/>
              <w:ind w:left="53" w:right="47"/>
              <w:jc w:val="center"/>
              <w:rPr>
                <w:sz w:val="18"/>
              </w:rPr>
            </w:pPr>
            <w:r>
              <w:rPr>
                <w:spacing w:val="-5"/>
                <w:sz w:val="18"/>
              </w:rPr>
              <w:t>35</w:t>
            </w:r>
          </w:p>
        </w:tc>
        <w:tc>
          <w:tcPr>
            <w:tcW w:w="953" w:type="dxa"/>
          </w:tcPr>
          <w:p>
            <w:pPr>
              <w:pStyle w:val="TableParagraph"/>
              <w:spacing w:line="240" w:lineRule="auto" w:before="108"/>
              <w:rPr>
                <w:rFonts w:ascii="Times New Roman"/>
                <w:b/>
                <w:sz w:val="18"/>
              </w:rPr>
            </w:pPr>
          </w:p>
          <w:p>
            <w:pPr>
              <w:pStyle w:val="TableParagraph"/>
              <w:spacing w:line="187" w:lineRule="exact" w:before="1"/>
              <w:ind w:left="90"/>
              <w:jc w:val="center"/>
              <w:rPr>
                <w:sz w:val="18"/>
              </w:rPr>
            </w:pPr>
            <w:r>
              <w:rPr>
                <w:spacing w:val="-5"/>
                <w:sz w:val="18"/>
              </w:rPr>
              <w:t>35</w:t>
            </w:r>
          </w:p>
        </w:tc>
      </w:tr>
    </w:tbl>
    <w:p>
      <w:pPr>
        <w:spacing w:after="0" w:line="187" w:lineRule="exact"/>
        <w:jc w:val="center"/>
        <w:rPr>
          <w:sz w:val="18"/>
        </w:rPr>
        <w:sectPr>
          <w:pgSz w:w="15840" w:h="12240" w:orient="landscape"/>
          <w:pgMar w:header="0" w:footer="1012" w:top="1380" w:bottom="1200" w:left="1280" w:right="2260"/>
        </w:sectPr>
      </w:pPr>
    </w:p>
    <w:p>
      <w:pPr>
        <w:spacing w:before="60"/>
        <w:ind w:left="100" w:right="0" w:firstLine="0"/>
        <w:jc w:val="left"/>
        <w:rPr>
          <w:b/>
          <w:sz w:val="25"/>
        </w:rPr>
      </w:pPr>
      <w:r>
        <w:rPr/>
        <mc:AlternateContent>
          <mc:Choice Requires="wps">
            <w:drawing>
              <wp:anchor distT="0" distB="0" distL="0" distR="0" allowOverlap="1" layoutInCell="1" locked="0" behindDoc="1" simplePos="0" relativeHeight="478121472">
                <wp:simplePos x="0" y="0"/>
                <wp:positionH relativeFrom="page">
                  <wp:posOffset>950112</wp:posOffset>
                </wp:positionH>
                <wp:positionV relativeFrom="page">
                  <wp:posOffset>6343167</wp:posOffset>
                </wp:positionV>
                <wp:extent cx="1515110" cy="1515110"/>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1515110" cy="1515110"/>
                        </a:xfrm>
                        <a:custGeom>
                          <a:avLst/>
                          <a:gdLst/>
                          <a:ahLst/>
                          <a:cxnLst/>
                          <a:rect l="l" t="t" r="r" b="b"/>
                          <a:pathLst>
                            <a:path w="1515110" h="1515110">
                              <a:moveTo>
                                <a:pt x="677011" y="1391132"/>
                              </a:moveTo>
                              <a:lnTo>
                                <a:pt x="123825" y="838047"/>
                              </a:lnTo>
                              <a:lnTo>
                                <a:pt x="0" y="961872"/>
                              </a:lnTo>
                              <a:lnTo>
                                <a:pt x="553186" y="1514957"/>
                              </a:lnTo>
                              <a:lnTo>
                                <a:pt x="677011" y="1391132"/>
                              </a:lnTo>
                              <a:close/>
                            </a:path>
                            <a:path w="1515110" h="1515110">
                              <a:moveTo>
                                <a:pt x="1052677" y="961936"/>
                              </a:moveTo>
                              <a:lnTo>
                                <a:pt x="1048994" y="909675"/>
                              </a:lnTo>
                              <a:lnTo>
                                <a:pt x="1033970" y="854011"/>
                              </a:lnTo>
                              <a:lnTo>
                                <a:pt x="1007338" y="798804"/>
                              </a:lnTo>
                              <a:lnTo>
                                <a:pt x="970724" y="745858"/>
                              </a:lnTo>
                              <a:lnTo>
                                <a:pt x="925931" y="695553"/>
                              </a:lnTo>
                              <a:lnTo>
                                <a:pt x="596112" y="365734"/>
                              </a:lnTo>
                              <a:lnTo>
                                <a:pt x="472795" y="489051"/>
                              </a:lnTo>
                              <a:lnTo>
                                <a:pt x="810361" y="826744"/>
                              </a:lnTo>
                              <a:lnTo>
                                <a:pt x="830872" y="849553"/>
                              </a:lnTo>
                              <a:lnTo>
                                <a:pt x="846518" y="872020"/>
                              </a:lnTo>
                              <a:lnTo>
                                <a:pt x="857364" y="894118"/>
                              </a:lnTo>
                              <a:lnTo>
                                <a:pt x="863447" y="915771"/>
                              </a:lnTo>
                              <a:lnTo>
                                <a:pt x="864400" y="936612"/>
                              </a:lnTo>
                              <a:lnTo>
                                <a:pt x="860463" y="956056"/>
                              </a:lnTo>
                              <a:lnTo>
                                <a:pt x="838047" y="990701"/>
                              </a:lnTo>
                              <a:lnTo>
                                <a:pt x="803135" y="1013269"/>
                              </a:lnTo>
                              <a:lnTo>
                                <a:pt x="783590" y="1017054"/>
                              </a:lnTo>
                              <a:lnTo>
                                <a:pt x="762609" y="1015720"/>
                              </a:lnTo>
                              <a:lnTo>
                                <a:pt x="718540" y="999045"/>
                              </a:lnTo>
                              <a:lnTo>
                                <a:pt x="673709" y="963396"/>
                              </a:lnTo>
                              <a:lnTo>
                                <a:pt x="336143" y="625703"/>
                              </a:lnTo>
                              <a:lnTo>
                                <a:pt x="212750" y="749020"/>
                              </a:lnTo>
                              <a:lnTo>
                                <a:pt x="542518" y="1078839"/>
                              </a:lnTo>
                              <a:lnTo>
                                <a:pt x="589267" y="1119746"/>
                              </a:lnTo>
                              <a:lnTo>
                                <a:pt x="647547" y="1161008"/>
                              </a:lnTo>
                              <a:lnTo>
                                <a:pt x="690029" y="1183005"/>
                              </a:lnTo>
                              <a:lnTo>
                                <a:pt x="737844" y="1198219"/>
                              </a:lnTo>
                              <a:lnTo>
                                <a:pt x="785317" y="1205611"/>
                              </a:lnTo>
                              <a:lnTo>
                                <a:pt x="807148" y="1205712"/>
                              </a:lnTo>
                              <a:lnTo>
                                <a:pt x="827760" y="1203553"/>
                              </a:lnTo>
                              <a:lnTo>
                                <a:pt x="867854" y="1191679"/>
                              </a:lnTo>
                              <a:lnTo>
                                <a:pt x="908151" y="1168374"/>
                              </a:lnTo>
                              <a:lnTo>
                                <a:pt x="945184" y="1139139"/>
                              </a:lnTo>
                              <a:lnTo>
                                <a:pt x="976985" y="1110081"/>
                              </a:lnTo>
                              <a:lnTo>
                                <a:pt x="1019340" y="1058672"/>
                              </a:lnTo>
                              <a:lnTo>
                                <a:pt x="1045311" y="1005433"/>
                              </a:lnTo>
                              <a:lnTo>
                                <a:pt x="1050315" y="984796"/>
                              </a:lnTo>
                              <a:lnTo>
                                <a:pt x="1052677" y="961936"/>
                              </a:lnTo>
                              <a:close/>
                            </a:path>
                            <a:path w="1515110" h="1515110">
                              <a:moveTo>
                                <a:pt x="1514894" y="464566"/>
                              </a:moveTo>
                              <a:lnTo>
                                <a:pt x="1510919" y="423811"/>
                              </a:lnTo>
                              <a:lnTo>
                                <a:pt x="1500898" y="382244"/>
                              </a:lnTo>
                              <a:lnTo>
                                <a:pt x="1484604" y="339826"/>
                              </a:lnTo>
                              <a:lnTo>
                                <a:pt x="1466773" y="305308"/>
                              </a:lnTo>
                              <a:lnTo>
                                <a:pt x="1444371" y="269735"/>
                              </a:lnTo>
                              <a:lnTo>
                                <a:pt x="1417307" y="233159"/>
                              </a:lnTo>
                              <a:lnTo>
                                <a:pt x="1385633" y="195694"/>
                              </a:lnTo>
                              <a:lnTo>
                                <a:pt x="1374317" y="183781"/>
                              </a:lnTo>
                              <a:lnTo>
                                <a:pt x="1349222" y="157327"/>
                              </a:lnTo>
                              <a:lnTo>
                                <a:pt x="1334046" y="143205"/>
                              </a:lnTo>
                              <a:lnTo>
                                <a:pt x="1334046" y="456844"/>
                              </a:lnTo>
                              <a:lnTo>
                                <a:pt x="1330934" y="482396"/>
                              </a:lnTo>
                              <a:lnTo>
                                <a:pt x="1304518" y="526770"/>
                              </a:lnTo>
                              <a:lnTo>
                                <a:pt x="1260602" y="552462"/>
                              </a:lnTo>
                              <a:lnTo>
                                <a:pt x="1234897" y="555282"/>
                              </a:lnTo>
                              <a:lnTo>
                                <a:pt x="1206601" y="551281"/>
                              </a:lnTo>
                              <a:lnTo>
                                <a:pt x="1141285" y="519722"/>
                              </a:lnTo>
                              <a:lnTo>
                                <a:pt x="1103972" y="491032"/>
                              </a:lnTo>
                              <a:lnTo>
                                <a:pt x="1063599" y="453504"/>
                              </a:lnTo>
                              <a:lnTo>
                                <a:pt x="1025931" y="412915"/>
                              </a:lnTo>
                              <a:lnTo>
                                <a:pt x="997051" y="375399"/>
                              </a:lnTo>
                              <a:lnTo>
                                <a:pt x="976833" y="341020"/>
                              </a:lnTo>
                              <a:lnTo>
                                <a:pt x="961161" y="281571"/>
                              </a:lnTo>
                              <a:lnTo>
                                <a:pt x="963866" y="255993"/>
                              </a:lnTo>
                              <a:lnTo>
                                <a:pt x="988669" y="213080"/>
                              </a:lnTo>
                              <a:lnTo>
                                <a:pt x="1032649" y="187071"/>
                              </a:lnTo>
                              <a:lnTo>
                                <a:pt x="1058367" y="183781"/>
                              </a:lnTo>
                              <a:lnTo>
                                <a:pt x="1086497" y="187071"/>
                              </a:lnTo>
                              <a:lnTo>
                                <a:pt x="1150048" y="216941"/>
                              </a:lnTo>
                              <a:lnTo>
                                <a:pt x="1185506" y="243789"/>
                              </a:lnTo>
                              <a:lnTo>
                                <a:pt x="1223365" y="278739"/>
                              </a:lnTo>
                              <a:lnTo>
                                <a:pt x="1264780" y="322999"/>
                              </a:lnTo>
                              <a:lnTo>
                                <a:pt x="1296352" y="362902"/>
                              </a:lnTo>
                              <a:lnTo>
                                <a:pt x="1318158" y="398348"/>
                              </a:lnTo>
                              <a:lnTo>
                                <a:pt x="1334046" y="456844"/>
                              </a:lnTo>
                              <a:lnTo>
                                <a:pt x="1334046" y="143205"/>
                              </a:lnTo>
                              <a:lnTo>
                                <a:pt x="1304836" y="116014"/>
                              </a:lnTo>
                              <a:lnTo>
                                <a:pt x="1260716" y="81051"/>
                              </a:lnTo>
                              <a:lnTo>
                                <a:pt x="1216901" y="52387"/>
                              </a:lnTo>
                              <a:lnTo>
                                <a:pt x="1173378" y="29946"/>
                              </a:lnTo>
                              <a:lnTo>
                                <a:pt x="1130185" y="13690"/>
                              </a:lnTo>
                              <a:lnTo>
                                <a:pt x="1087348" y="3530"/>
                              </a:lnTo>
                              <a:lnTo>
                                <a:pt x="1037310" y="0"/>
                              </a:lnTo>
                              <a:lnTo>
                                <a:pt x="989495" y="6350"/>
                              </a:lnTo>
                              <a:lnTo>
                                <a:pt x="943914" y="22479"/>
                              </a:lnTo>
                              <a:lnTo>
                                <a:pt x="900569" y="48260"/>
                              </a:lnTo>
                              <a:lnTo>
                                <a:pt x="859510" y="83540"/>
                              </a:lnTo>
                              <a:lnTo>
                                <a:pt x="825169" y="123825"/>
                              </a:lnTo>
                              <a:lnTo>
                                <a:pt x="800252" y="166725"/>
                              </a:lnTo>
                              <a:lnTo>
                                <a:pt x="784847" y="212242"/>
                              </a:lnTo>
                              <a:lnTo>
                                <a:pt x="779043" y="260299"/>
                              </a:lnTo>
                              <a:lnTo>
                                <a:pt x="782929" y="310870"/>
                              </a:lnTo>
                              <a:lnTo>
                                <a:pt x="793407" y="354266"/>
                              </a:lnTo>
                              <a:lnTo>
                                <a:pt x="810056" y="398068"/>
                              </a:lnTo>
                              <a:lnTo>
                                <a:pt x="832916" y="442226"/>
                              </a:lnTo>
                              <a:lnTo>
                                <a:pt x="862050" y="486702"/>
                              </a:lnTo>
                              <a:lnTo>
                                <a:pt x="897521" y="531456"/>
                              </a:lnTo>
                              <a:lnTo>
                                <a:pt x="939393" y="576427"/>
                              </a:lnTo>
                              <a:lnTo>
                                <a:pt x="977900" y="612711"/>
                              </a:lnTo>
                              <a:lnTo>
                                <a:pt x="1016127" y="644182"/>
                              </a:lnTo>
                              <a:lnTo>
                                <a:pt x="1053998" y="670890"/>
                              </a:lnTo>
                              <a:lnTo>
                                <a:pt x="1091438" y="692912"/>
                              </a:lnTo>
                              <a:lnTo>
                                <a:pt x="1128369" y="710285"/>
                              </a:lnTo>
                              <a:lnTo>
                                <a:pt x="1173124" y="725754"/>
                              </a:lnTo>
                              <a:lnTo>
                                <a:pt x="1215783" y="734428"/>
                              </a:lnTo>
                              <a:lnTo>
                                <a:pt x="1256322" y="736612"/>
                              </a:lnTo>
                              <a:lnTo>
                                <a:pt x="1294739" y="732637"/>
                              </a:lnTo>
                              <a:lnTo>
                                <a:pt x="1331429" y="722337"/>
                              </a:lnTo>
                              <a:lnTo>
                                <a:pt x="1367269" y="705104"/>
                              </a:lnTo>
                              <a:lnTo>
                                <a:pt x="1402270" y="681113"/>
                              </a:lnTo>
                              <a:lnTo>
                                <a:pt x="1436471" y="650595"/>
                              </a:lnTo>
                              <a:lnTo>
                                <a:pt x="1466303" y="616458"/>
                              </a:lnTo>
                              <a:lnTo>
                                <a:pt x="1489087" y="580720"/>
                              </a:lnTo>
                              <a:lnTo>
                                <a:pt x="1504708" y="543407"/>
                              </a:lnTo>
                              <a:lnTo>
                                <a:pt x="1513052" y="504545"/>
                              </a:lnTo>
                              <a:lnTo>
                                <a:pt x="1514894" y="46456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99.461975pt;width:119.3pt;height:119.3pt;mso-position-horizontal-relative:page;mso-position-vertical-relative:page;z-index:-25195008" id="docshape241" coordorigin="1496,9989" coordsize="2386,2386"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21984">
                <wp:simplePos x="0" y="0"/>
                <wp:positionH relativeFrom="page">
                  <wp:posOffset>2284476</wp:posOffset>
                </wp:positionH>
                <wp:positionV relativeFrom="paragraph">
                  <wp:posOffset>1321053</wp:posOffset>
                </wp:positionV>
                <wp:extent cx="4171315" cy="4403725"/>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4171315" cy="4403725"/>
                        </a:xfrm>
                        <a:custGeom>
                          <a:avLst/>
                          <a:gdLst/>
                          <a:ahLst/>
                          <a:cxnLst/>
                          <a:rect l="l" t="t" r="r" b="b"/>
                          <a:pathLst>
                            <a:path w="4171315" h="4403725">
                              <a:moveTo>
                                <a:pt x="352679" y="4242308"/>
                              </a:moveTo>
                              <a:lnTo>
                                <a:pt x="233934" y="4123436"/>
                              </a:lnTo>
                              <a:lnTo>
                                <a:pt x="72517" y="4284980"/>
                              </a:lnTo>
                              <a:lnTo>
                                <a:pt x="191262" y="4403725"/>
                              </a:lnTo>
                              <a:lnTo>
                                <a:pt x="352679" y="4242308"/>
                              </a:lnTo>
                              <a:close/>
                            </a:path>
                            <a:path w="4171315" h="4403725">
                              <a:moveTo>
                                <a:pt x="677037" y="4202557"/>
                              </a:moveTo>
                              <a:lnTo>
                                <a:pt x="123825" y="3649345"/>
                              </a:lnTo>
                              <a:lnTo>
                                <a:pt x="0" y="3773170"/>
                              </a:lnTo>
                              <a:lnTo>
                                <a:pt x="553212" y="4326382"/>
                              </a:lnTo>
                              <a:lnTo>
                                <a:pt x="677037" y="4202557"/>
                              </a:lnTo>
                              <a:close/>
                            </a:path>
                            <a:path w="4171315" h="4403725">
                              <a:moveTo>
                                <a:pt x="889254" y="3990340"/>
                              </a:moveTo>
                              <a:lnTo>
                                <a:pt x="684022" y="3784981"/>
                              </a:lnTo>
                              <a:lnTo>
                                <a:pt x="751713" y="3717290"/>
                              </a:lnTo>
                              <a:lnTo>
                                <a:pt x="783844" y="3679304"/>
                              </a:lnTo>
                              <a:lnTo>
                                <a:pt x="787311" y="3672967"/>
                              </a:lnTo>
                              <a:lnTo>
                                <a:pt x="805307" y="3640201"/>
                              </a:lnTo>
                              <a:lnTo>
                                <a:pt x="816000" y="3600069"/>
                              </a:lnTo>
                              <a:lnTo>
                                <a:pt x="815848" y="3558921"/>
                              </a:lnTo>
                              <a:lnTo>
                                <a:pt x="805688" y="3517239"/>
                              </a:lnTo>
                              <a:lnTo>
                                <a:pt x="790917" y="3484930"/>
                              </a:lnTo>
                              <a:lnTo>
                                <a:pt x="786587" y="3475444"/>
                              </a:lnTo>
                              <a:lnTo>
                                <a:pt x="758456" y="3433572"/>
                              </a:lnTo>
                              <a:lnTo>
                                <a:pt x="721233" y="3391662"/>
                              </a:lnTo>
                              <a:lnTo>
                                <a:pt x="680707" y="3355416"/>
                              </a:lnTo>
                              <a:lnTo>
                                <a:pt x="640676" y="3328060"/>
                              </a:lnTo>
                              <a:lnTo>
                                <a:pt x="635127" y="3325444"/>
                              </a:lnTo>
                              <a:lnTo>
                                <a:pt x="635127" y="3575050"/>
                              </a:lnTo>
                              <a:lnTo>
                                <a:pt x="634339" y="3591293"/>
                              </a:lnTo>
                              <a:lnTo>
                                <a:pt x="628484" y="3607993"/>
                              </a:lnTo>
                              <a:lnTo>
                                <a:pt x="617728" y="3625151"/>
                              </a:lnTo>
                              <a:lnTo>
                                <a:pt x="602234" y="3642741"/>
                              </a:lnTo>
                              <a:lnTo>
                                <a:pt x="572008" y="3672967"/>
                              </a:lnTo>
                              <a:lnTo>
                                <a:pt x="448564" y="3549523"/>
                              </a:lnTo>
                              <a:lnTo>
                                <a:pt x="483743" y="3514344"/>
                              </a:lnTo>
                              <a:lnTo>
                                <a:pt x="500862" y="3499459"/>
                              </a:lnTo>
                              <a:lnTo>
                                <a:pt x="517423" y="3489668"/>
                              </a:lnTo>
                              <a:lnTo>
                                <a:pt x="533463" y="3484930"/>
                              </a:lnTo>
                              <a:lnTo>
                                <a:pt x="549021" y="3485261"/>
                              </a:lnTo>
                              <a:lnTo>
                                <a:pt x="592467" y="3505149"/>
                              </a:lnTo>
                              <a:lnTo>
                                <a:pt x="626402" y="3544824"/>
                              </a:lnTo>
                              <a:lnTo>
                                <a:pt x="635127" y="3575050"/>
                              </a:lnTo>
                              <a:lnTo>
                                <a:pt x="635127" y="3325444"/>
                              </a:lnTo>
                              <a:lnTo>
                                <a:pt x="601179" y="3309391"/>
                              </a:lnTo>
                              <a:lnTo>
                                <a:pt x="562229" y="3299206"/>
                              </a:lnTo>
                              <a:lnTo>
                                <a:pt x="524078" y="3298609"/>
                              </a:lnTo>
                              <a:lnTo>
                                <a:pt x="487210" y="3307956"/>
                              </a:lnTo>
                              <a:lnTo>
                                <a:pt x="451650" y="3327095"/>
                              </a:lnTo>
                              <a:lnTo>
                                <a:pt x="417449" y="3355848"/>
                              </a:lnTo>
                              <a:lnTo>
                                <a:pt x="211963" y="3561207"/>
                              </a:lnTo>
                              <a:lnTo>
                                <a:pt x="765175" y="4114419"/>
                              </a:lnTo>
                              <a:lnTo>
                                <a:pt x="889254" y="3990340"/>
                              </a:lnTo>
                              <a:close/>
                            </a:path>
                            <a:path w="4171315" h="4403725">
                              <a:moveTo>
                                <a:pt x="1390777" y="3488817"/>
                              </a:moveTo>
                              <a:lnTo>
                                <a:pt x="974077" y="3072257"/>
                              </a:lnTo>
                              <a:lnTo>
                                <a:pt x="1100201" y="2946146"/>
                              </a:lnTo>
                              <a:lnTo>
                                <a:pt x="963676" y="2809621"/>
                              </a:lnTo>
                              <a:lnTo>
                                <a:pt x="588010" y="3185287"/>
                              </a:lnTo>
                              <a:lnTo>
                                <a:pt x="724535" y="3321812"/>
                              </a:lnTo>
                              <a:lnTo>
                                <a:pt x="850519" y="3195828"/>
                              </a:lnTo>
                              <a:lnTo>
                                <a:pt x="1267206" y="3612388"/>
                              </a:lnTo>
                              <a:lnTo>
                                <a:pt x="1390777" y="3488817"/>
                              </a:lnTo>
                              <a:close/>
                            </a:path>
                            <a:path w="4171315" h="4403725">
                              <a:moveTo>
                                <a:pt x="1794256" y="3085338"/>
                              </a:moveTo>
                              <a:lnTo>
                                <a:pt x="1377696" y="2668651"/>
                              </a:lnTo>
                              <a:lnTo>
                                <a:pt x="1503680" y="2542667"/>
                              </a:lnTo>
                              <a:lnTo>
                                <a:pt x="1367155" y="2406142"/>
                              </a:lnTo>
                              <a:lnTo>
                                <a:pt x="991489" y="2781808"/>
                              </a:lnTo>
                              <a:lnTo>
                                <a:pt x="1128141" y="2918333"/>
                              </a:lnTo>
                              <a:lnTo>
                                <a:pt x="1254125" y="2792349"/>
                              </a:lnTo>
                              <a:lnTo>
                                <a:pt x="1670685" y="3208909"/>
                              </a:lnTo>
                              <a:lnTo>
                                <a:pt x="1794256" y="3085338"/>
                              </a:lnTo>
                              <a:close/>
                            </a:path>
                            <a:path w="4171315" h="4403725">
                              <a:moveTo>
                                <a:pt x="2260041" y="2530856"/>
                              </a:moveTo>
                              <a:lnTo>
                                <a:pt x="2256117" y="2490063"/>
                              </a:lnTo>
                              <a:lnTo>
                                <a:pt x="2246147" y="2448458"/>
                              </a:lnTo>
                              <a:lnTo>
                                <a:pt x="2229866" y="2406015"/>
                              </a:lnTo>
                              <a:lnTo>
                                <a:pt x="2211971" y="2371560"/>
                              </a:lnTo>
                              <a:lnTo>
                                <a:pt x="2189530" y="2336038"/>
                              </a:lnTo>
                              <a:lnTo>
                                <a:pt x="2162416" y="2299449"/>
                              </a:lnTo>
                              <a:lnTo>
                                <a:pt x="2130768" y="2262073"/>
                              </a:lnTo>
                              <a:lnTo>
                                <a:pt x="2119376" y="2250097"/>
                              </a:lnTo>
                              <a:lnTo>
                                <a:pt x="2094357" y="2223770"/>
                              </a:lnTo>
                              <a:lnTo>
                                <a:pt x="2079180" y="2209635"/>
                              </a:lnTo>
                              <a:lnTo>
                                <a:pt x="2079180" y="2523134"/>
                              </a:lnTo>
                              <a:lnTo>
                                <a:pt x="2076043" y="2548661"/>
                              </a:lnTo>
                              <a:lnTo>
                                <a:pt x="2049526" y="2593086"/>
                              </a:lnTo>
                              <a:lnTo>
                                <a:pt x="2005787" y="2618714"/>
                              </a:lnTo>
                              <a:lnTo>
                                <a:pt x="1980133" y="2621483"/>
                              </a:lnTo>
                              <a:lnTo>
                                <a:pt x="1951863" y="2617470"/>
                              </a:lnTo>
                              <a:lnTo>
                                <a:pt x="1886546" y="2585936"/>
                              </a:lnTo>
                              <a:lnTo>
                                <a:pt x="1849234" y="2557272"/>
                              </a:lnTo>
                              <a:lnTo>
                                <a:pt x="1808861" y="2519807"/>
                              </a:lnTo>
                              <a:lnTo>
                                <a:pt x="1771116" y="2479154"/>
                              </a:lnTo>
                              <a:lnTo>
                                <a:pt x="1742211" y="2441600"/>
                              </a:lnTo>
                              <a:lnTo>
                                <a:pt x="1722018" y="2407208"/>
                              </a:lnTo>
                              <a:lnTo>
                                <a:pt x="1706397" y="2347785"/>
                              </a:lnTo>
                              <a:lnTo>
                                <a:pt x="1709064" y="2322245"/>
                              </a:lnTo>
                              <a:lnTo>
                                <a:pt x="1733804" y="2279396"/>
                              </a:lnTo>
                              <a:lnTo>
                                <a:pt x="1777784" y="2253386"/>
                              </a:lnTo>
                              <a:lnTo>
                                <a:pt x="1803501" y="2250097"/>
                              </a:lnTo>
                              <a:lnTo>
                                <a:pt x="1831632" y="2253386"/>
                              </a:lnTo>
                              <a:lnTo>
                                <a:pt x="1895132" y="2283256"/>
                              </a:lnTo>
                              <a:lnTo>
                                <a:pt x="1930615" y="2310104"/>
                              </a:lnTo>
                              <a:lnTo>
                                <a:pt x="1968500" y="2345055"/>
                              </a:lnTo>
                              <a:lnTo>
                                <a:pt x="2009940" y="2389289"/>
                              </a:lnTo>
                              <a:lnTo>
                                <a:pt x="2041537" y="2429167"/>
                              </a:lnTo>
                              <a:lnTo>
                                <a:pt x="2063343" y="2464612"/>
                              </a:lnTo>
                              <a:lnTo>
                                <a:pt x="2079180" y="2523134"/>
                              </a:lnTo>
                              <a:lnTo>
                                <a:pt x="2079180" y="2209635"/>
                              </a:lnTo>
                              <a:lnTo>
                                <a:pt x="2049970" y="2182406"/>
                              </a:lnTo>
                              <a:lnTo>
                                <a:pt x="2005850" y="2147405"/>
                              </a:lnTo>
                              <a:lnTo>
                                <a:pt x="1962035" y="2118715"/>
                              </a:lnTo>
                              <a:lnTo>
                                <a:pt x="1918512" y="2096274"/>
                              </a:lnTo>
                              <a:lnTo>
                                <a:pt x="1875320" y="2080006"/>
                              </a:lnTo>
                              <a:lnTo>
                                <a:pt x="1832483" y="2069846"/>
                              </a:lnTo>
                              <a:lnTo>
                                <a:pt x="1782445" y="2066315"/>
                              </a:lnTo>
                              <a:lnTo>
                                <a:pt x="1734629" y="2072665"/>
                              </a:lnTo>
                              <a:lnTo>
                                <a:pt x="1689049" y="2088769"/>
                              </a:lnTo>
                              <a:lnTo>
                                <a:pt x="1645704" y="2114512"/>
                              </a:lnTo>
                              <a:lnTo>
                                <a:pt x="1604645" y="2149729"/>
                              </a:lnTo>
                              <a:lnTo>
                                <a:pt x="1570355" y="2190026"/>
                              </a:lnTo>
                              <a:lnTo>
                                <a:pt x="1545450" y="2232964"/>
                              </a:lnTo>
                              <a:lnTo>
                                <a:pt x="1530045" y="2278507"/>
                              </a:lnTo>
                              <a:lnTo>
                                <a:pt x="1524254" y="2326602"/>
                              </a:lnTo>
                              <a:lnTo>
                                <a:pt x="1528191" y="2377186"/>
                              </a:lnTo>
                              <a:lnTo>
                                <a:pt x="1538617" y="2420582"/>
                              </a:lnTo>
                              <a:lnTo>
                                <a:pt x="1555229" y="2464346"/>
                              </a:lnTo>
                              <a:lnTo>
                                <a:pt x="1578063" y="2508478"/>
                              </a:lnTo>
                              <a:lnTo>
                                <a:pt x="1607185" y="2552928"/>
                              </a:lnTo>
                              <a:lnTo>
                                <a:pt x="1642656" y="2597645"/>
                              </a:lnTo>
                              <a:lnTo>
                                <a:pt x="1684528" y="2642616"/>
                              </a:lnTo>
                              <a:lnTo>
                                <a:pt x="1723085" y="2678912"/>
                              </a:lnTo>
                              <a:lnTo>
                                <a:pt x="1761324" y="2710408"/>
                              </a:lnTo>
                              <a:lnTo>
                                <a:pt x="1799170" y="2737167"/>
                              </a:lnTo>
                              <a:lnTo>
                                <a:pt x="1836585" y="2759214"/>
                              </a:lnTo>
                              <a:lnTo>
                                <a:pt x="1873504" y="2776601"/>
                              </a:lnTo>
                              <a:lnTo>
                                <a:pt x="1918322" y="2792006"/>
                              </a:lnTo>
                              <a:lnTo>
                                <a:pt x="1960968" y="2800693"/>
                              </a:lnTo>
                              <a:lnTo>
                                <a:pt x="2001481" y="2802915"/>
                              </a:lnTo>
                              <a:lnTo>
                                <a:pt x="2039874" y="2798953"/>
                              </a:lnTo>
                              <a:lnTo>
                                <a:pt x="2076589" y="2788602"/>
                              </a:lnTo>
                              <a:lnTo>
                                <a:pt x="2112454" y="2771368"/>
                              </a:lnTo>
                              <a:lnTo>
                                <a:pt x="2147455" y="2747416"/>
                              </a:lnTo>
                              <a:lnTo>
                                <a:pt x="2181606" y="2716911"/>
                              </a:lnTo>
                              <a:lnTo>
                                <a:pt x="2211463" y="2682722"/>
                              </a:lnTo>
                              <a:lnTo>
                                <a:pt x="2234273" y="2646984"/>
                              </a:lnTo>
                              <a:lnTo>
                                <a:pt x="2244953" y="2621483"/>
                              </a:lnTo>
                              <a:lnTo>
                                <a:pt x="2249894" y="2609710"/>
                              </a:lnTo>
                              <a:lnTo>
                                <a:pt x="2258187" y="2570861"/>
                              </a:lnTo>
                              <a:lnTo>
                                <a:pt x="2260041" y="2530856"/>
                              </a:lnTo>
                              <a:close/>
                            </a:path>
                            <a:path w="4171315" h="4403725">
                              <a:moveTo>
                                <a:pt x="2903410" y="1898713"/>
                              </a:moveTo>
                              <a:lnTo>
                                <a:pt x="2892425" y="1835531"/>
                              </a:lnTo>
                              <a:lnTo>
                                <a:pt x="2865031" y="1767636"/>
                              </a:lnTo>
                              <a:lnTo>
                                <a:pt x="2845397" y="1732191"/>
                              </a:lnTo>
                              <a:lnTo>
                                <a:pt x="2821559" y="1695831"/>
                              </a:lnTo>
                              <a:lnTo>
                                <a:pt x="2783128" y="1711452"/>
                              </a:lnTo>
                              <a:lnTo>
                                <a:pt x="2667889" y="1758823"/>
                              </a:lnTo>
                              <a:lnTo>
                                <a:pt x="2687942" y="1788236"/>
                              </a:lnTo>
                              <a:lnTo>
                                <a:pt x="2703474" y="1815719"/>
                              </a:lnTo>
                              <a:lnTo>
                                <a:pt x="2714675" y="1841309"/>
                              </a:lnTo>
                              <a:lnTo>
                                <a:pt x="2721737" y="1864995"/>
                              </a:lnTo>
                              <a:lnTo>
                                <a:pt x="2723718" y="1887347"/>
                              </a:lnTo>
                              <a:lnTo>
                                <a:pt x="2719984" y="1908327"/>
                              </a:lnTo>
                              <a:lnTo>
                                <a:pt x="2695575" y="1946402"/>
                              </a:lnTo>
                              <a:lnTo>
                                <a:pt x="2654503" y="1970443"/>
                              </a:lnTo>
                              <a:lnTo>
                                <a:pt x="2630690" y="1973021"/>
                              </a:lnTo>
                              <a:lnTo>
                                <a:pt x="2604770" y="1969135"/>
                              </a:lnTo>
                              <a:lnTo>
                                <a:pt x="2541295" y="1935657"/>
                              </a:lnTo>
                              <a:lnTo>
                                <a:pt x="2502319" y="1904365"/>
                              </a:lnTo>
                              <a:lnTo>
                                <a:pt x="2458593" y="1863217"/>
                              </a:lnTo>
                              <a:lnTo>
                                <a:pt x="2425052" y="1827504"/>
                              </a:lnTo>
                              <a:lnTo>
                                <a:pt x="2398547" y="1794510"/>
                              </a:lnTo>
                              <a:lnTo>
                                <a:pt x="2366518" y="1737233"/>
                              </a:lnTo>
                              <a:lnTo>
                                <a:pt x="2358237" y="1704390"/>
                              </a:lnTo>
                              <a:lnTo>
                                <a:pt x="2358479" y="1674964"/>
                              </a:lnTo>
                              <a:lnTo>
                                <a:pt x="2384171" y="1626108"/>
                              </a:lnTo>
                              <a:lnTo>
                                <a:pt x="2428240" y="1603121"/>
                              </a:lnTo>
                              <a:lnTo>
                                <a:pt x="2441384" y="1601851"/>
                              </a:lnTo>
                              <a:lnTo>
                                <a:pt x="2454986" y="1602105"/>
                              </a:lnTo>
                              <a:lnTo>
                                <a:pt x="2493505" y="1611642"/>
                              </a:lnTo>
                              <a:lnTo>
                                <a:pt x="2532761" y="1632966"/>
                              </a:lnTo>
                              <a:lnTo>
                                <a:pt x="2608199" y="1490218"/>
                              </a:lnTo>
                              <a:lnTo>
                                <a:pt x="2555481" y="1461084"/>
                              </a:lnTo>
                              <a:lnTo>
                                <a:pt x="2505570" y="1440662"/>
                              </a:lnTo>
                              <a:lnTo>
                                <a:pt x="2458529" y="1428572"/>
                              </a:lnTo>
                              <a:lnTo>
                                <a:pt x="2414397" y="1424432"/>
                              </a:lnTo>
                              <a:lnTo>
                                <a:pt x="2372131" y="1429385"/>
                              </a:lnTo>
                              <a:lnTo>
                                <a:pt x="2331237" y="1443939"/>
                              </a:lnTo>
                              <a:lnTo>
                                <a:pt x="2291626" y="1467904"/>
                              </a:lnTo>
                              <a:lnTo>
                                <a:pt x="2253234" y="1501140"/>
                              </a:lnTo>
                              <a:lnTo>
                                <a:pt x="2219223" y="1540979"/>
                              </a:lnTo>
                              <a:lnTo>
                                <a:pt x="2194560" y="1583207"/>
                              </a:lnTo>
                              <a:lnTo>
                                <a:pt x="2179320" y="1627797"/>
                              </a:lnTo>
                              <a:lnTo>
                                <a:pt x="2173617" y="1674749"/>
                              </a:lnTo>
                              <a:lnTo>
                                <a:pt x="2177542" y="1724025"/>
                              </a:lnTo>
                              <a:lnTo>
                                <a:pt x="2188146" y="1766570"/>
                              </a:lnTo>
                              <a:lnTo>
                                <a:pt x="2204936" y="1809699"/>
                              </a:lnTo>
                              <a:lnTo>
                                <a:pt x="2227986" y="1853438"/>
                              </a:lnTo>
                              <a:lnTo>
                                <a:pt x="2257412" y="1897773"/>
                              </a:lnTo>
                              <a:lnTo>
                                <a:pt x="2293315" y="1942693"/>
                              </a:lnTo>
                              <a:lnTo>
                                <a:pt x="2335784" y="1988185"/>
                              </a:lnTo>
                              <a:lnTo>
                                <a:pt x="2376741" y="2026716"/>
                              </a:lnTo>
                              <a:lnTo>
                                <a:pt x="2417153" y="2059787"/>
                              </a:lnTo>
                              <a:lnTo>
                                <a:pt x="2457005" y="2087511"/>
                              </a:lnTo>
                              <a:lnTo>
                                <a:pt x="2496274" y="2110003"/>
                              </a:lnTo>
                              <a:lnTo>
                                <a:pt x="2534920" y="2127377"/>
                              </a:lnTo>
                              <a:lnTo>
                                <a:pt x="2581097" y="2142363"/>
                              </a:lnTo>
                              <a:lnTo>
                                <a:pt x="2623794" y="2150580"/>
                              </a:lnTo>
                              <a:lnTo>
                                <a:pt x="2662948" y="2152332"/>
                              </a:lnTo>
                              <a:lnTo>
                                <a:pt x="2698496" y="2147951"/>
                              </a:lnTo>
                              <a:lnTo>
                                <a:pt x="2765336" y="2120328"/>
                              </a:lnTo>
                              <a:lnTo>
                                <a:pt x="2798305" y="2097024"/>
                              </a:lnTo>
                              <a:lnTo>
                                <a:pt x="2830957" y="2067560"/>
                              </a:lnTo>
                              <a:lnTo>
                                <a:pt x="2874670" y="2013115"/>
                              </a:lnTo>
                              <a:lnTo>
                                <a:pt x="2898013" y="1957324"/>
                              </a:lnTo>
                              <a:lnTo>
                                <a:pt x="2902635" y="1928583"/>
                              </a:lnTo>
                              <a:lnTo>
                                <a:pt x="2903410" y="1898713"/>
                              </a:lnTo>
                              <a:close/>
                            </a:path>
                            <a:path w="4171315" h="4403725">
                              <a:moveTo>
                                <a:pt x="3346399" y="1444447"/>
                              </a:moveTo>
                              <a:lnTo>
                                <a:pt x="3342475" y="1403692"/>
                              </a:lnTo>
                              <a:lnTo>
                                <a:pt x="3332505" y="1362100"/>
                              </a:lnTo>
                              <a:lnTo>
                                <a:pt x="3316224" y="1319657"/>
                              </a:lnTo>
                              <a:lnTo>
                                <a:pt x="3298380" y="1285138"/>
                              </a:lnTo>
                              <a:lnTo>
                                <a:pt x="3275952" y="1249578"/>
                              </a:lnTo>
                              <a:lnTo>
                                <a:pt x="3248901" y="1213040"/>
                              </a:lnTo>
                              <a:lnTo>
                                <a:pt x="3217202" y="1175588"/>
                              </a:lnTo>
                              <a:lnTo>
                                <a:pt x="3180842" y="1137285"/>
                              </a:lnTo>
                              <a:lnTo>
                                <a:pt x="3165538" y="1123035"/>
                              </a:lnTo>
                              <a:lnTo>
                                <a:pt x="3165538" y="1436776"/>
                              </a:lnTo>
                              <a:lnTo>
                                <a:pt x="3162427" y="1462278"/>
                              </a:lnTo>
                              <a:lnTo>
                                <a:pt x="3136011" y="1506601"/>
                              </a:lnTo>
                              <a:lnTo>
                                <a:pt x="3092208" y="1532293"/>
                              </a:lnTo>
                              <a:lnTo>
                                <a:pt x="3066516" y="1535112"/>
                              </a:lnTo>
                              <a:lnTo>
                                <a:pt x="3038221" y="1531112"/>
                              </a:lnTo>
                              <a:lnTo>
                                <a:pt x="2972905" y="1499577"/>
                              </a:lnTo>
                              <a:lnTo>
                                <a:pt x="2935592" y="1470914"/>
                              </a:lnTo>
                              <a:lnTo>
                                <a:pt x="2895219" y="1433449"/>
                              </a:lnTo>
                              <a:lnTo>
                                <a:pt x="2857474" y="1392796"/>
                              </a:lnTo>
                              <a:lnTo>
                                <a:pt x="2828569" y="1355242"/>
                              </a:lnTo>
                              <a:lnTo>
                                <a:pt x="2808376" y="1320850"/>
                              </a:lnTo>
                              <a:lnTo>
                                <a:pt x="2792780" y="1261414"/>
                              </a:lnTo>
                              <a:lnTo>
                                <a:pt x="2795473" y="1235837"/>
                              </a:lnTo>
                              <a:lnTo>
                                <a:pt x="2820162" y="1193038"/>
                              </a:lnTo>
                              <a:lnTo>
                                <a:pt x="2864167" y="1166964"/>
                              </a:lnTo>
                              <a:lnTo>
                                <a:pt x="2889910" y="1163624"/>
                              </a:lnTo>
                              <a:lnTo>
                                <a:pt x="2918079" y="1166876"/>
                              </a:lnTo>
                              <a:lnTo>
                                <a:pt x="2981617" y="1196771"/>
                              </a:lnTo>
                              <a:lnTo>
                                <a:pt x="3017101" y="1223619"/>
                              </a:lnTo>
                              <a:lnTo>
                                <a:pt x="3054985" y="1258570"/>
                              </a:lnTo>
                              <a:lnTo>
                                <a:pt x="3096399" y="1302829"/>
                              </a:lnTo>
                              <a:lnTo>
                                <a:pt x="3127959" y="1342745"/>
                              </a:lnTo>
                              <a:lnTo>
                                <a:pt x="3149727" y="1378229"/>
                              </a:lnTo>
                              <a:lnTo>
                                <a:pt x="3165538" y="1436776"/>
                              </a:lnTo>
                              <a:lnTo>
                                <a:pt x="3165538" y="1123035"/>
                              </a:lnTo>
                              <a:lnTo>
                                <a:pt x="3136455" y="1095921"/>
                              </a:lnTo>
                              <a:lnTo>
                                <a:pt x="3092335" y="1060919"/>
                              </a:lnTo>
                              <a:lnTo>
                                <a:pt x="3048520" y="1032230"/>
                              </a:lnTo>
                              <a:lnTo>
                                <a:pt x="3004997" y="1009789"/>
                              </a:lnTo>
                              <a:lnTo>
                                <a:pt x="2961805" y="993521"/>
                              </a:lnTo>
                              <a:lnTo>
                                <a:pt x="2918968" y="983361"/>
                              </a:lnTo>
                              <a:lnTo>
                                <a:pt x="2868879" y="979881"/>
                              </a:lnTo>
                              <a:lnTo>
                                <a:pt x="2821051" y="986269"/>
                              </a:lnTo>
                              <a:lnTo>
                                <a:pt x="2775470" y="1002411"/>
                              </a:lnTo>
                              <a:lnTo>
                                <a:pt x="2732113" y="1028153"/>
                              </a:lnTo>
                              <a:lnTo>
                                <a:pt x="2691003" y="1063371"/>
                              </a:lnTo>
                              <a:lnTo>
                                <a:pt x="2656713" y="1103668"/>
                              </a:lnTo>
                              <a:lnTo>
                                <a:pt x="2631808" y="1146606"/>
                              </a:lnTo>
                              <a:lnTo>
                                <a:pt x="2616403" y="1192149"/>
                              </a:lnTo>
                              <a:lnTo>
                                <a:pt x="2610612" y="1240243"/>
                              </a:lnTo>
                              <a:lnTo>
                                <a:pt x="2614549" y="1290828"/>
                              </a:lnTo>
                              <a:lnTo>
                                <a:pt x="2624975" y="1334223"/>
                              </a:lnTo>
                              <a:lnTo>
                                <a:pt x="2641587" y="1377988"/>
                              </a:lnTo>
                              <a:lnTo>
                                <a:pt x="2664422" y="1422120"/>
                              </a:lnTo>
                              <a:lnTo>
                                <a:pt x="2693543" y="1466570"/>
                              </a:lnTo>
                              <a:lnTo>
                                <a:pt x="2729014" y="1511287"/>
                              </a:lnTo>
                              <a:lnTo>
                                <a:pt x="2770886" y="1556258"/>
                              </a:lnTo>
                              <a:lnTo>
                                <a:pt x="2809443" y="1592554"/>
                              </a:lnTo>
                              <a:lnTo>
                                <a:pt x="2847683" y="1624050"/>
                              </a:lnTo>
                              <a:lnTo>
                                <a:pt x="2885554" y="1650809"/>
                              </a:lnTo>
                              <a:lnTo>
                                <a:pt x="2923006" y="1672856"/>
                              </a:lnTo>
                              <a:lnTo>
                                <a:pt x="2959989" y="1690243"/>
                              </a:lnTo>
                              <a:lnTo>
                                <a:pt x="3004743" y="1705635"/>
                              </a:lnTo>
                              <a:lnTo>
                                <a:pt x="3047403" y="1714271"/>
                              </a:lnTo>
                              <a:lnTo>
                                <a:pt x="3087941" y="1716443"/>
                              </a:lnTo>
                              <a:lnTo>
                                <a:pt x="3126359" y="1712468"/>
                              </a:lnTo>
                              <a:lnTo>
                                <a:pt x="3198838" y="1684972"/>
                              </a:lnTo>
                              <a:lnTo>
                                <a:pt x="3233864" y="1661007"/>
                              </a:lnTo>
                              <a:lnTo>
                                <a:pt x="3268091" y="1630426"/>
                              </a:lnTo>
                              <a:lnTo>
                                <a:pt x="3297872" y="1596301"/>
                              </a:lnTo>
                              <a:lnTo>
                                <a:pt x="3320643" y="1560601"/>
                              </a:lnTo>
                              <a:lnTo>
                                <a:pt x="3336252" y="1523288"/>
                              </a:lnTo>
                              <a:lnTo>
                                <a:pt x="3344545" y="1484376"/>
                              </a:lnTo>
                              <a:lnTo>
                                <a:pt x="3346399" y="1444447"/>
                              </a:lnTo>
                              <a:close/>
                            </a:path>
                            <a:path w="4171315" h="4403725">
                              <a:moveTo>
                                <a:pt x="3651758" y="1227975"/>
                              </a:moveTo>
                              <a:lnTo>
                                <a:pt x="3446399" y="1022604"/>
                              </a:lnTo>
                              <a:lnTo>
                                <a:pt x="3514090" y="954913"/>
                              </a:lnTo>
                              <a:lnTo>
                                <a:pt x="3546233" y="916901"/>
                              </a:lnTo>
                              <a:lnTo>
                                <a:pt x="3549700" y="910590"/>
                              </a:lnTo>
                              <a:lnTo>
                                <a:pt x="3567722" y="877760"/>
                              </a:lnTo>
                              <a:lnTo>
                                <a:pt x="3578428" y="837577"/>
                              </a:lnTo>
                              <a:lnTo>
                                <a:pt x="3578225" y="796417"/>
                              </a:lnTo>
                              <a:lnTo>
                                <a:pt x="3568128" y="754748"/>
                              </a:lnTo>
                              <a:lnTo>
                                <a:pt x="3549053" y="713003"/>
                              </a:lnTo>
                              <a:lnTo>
                                <a:pt x="3520910" y="671169"/>
                              </a:lnTo>
                              <a:lnTo>
                                <a:pt x="3483610" y="629285"/>
                              </a:lnTo>
                              <a:lnTo>
                                <a:pt x="3443084" y="593026"/>
                              </a:lnTo>
                              <a:lnTo>
                                <a:pt x="3403054" y="565632"/>
                              </a:lnTo>
                              <a:lnTo>
                                <a:pt x="3397504" y="563016"/>
                              </a:lnTo>
                              <a:lnTo>
                                <a:pt x="3397504" y="812673"/>
                              </a:lnTo>
                              <a:lnTo>
                                <a:pt x="3396742" y="828903"/>
                              </a:lnTo>
                              <a:lnTo>
                                <a:pt x="3390925" y="845553"/>
                              </a:lnTo>
                              <a:lnTo>
                                <a:pt x="3380206" y="862672"/>
                              </a:lnTo>
                              <a:lnTo>
                                <a:pt x="3364738" y="880237"/>
                              </a:lnTo>
                              <a:lnTo>
                                <a:pt x="3334385" y="910590"/>
                              </a:lnTo>
                              <a:lnTo>
                                <a:pt x="3210941" y="787146"/>
                              </a:lnTo>
                              <a:lnTo>
                                <a:pt x="3246120" y="751967"/>
                              </a:lnTo>
                              <a:lnTo>
                                <a:pt x="3263239" y="737082"/>
                              </a:lnTo>
                              <a:lnTo>
                                <a:pt x="3279800" y="727290"/>
                              </a:lnTo>
                              <a:lnTo>
                                <a:pt x="3295840" y="722553"/>
                              </a:lnTo>
                              <a:lnTo>
                                <a:pt x="3311398" y="722884"/>
                              </a:lnTo>
                              <a:lnTo>
                                <a:pt x="3354844" y="742772"/>
                              </a:lnTo>
                              <a:lnTo>
                                <a:pt x="3388779" y="782459"/>
                              </a:lnTo>
                              <a:lnTo>
                                <a:pt x="3397504" y="812673"/>
                              </a:lnTo>
                              <a:lnTo>
                                <a:pt x="3397504" y="563016"/>
                              </a:lnTo>
                              <a:lnTo>
                                <a:pt x="3363557" y="546963"/>
                              </a:lnTo>
                              <a:lnTo>
                                <a:pt x="3324606" y="536829"/>
                              </a:lnTo>
                              <a:lnTo>
                                <a:pt x="3286480" y="536219"/>
                              </a:lnTo>
                              <a:lnTo>
                                <a:pt x="3249650" y="545515"/>
                              </a:lnTo>
                              <a:lnTo>
                                <a:pt x="3214141" y="564603"/>
                              </a:lnTo>
                              <a:lnTo>
                                <a:pt x="3179953" y="593344"/>
                              </a:lnTo>
                              <a:lnTo>
                                <a:pt x="2974340" y="798830"/>
                              </a:lnTo>
                              <a:lnTo>
                                <a:pt x="3527552" y="1352042"/>
                              </a:lnTo>
                              <a:lnTo>
                                <a:pt x="3651758" y="1227975"/>
                              </a:lnTo>
                              <a:close/>
                            </a:path>
                            <a:path w="4171315" h="4403725">
                              <a:moveTo>
                                <a:pt x="4170934" y="708660"/>
                              </a:moveTo>
                              <a:lnTo>
                                <a:pt x="3939159" y="477012"/>
                              </a:lnTo>
                              <a:lnTo>
                                <a:pt x="3905631" y="381711"/>
                              </a:lnTo>
                              <a:lnTo>
                                <a:pt x="3806812" y="95250"/>
                              </a:lnTo>
                              <a:lnTo>
                                <a:pt x="3773297" y="0"/>
                              </a:lnTo>
                              <a:lnTo>
                                <a:pt x="3636645" y="136652"/>
                              </a:lnTo>
                              <a:lnTo>
                                <a:pt x="3654463" y="181178"/>
                              </a:lnTo>
                              <a:lnTo>
                                <a:pt x="3707142" y="315112"/>
                              </a:lnTo>
                              <a:lnTo>
                                <a:pt x="3742690" y="404241"/>
                              </a:lnTo>
                              <a:lnTo>
                                <a:pt x="3698176" y="386359"/>
                              </a:lnTo>
                              <a:lnTo>
                                <a:pt x="3564356" y="333527"/>
                              </a:lnTo>
                              <a:lnTo>
                                <a:pt x="3475355" y="297942"/>
                              </a:lnTo>
                              <a:lnTo>
                                <a:pt x="3338068" y="435229"/>
                              </a:lnTo>
                              <a:lnTo>
                                <a:pt x="3433381" y="468693"/>
                              </a:lnTo>
                              <a:lnTo>
                                <a:pt x="3720007" y="567385"/>
                              </a:lnTo>
                              <a:lnTo>
                                <a:pt x="3815334" y="600837"/>
                              </a:lnTo>
                              <a:lnTo>
                                <a:pt x="4047109" y="832485"/>
                              </a:lnTo>
                              <a:lnTo>
                                <a:pt x="417093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79.880005pt;margin-top:104.019974pt;width:328.45pt;height:346.75pt;mso-position-horizontal-relative:page;mso-position-vertical-relative:paragraph;z-index:-25194496" id="docshape242" coordorigin="3598,2080" coordsize="6569,6935" path="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b/>
          <w:sz w:val="25"/>
        </w:rPr>
        <w:t>UNIT</w:t>
      </w:r>
      <w:r>
        <w:rPr>
          <w:b/>
          <w:spacing w:val="-9"/>
          <w:sz w:val="25"/>
        </w:rPr>
        <w:t> </w:t>
      </w:r>
      <w:r>
        <w:rPr>
          <w:b/>
          <w:sz w:val="25"/>
        </w:rPr>
        <w:t>ROOT</w:t>
      </w:r>
      <w:r>
        <w:rPr>
          <w:b/>
          <w:spacing w:val="-6"/>
          <w:sz w:val="25"/>
        </w:rPr>
        <w:t> </w:t>
      </w:r>
      <w:r>
        <w:rPr>
          <w:b/>
          <w:spacing w:val="-2"/>
          <w:sz w:val="25"/>
        </w:rPr>
        <w:t>RESULTS</w:t>
      </w:r>
    </w:p>
    <w:p>
      <w:pPr>
        <w:pStyle w:val="BodyText"/>
        <w:spacing w:before="73"/>
        <w:ind w:left="0"/>
        <w:rPr>
          <w:b/>
          <w:sz w:val="20"/>
        </w:r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492"/>
        <w:gridCol w:w="941"/>
        <w:gridCol w:w="885"/>
      </w:tblGrid>
      <w:tr>
        <w:trPr>
          <w:trHeight w:val="213" w:hRule="atLeast"/>
        </w:trPr>
        <w:tc>
          <w:tcPr>
            <w:tcW w:w="6535" w:type="dxa"/>
            <w:gridSpan w:val="5"/>
          </w:tcPr>
          <w:p>
            <w:pPr>
              <w:pStyle w:val="TableParagraph"/>
              <w:spacing w:line="193" w:lineRule="exact" w:before="0"/>
              <w:rPr>
                <w:sz w:val="18"/>
              </w:rPr>
            </w:pPr>
            <w:r>
              <w:rPr>
                <w:sz w:val="18"/>
              </w:rPr>
              <w:t>Null</w:t>
            </w:r>
            <w:r>
              <w:rPr>
                <w:spacing w:val="-3"/>
                <w:sz w:val="18"/>
              </w:rPr>
              <w:t> </w:t>
            </w:r>
            <w:r>
              <w:rPr>
                <w:sz w:val="18"/>
              </w:rPr>
              <w:t>Hypothesis:</w:t>
            </w:r>
            <w:r>
              <w:rPr>
                <w:spacing w:val="-3"/>
                <w:sz w:val="18"/>
              </w:rPr>
              <w:t> </w:t>
            </w:r>
            <w:r>
              <w:rPr>
                <w:sz w:val="18"/>
              </w:rPr>
              <w:t>RGDP</w:t>
            </w:r>
            <w:r>
              <w:rPr>
                <w:spacing w:val="-3"/>
                <w:sz w:val="18"/>
              </w:rPr>
              <w:t> </w:t>
            </w:r>
            <w:r>
              <w:rPr>
                <w:sz w:val="18"/>
              </w:rPr>
              <w:t>has</w:t>
            </w:r>
            <w:r>
              <w:rPr>
                <w:spacing w:val="-2"/>
                <w:sz w:val="18"/>
              </w:rPr>
              <w:t> </w:t>
            </w:r>
            <w:r>
              <w:rPr>
                <w:sz w:val="18"/>
              </w:rPr>
              <w:t>a</w:t>
            </w:r>
            <w:r>
              <w:rPr>
                <w:spacing w:val="-5"/>
                <w:sz w:val="18"/>
              </w:rPr>
              <w:t> </w:t>
            </w:r>
            <w:r>
              <w:rPr>
                <w:sz w:val="18"/>
              </w:rPr>
              <w:t>unit</w:t>
            </w:r>
            <w:r>
              <w:rPr>
                <w:spacing w:val="-3"/>
                <w:sz w:val="18"/>
              </w:rPr>
              <w:t> </w:t>
            </w:r>
            <w:r>
              <w:rPr>
                <w:spacing w:val="-4"/>
                <w:sz w:val="18"/>
              </w:rPr>
              <w:t>root</w:t>
            </w:r>
          </w:p>
        </w:tc>
      </w:tr>
      <w:tr>
        <w:trPr>
          <w:trHeight w:val="225" w:hRule="atLeast"/>
        </w:trPr>
        <w:tc>
          <w:tcPr>
            <w:tcW w:w="1910" w:type="dxa"/>
          </w:tcPr>
          <w:p>
            <w:pPr>
              <w:pStyle w:val="TableParagraph"/>
              <w:rPr>
                <w:sz w:val="18"/>
              </w:rPr>
            </w:pPr>
            <w:r>
              <w:rPr>
                <w:sz w:val="18"/>
              </w:rPr>
              <w:t>Exogenous:</w:t>
            </w:r>
            <w:r>
              <w:rPr>
                <w:spacing w:val="-2"/>
                <w:sz w:val="18"/>
              </w:rPr>
              <w:t> Constant</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301" w:hRule="atLeast"/>
        </w:trPr>
        <w:tc>
          <w:tcPr>
            <w:tcW w:w="6535" w:type="dxa"/>
            <w:gridSpan w:val="5"/>
            <w:tcBorders>
              <w:bottom w:val="double" w:sz="6" w:space="0" w:color="000000"/>
            </w:tcBorders>
          </w:tcPr>
          <w:p>
            <w:pPr>
              <w:pStyle w:val="TableParagraph"/>
              <w:spacing w:line="240" w:lineRule="auto"/>
              <w:rPr>
                <w:sz w:val="18"/>
              </w:rPr>
            </w:pPr>
            <w:r>
              <w:rPr>
                <w:sz w:val="18"/>
              </w:rPr>
              <w:t>Lag</w:t>
            </w:r>
            <w:r>
              <w:rPr>
                <w:spacing w:val="-4"/>
                <w:sz w:val="18"/>
              </w:rPr>
              <w:t> </w:t>
            </w:r>
            <w:r>
              <w:rPr>
                <w:sz w:val="18"/>
              </w:rPr>
              <w:t>Length:</w:t>
            </w:r>
            <w:r>
              <w:rPr>
                <w:spacing w:val="-2"/>
                <w:sz w:val="18"/>
              </w:rPr>
              <w:t> </w:t>
            </w:r>
            <w:r>
              <w:rPr>
                <w:sz w:val="18"/>
              </w:rPr>
              <w:t>4</w:t>
            </w:r>
            <w:r>
              <w:rPr>
                <w:spacing w:val="-2"/>
                <w:sz w:val="18"/>
              </w:rPr>
              <w:t> </w:t>
            </w:r>
            <w:r>
              <w:rPr>
                <w:sz w:val="18"/>
              </w:rPr>
              <w:t>(Automatic</w:t>
            </w:r>
            <w:r>
              <w:rPr>
                <w:spacing w:val="1"/>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6"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3"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182"/>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33" w:type="dxa"/>
            <w:gridSpan w:val="2"/>
            <w:tcBorders>
              <w:top w:val="double" w:sz="6" w:space="0" w:color="000000"/>
              <w:bottom w:val="single" w:sz="6" w:space="0" w:color="000000"/>
            </w:tcBorders>
          </w:tcPr>
          <w:p>
            <w:pPr>
              <w:pStyle w:val="TableParagraph"/>
              <w:spacing w:line="187" w:lineRule="exact" w:before="108"/>
              <w:ind w:left="1305"/>
              <w:rPr>
                <w:sz w:val="18"/>
              </w:rPr>
            </w:pPr>
            <w:r>
              <w:rPr>
                <w:spacing w:val="-2"/>
                <w:sz w:val="18"/>
              </w:rPr>
              <w:t>-2.316020</w:t>
            </w:r>
          </w:p>
        </w:tc>
        <w:tc>
          <w:tcPr>
            <w:tcW w:w="885" w:type="dxa"/>
            <w:tcBorders>
              <w:top w:val="double" w:sz="6" w:space="0" w:color="000000"/>
              <w:bottom w:val="single" w:sz="6" w:space="0" w:color="000000"/>
            </w:tcBorders>
          </w:tcPr>
          <w:p>
            <w:pPr>
              <w:pStyle w:val="TableParagraph"/>
              <w:spacing w:line="187" w:lineRule="exact" w:before="108"/>
              <w:ind w:left="132"/>
              <w:rPr>
                <w:sz w:val="18"/>
              </w:rPr>
            </w:pPr>
            <w:r>
              <w:rPr>
                <w:spacing w:val="-2"/>
                <w:sz w:val="18"/>
              </w:rPr>
              <w:t>0.1737</w:t>
            </w:r>
          </w:p>
        </w:tc>
      </w:tr>
      <w:tr>
        <w:trPr>
          <w:trHeight w:val="236" w:hRule="atLeast"/>
        </w:trPr>
        <w:tc>
          <w:tcPr>
            <w:tcW w:w="1910" w:type="dxa"/>
            <w:tcBorders>
              <w:top w:val="single" w:sz="6" w:space="0" w:color="000000"/>
            </w:tcBorders>
          </w:tcPr>
          <w:p>
            <w:pPr>
              <w:pStyle w:val="TableParagraph"/>
              <w:spacing w:line="198" w:lineRule="exact"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7" w:type="dxa"/>
            <w:tcBorders>
              <w:top w:val="single" w:sz="6" w:space="0" w:color="000000"/>
            </w:tcBorders>
          </w:tcPr>
          <w:p>
            <w:pPr>
              <w:pStyle w:val="TableParagraph"/>
              <w:spacing w:line="198" w:lineRule="exact" w:before="18"/>
              <w:ind w:left="317"/>
              <w:rPr>
                <w:sz w:val="18"/>
              </w:rPr>
            </w:pPr>
            <w:r>
              <w:rPr>
                <w:sz w:val="18"/>
              </w:rPr>
              <w:t>1%</w:t>
            </w:r>
            <w:r>
              <w:rPr>
                <w:spacing w:val="-3"/>
                <w:sz w:val="18"/>
              </w:rPr>
              <w:t> </w:t>
            </w:r>
            <w:r>
              <w:rPr>
                <w:spacing w:val="-2"/>
                <w:sz w:val="18"/>
              </w:rPr>
              <w:t>level</w:t>
            </w:r>
          </w:p>
        </w:tc>
        <w:tc>
          <w:tcPr>
            <w:tcW w:w="2433" w:type="dxa"/>
            <w:gridSpan w:val="2"/>
            <w:tcBorders>
              <w:top w:val="single" w:sz="6" w:space="0" w:color="000000"/>
            </w:tcBorders>
          </w:tcPr>
          <w:p>
            <w:pPr>
              <w:pStyle w:val="TableParagraph"/>
              <w:spacing w:line="198" w:lineRule="exact" w:before="18"/>
              <w:ind w:left="1305"/>
              <w:rPr>
                <w:sz w:val="18"/>
              </w:rPr>
            </w:pPr>
            <w:r>
              <w:rPr>
                <w:spacing w:val="-2"/>
                <w:sz w:val="18"/>
              </w:rPr>
              <w:t>-3.670170</w:t>
            </w:r>
          </w:p>
        </w:tc>
        <w:tc>
          <w:tcPr>
            <w:tcW w:w="885" w:type="dxa"/>
            <w:tcBorders>
              <w:top w:val="single" w:sz="6" w:space="0" w:color="000000"/>
            </w:tcBorders>
          </w:tcPr>
          <w:p>
            <w:pPr>
              <w:pStyle w:val="TableParagraph"/>
              <w:spacing w:line="240" w:lineRule="auto" w:before="0"/>
              <w:rPr>
                <w:rFonts w:ascii="Times New Roman"/>
                <w:sz w:val="16"/>
              </w:rPr>
            </w:pPr>
          </w:p>
        </w:tc>
      </w:tr>
      <w:tr>
        <w:trPr>
          <w:trHeight w:val="224" w:hRule="atLeast"/>
        </w:trPr>
        <w:tc>
          <w:tcPr>
            <w:tcW w:w="1910" w:type="dxa"/>
          </w:tcPr>
          <w:p>
            <w:pPr>
              <w:pStyle w:val="TableParagraph"/>
              <w:spacing w:line="240" w:lineRule="auto" w:before="0"/>
              <w:rPr>
                <w:rFonts w:ascii="Times New Roman"/>
                <w:sz w:val="16"/>
              </w:rPr>
            </w:pPr>
          </w:p>
        </w:tc>
        <w:tc>
          <w:tcPr>
            <w:tcW w:w="1307" w:type="dxa"/>
          </w:tcPr>
          <w:p>
            <w:pPr>
              <w:pStyle w:val="TableParagraph"/>
              <w:spacing w:before="5"/>
              <w:ind w:left="317"/>
              <w:rPr>
                <w:sz w:val="18"/>
              </w:rPr>
            </w:pPr>
            <w:r>
              <w:rPr>
                <w:sz w:val="18"/>
              </w:rPr>
              <w:t>5%</w:t>
            </w:r>
            <w:r>
              <w:rPr>
                <w:spacing w:val="-3"/>
                <w:sz w:val="18"/>
              </w:rPr>
              <w:t> </w:t>
            </w:r>
            <w:r>
              <w:rPr>
                <w:spacing w:val="-2"/>
                <w:sz w:val="18"/>
              </w:rPr>
              <w:t>level</w:t>
            </w:r>
          </w:p>
        </w:tc>
        <w:tc>
          <w:tcPr>
            <w:tcW w:w="2433" w:type="dxa"/>
            <w:gridSpan w:val="2"/>
          </w:tcPr>
          <w:p>
            <w:pPr>
              <w:pStyle w:val="TableParagraph"/>
              <w:spacing w:before="5"/>
              <w:ind w:left="1305"/>
              <w:rPr>
                <w:sz w:val="18"/>
              </w:rPr>
            </w:pPr>
            <w:r>
              <w:rPr>
                <w:spacing w:val="-2"/>
                <w:sz w:val="18"/>
              </w:rPr>
              <w:t>-2.963972</w:t>
            </w:r>
          </w:p>
        </w:tc>
        <w:tc>
          <w:tcPr>
            <w:tcW w:w="885" w:type="dxa"/>
          </w:tcPr>
          <w:p>
            <w:pPr>
              <w:pStyle w:val="TableParagraph"/>
              <w:spacing w:line="240" w:lineRule="auto" w:before="0"/>
              <w:rPr>
                <w:rFonts w:ascii="Times New Roman"/>
                <w:sz w:val="16"/>
              </w:rPr>
            </w:pPr>
          </w:p>
        </w:tc>
      </w:tr>
      <w:tr>
        <w:trPr>
          <w:trHeight w:val="303"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33" w:type="dxa"/>
            <w:gridSpan w:val="2"/>
            <w:tcBorders>
              <w:bottom w:val="double" w:sz="6" w:space="0" w:color="000000"/>
            </w:tcBorders>
          </w:tcPr>
          <w:p>
            <w:pPr>
              <w:pStyle w:val="TableParagraph"/>
              <w:spacing w:line="240" w:lineRule="auto"/>
              <w:ind w:left="1305"/>
              <w:rPr>
                <w:sz w:val="18"/>
              </w:rPr>
            </w:pPr>
            <w:r>
              <w:rPr>
                <w:spacing w:val="-2"/>
                <w:sz w:val="18"/>
              </w:rPr>
              <w:t>-2.621007</w:t>
            </w:r>
          </w:p>
        </w:tc>
        <w:tc>
          <w:tcPr>
            <w:tcW w:w="885" w:type="dxa"/>
            <w:tcBorders>
              <w:bottom w:val="double" w:sz="6" w:space="0" w:color="000000"/>
            </w:tcBorders>
          </w:tcPr>
          <w:p>
            <w:pPr>
              <w:pStyle w:val="TableParagraph"/>
              <w:spacing w:line="240" w:lineRule="auto" w:before="0"/>
              <w:rPr>
                <w:rFonts w:ascii="Times New Roman"/>
                <w:sz w:val="18"/>
              </w:rPr>
            </w:pPr>
          </w:p>
        </w:tc>
      </w:tr>
      <w:tr>
        <w:trPr>
          <w:trHeight w:val="552" w:hRule="atLeast"/>
        </w:trPr>
        <w:tc>
          <w:tcPr>
            <w:tcW w:w="6535"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5" w:type="dxa"/>
            <w:gridSpan w:val="5"/>
          </w:tcPr>
          <w:p>
            <w:pPr>
              <w:pStyle w:val="TableParagraph"/>
              <w:spacing w:line="240" w:lineRule="auto" w:before="24"/>
              <w:rPr>
                <w:rFonts w:ascii="Times New Roman"/>
                <w:b/>
                <w:sz w:val="18"/>
              </w:rPr>
            </w:pPr>
          </w:p>
          <w:p>
            <w:pPr>
              <w:pStyle w:val="TableParagraph"/>
              <w:spacing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5" w:type="dxa"/>
            <w:gridSpan w:val="5"/>
          </w:tcPr>
          <w:p>
            <w:pPr>
              <w:pStyle w:val="TableParagraph"/>
              <w:spacing w:line="198" w:lineRule="exact"/>
              <w:rPr>
                <w:sz w:val="18"/>
              </w:rPr>
            </w:pPr>
            <w:r>
              <w:rPr>
                <w:spacing w:val="-2"/>
                <w:sz w:val="18"/>
              </w:rPr>
              <w:t>Dependent</w:t>
            </w:r>
            <w:r>
              <w:rPr>
                <w:spacing w:val="4"/>
                <w:sz w:val="18"/>
              </w:rPr>
              <w:t> </w:t>
            </w:r>
            <w:r>
              <w:rPr>
                <w:spacing w:val="-2"/>
                <w:sz w:val="18"/>
              </w:rPr>
              <w:t>Variable:</w:t>
            </w:r>
            <w:r>
              <w:rPr>
                <w:spacing w:val="6"/>
                <w:sz w:val="18"/>
              </w:rPr>
              <w:t> </w:t>
            </w:r>
            <w:r>
              <w:rPr>
                <w:spacing w:val="-2"/>
                <w:sz w:val="18"/>
              </w:rPr>
              <w:t>D(RGDP)</w:t>
            </w:r>
          </w:p>
        </w:tc>
      </w:tr>
      <w:tr>
        <w:trPr>
          <w:trHeight w:val="224" w:hRule="atLeast"/>
        </w:trPr>
        <w:tc>
          <w:tcPr>
            <w:tcW w:w="1910" w:type="dxa"/>
          </w:tcPr>
          <w:p>
            <w:pPr>
              <w:pStyle w:val="TableParagraph"/>
              <w:spacing w:before="5"/>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225" w:hRule="atLeast"/>
        </w:trPr>
        <w:tc>
          <w:tcPr>
            <w:tcW w:w="6535" w:type="dxa"/>
            <w:gridSpan w:val="5"/>
          </w:tcPr>
          <w:p>
            <w:pPr>
              <w:pStyle w:val="TableParagraph"/>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06:03</w:t>
            </w:r>
          </w:p>
        </w:tc>
      </w:tr>
      <w:tr>
        <w:trPr>
          <w:trHeight w:val="225" w:hRule="atLeast"/>
        </w:trPr>
        <w:tc>
          <w:tcPr>
            <w:tcW w:w="6535" w:type="dxa"/>
            <w:gridSpan w:val="5"/>
          </w:tcPr>
          <w:p>
            <w:pPr>
              <w:pStyle w:val="TableParagraph"/>
              <w:rPr>
                <w:sz w:val="18"/>
              </w:rPr>
            </w:pPr>
            <w:r>
              <w:rPr>
                <w:sz w:val="18"/>
              </w:rPr>
              <w:t>Sample</w:t>
            </w:r>
            <w:r>
              <w:rPr>
                <w:spacing w:val="-7"/>
                <w:sz w:val="18"/>
              </w:rPr>
              <w:t> </w:t>
            </w:r>
            <w:r>
              <w:rPr>
                <w:sz w:val="18"/>
              </w:rPr>
              <w:t>(adjusted):</w:t>
            </w:r>
            <w:r>
              <w:rPr>
                <w:spacing w:val="-6"/>
                <w:sz w:val="18"/>
              </w:rPr>
              <w:t> </w:t>
            </w:r>
            <w:r>
              <w:rPr>
                <w:sz w:val="18"/>
              </w:rPr>
              <w:t>1991</w:t>
            </w:r>
            <w:r>
              <w:rPr>
                <w:spacing w:val="-4"/>
                <w:sz w:val="18"/>
              </w:rPr>
              <w:t> 2020</w:t>
            </w:r>
          </w:p>
        </w:tc>
      </w:tr>
      <w:tr>
        <w:trPr>
          <w:trHeight w:val="301" w:hRule="atLeast"/>
        </w:trPr>
        <w:tc>
          <w:tcPr>
            <w:tcW w:w="6535" w:type="dxa"/>
            <w:gridSpan w:val="5"/>
            <w:tcBorders>
              <w:bottom w:val="double" w:sz="6" w:space="0" w:color="000000"/>
            </w:tcBorders>
          </w:tcPr>
          <w:p>
            <w:pPr>
              <w:pStyle w:val="TableParagraph"/>
              <w:spacing w:line="240" w:lineRule="auto"/>
              <w:rPr>
                <w:sz w:val="18"/>
              </w:rPr>
            </w:pPr>
            <w:r>
              <w:rPr>
                <w:sz w:val="18"/>
              </w:rPr>
              <w:t>Included</w:t>
            </w:r>
            <w:r>
              <w:rPr>
                <w:spacing w:val="-6"/>
                <w:sz w:val="18"/>
              </w:rPr>
              <w:t> </w:t>
            </w:r>
            <w:r>
              <w:rPr>
                <w:sz w:val="18"/>
              </w:rPr>
              <w:t>observations:</w:t>
            </w:r>
            <w:r>
              <w:rPr>
                <w:spacing w:val="-5"/>
                <w:sz w:val="18"/>
              </w:rPr>
              <w:t> </w:t>
            </w:r>
            <w:r>
              <w:rPr>
                <w:sz w:val="18"/>
              </w:rPr>
              <w:t>30</w:t>
            </w:r>
            <w:r>
              <w:rPr>
                <w:spacing w:val="-5"/>
                <w:sz w:val="18"/>
              </w:rPr>
              <w:t> </w:t>
            </w:r>
            <w:r>
              <w:rPr>
                <w:sz w:val="18"/>
              </w:rPr>
              <w:t>after</w:t>
            </w:r>
            <w:r>
              <w:rPr>
                <w:spacing w:val="-2"/>
                <w:sz w:val="18"/>
              </w:rPr>
              <w:t> adjustments</w:t>
            </w:r>
          </w:p>
        </w:tc>
      </w:tr>
      <w:tr>
        <w:trPr>
          <w:trHeight w:val="406"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41" w:type="dxa"/>
            <w:tcBorders>
              <w:top w:val="double" w:sz="6" w:space="0" w:color="000000"/>
              <w:bottom w:val="double" w:sz="6" w:space="0" w:color="000000"/>
            </w:tcBorders>
          </w:tcPr>
          <w:p>
            <w:pPr>
              <w:pStyle w:val="TableParagraph"/>
              <w:spacing w:line="240" w:lineRule="auto" w:before="108"/>
              <w:ind w:right="124"/>
              <w:jc w:val="right"/>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341"/>
              <w:rPr>
                <w:sz w:val="18"/>
              </w:rPr>
            </w:pPr>
            <w:r>
              <w:rPr>
                <w:spacing w:val="-2"/>
                <w:sz w:val="18"/>
              </w:rPr>
              <w:t>Prob.</w:t>
            </w:r>
          </w:p>
        </w:tc>
      </w:tr>
      <w:tr>
        <w:trPr>
          <w:trHeight w:val="326" w:hRule="atLeast"/>
        </w:trPr>
        <w:tc>
          <w:tcPr>
            <w:tcW w:w="1910" w:type="dxa"/>
            <w:tcBorders>
              <w:top w:val="double" w:sz="6" w:space="0" w:color="000000"/>
            </w:tcBorders>
          </w:tcPr>
          <w:p>
            <w:pPr>
              <w:pStyle w:val="TableParagraph"/>
              <w:spacing w:line="198" w:lineRule="exact" w:before="108"/>
              <w:ind w:left="607"/>
              <w:rPr>
                <w:sz w:val="18"/>
              </w:rPr>
            </w:pPr>
            <w:r>
              <w:rPr>
                <w:spacing w:val="-2"/>
                <w:sz w:val="18"/>
              </w:rPr>
              <w:t>RGDP(-</w:t>
            </w:r>
            <w:r>
              <w:rPr>
                <w:spacing w:val="-5"/>
                <w:sz w:val="18"/>
              </w:rPr>
              <w:t>1)</w:t>
            </w:r>
          </w:p>
        </w:tc>
        <w:tc>
          <w:tcPr>
            <w:tcW w:w="1307" w:type="dxa"/>
            <w:tcBorders>
              <w:top w:val="double" w:sz="6" w:space="0" w:color="000000"/>
            </w:tcBorders>
          </w:tcPr>
          <w:p>
            <w:pPr>
              <w:pStyle w:val="TableParagraph"/>
              <w:spacing w:line="198" w:lineRule="exact" w:before="108"/>
              <w:ind w:right="105"/>
              <w:jc w:val="right"/>
              <w:rPr>
                <w:sz w:val="18"/>
              </w:rPr>
            </w:pPr>
            <w:r>
              <w:rPr>
                <w:spacing w:val="-2"/>
                <w:sz w:val="18"/>
              </w:rPr>
              <w:t>-0.029673</w:t>
            </w:r>
          </w:p>
        </w:tc>
        <w:tc>
          <w:tcPr>
            <w:tcW w:w="1492" w:type="dxa"/>
            <w:tcBorders>
              <w:top w:val="double" w:sz="6" w:space="0" w:color="000000"/>
            </w:tcBorders>
          </w:tcPr>
          <w:p>
            <w:pPr>
              <w:pStyle w:val="TableParagraph"/>
              <w:spacing w:line="198" w:lineRule="exact" w:before="108"/>
              <w:ind w:left="349"/>
              <w:rPr>
                <w:sz w:val="18"/>
              </w:rPr>
            </w:pPr>
            <w:r>
              <w:rPr>
                <w:spacing w:val="-2"/>
                <w:sz w:val="18"/>
              </w:rPr>
              <w:t>0.012812</w:t>
            </w:r>
          </w:p>
        </w:tc>
        <w:tc>
          <w:tcPr>
            <w:tcW w:w="941" w:type="dxa"/>
            <w:tcBorders>
              <w:top w:val="double" w:sz="6" w:space="0" w:color="000000"/>
            </w:tcBorders>
          </w:tcPr>
          <w:p>
            <w:pPr>
              <w:pStyle w:val="TableParagraph"/>
              <w:spacing w:line="198" w:lineRule="exact" w:before="108"/>
              <w:ind w:right="124"/>
              <w:jc w:val="right"/>
              <w:rPr>
                <w:sz w:val="18"/>
              </w:rPr>
            </w:pPr>
            <w:r>
              <w:rPr>
                <w:spacing w:val="-2"/>
                <w:sz w:val="18"/>
              </w:rPr>
              <w:t>-2.316020</w:t>
            </w:r>
          </w:p>
        </w:tc>
        <w:tc>
          <w:tcPr>
            <w:tcW w:w="885" w:type="dxa"/>
            <w:tcBorders>
              <w:top w:val="double" w:sz="6" w:space="0" w:color="000000"/>
            </w:tcBorders>
          </w:tcPr>
          <w:p>
            <w:pPr>
              <w:pStyle w:val="TableParagraph"/>
              <w:spacing w:line="198" w:lineRule="exact" w:before="108"/>
              <w:ind w:right="10"/>
              <w:jc w:val="right"/>
              <w:rPr>
                <w:sz w:val="18"/>
              </w:rPr>
            </w:pPr>
            <w:r>
              <w:rPr>
                <w:spacing w:val="-2"/>
                <w:sz w:val="18"/>
              </w:rPr>
              <w:t>0.0294</w:t>
            </w:r>
          </w:p>
        </w:tc>
      </w:tr>
      <w:tr>
        <w:trPr>
          <w:trHeight w:val="224" w:hRule="atLeast"/>
        </w:trPr>
        <w:tc>
          <w:tcPr>
            <w:tcW w:w="1910" w:type="dxa"/>
          </w:tcPr>
          <w:p>
            <w:pPr>
              <w:pStyle w:val="TableParagraph"/>
              <w:spacing w:before="5"/>
              <w:ind w:left="482"/>
              <w:rPr>
                <w:sz w:val="18"/>
              </w:rPr>
            </w:pPr>
            <w:r>
              <w:rPr>
                <w:spacing w:val="-2"/>
                <w:sz w:val="18"/>
              </w:rPr>
              <w:t>D(RGDP(-</w:t>
            </w:r>
            <w:r>
              <w:rPr>
                <w:spacing w:val="-5"/>
                <w:sz w:val="18"/>
              </w:rPr>
              <w:t>1))</w:t>
            </w:r>
          </w:p>
        </w:tc>
        <w:tc>
          <w:tcPr>
            <w:tcW w:w="1307" w:type="dxa"/>
          </w:tcPr>
          <w:p>
            <w:pPr>
              <w:pStyle w:val="TableParagraph"/>
              <w:spacing w:before="5"/>
              <w:ind w:right="105"/>
              <w:jc w:val="right"/>
              <w:rPr>
                <w:sz w:val="18"/>
              </w:rPr>
            </w:pPr>
            <w:r>
              <w:rPr>
                <w:spacing w:val="-2"/>
                <w:sz w:val="18"/>
              </w:rPr>
              <w:t>0.723378</w:t>
            </w:r>
          </w:p>
        </w:tc>
        <w:tc>
          <w:tcPr>
            <w:tcW w:w="1492" w:type="dxa"/>
          </w:tcPr>
          <w:p>
            <w:pPr>
              <w:pStyle w:val="TableParagraph"/>
              <w:spacing w:before="5"/>
              <w:ind w:left="349"/>
              <w:rPr>
                <w:sz w:val="18"/>
              </w:rPr>
            </w:pPr>
            <w:r>
              <w:rPr>
                <w:spacing w:val="-2"/>
                <w:sz w:val="18"/>
              </w:rPr>
              <w:t>0.189182</w:t>
            </w:r>
          </w:p>
        </w:tc>
        <w:tc>
          <w:tcPr>
            <w:tcW w:w="941" w:type="dxa"/>
          </w:tcPr>
          <w:p>
            <w:pPr>
              <w:pStyle w:val="TableParagraph"/>
              <w:spacing w:before="5"/>
              <w:ind w:right="124"/>
              <w:jc w:val="right"/>
              <w:rPr>
                <w:sz w:val="18"/>
              </w:rPr>
            </w:pPr>
            <w:r>
              <w:rPr>
                <w:spacing w:val="-2"/>
                <w:sz w:val="18"/>
              </w:rPr>
              <w:t>3.823708</w:t>
            </w:r>
          </w:p>
        </w:tc>
        <w:tc>
          <w:tcPr>
            <w:tcW w:w="885" w:type="dxa"/>
          </w:tcPr>
          <w:p>
            <w:pPr>
              <w:pStyle w:val="TableParagraph"/>
              <w:spacing w:before="5"/>
              <w:ind w:right="10"/>
              <w:jc w:val="right"/>
              <w:rPr>
                <w:sz w:val="18"/>
              </w:rPr>
            </w:pPr>
            <w:r>
              <w:rPr>
                <w:spacing w:val="-2"/>
                <w:sz w:val="18"/>
              </w:rPr>
              <w:t>0.0008</w:t>
            </w:r>
          </w:p>
        </w:tc>
      </w:tr>
      <w:tr>
        <w:trPr>
          <w:trHeight w:val="225" w:hRule="atLeast"/>
        </w:trPr>
        <w:tc>
          <w:tcPr>
            <w:tcW w:w="1910" w:type="dxa"/>
          </w:tcPr>
          <w:p>
            <w:pPr>
              <w:pStyle w:val="TableParagraph"/>
              <w:ind w:left="482"/>
              <w:rPr>
                <w:sz w:val="18"/>
              </w:rPr>
            </w:pPr>
            <w:r>
              <w:rPr>
                <w:spacing w:val="-2"/>
                <w:sz w:val="18"/>
              </w:rPr>
              <w:t>D(RGDP(-</w:t>
            </w:r>
            <w:r>
              <w:rPr>
                <w:spacing w:val="-5"/>
                <w:sz w:val="18"/>
              </w:rPr>
              <w:t>2))</w:t>
            </w:r>
          </w:p>
        </w:tc>
        <w:tc>
          <w:tcPr>
            <w:tcW w:w="1307" w:type="dxa"/>
          </w:tcPr>
          <w:p>
            <w:pPr>
              <w:pStyle w:val="TableParagraph"/>
              <w:ind w:right="105"/>
              <w:jc w:val="right"/>
              <w:rPr>
                <w:sz w:val="18"/>
              </w:rPr>
            </w:pPr>
            <w:r>
              <w:rPr>
                <w:spacing w:val="-2"/>
                <w:sz w:val="18"/>
              </w:rPr>
              <w:t>-0.079894</w:t>
            </w:r>
          </w:p>
        </w:tc>
        <w:tc>
          <w:tcPr>
            <w:tcW w:w="1492" w:type="dxa"/>
          </w:tcPr>
          <w:p>
            <w:pPr>
              <w:pStyle w:val="TableParagraph"/>
              <w:ind w:left="349"/>
              <w:rPr>
                <w:sz w:val="18"/>
              </w:rPr>
            </w:pPr>
            <w:r>
              <w:rPr>
                <w:spacing w:val="-2"/>
                <w:sz w:val="18"/>
              </w:rPr>
              <w:t>0.235814</w:t>
            </w:r>
          </w:p>
        </w:tc>
        <w:tc>
          <w:tcPr>
            <w:tcW w:w="941" w:type="dxa"/>
          </w:tcPr>
          <w:p>
            <w:pPr>
              <w:pStyle w:val="TableParagraph"/>
              <w:ind w:right="124"/>
              <w:jc w:val="right"/>
              <w:rPr>
                <w:sz w:val="18"/>
              </w:rPr>
            </w:pPr>
            <w:r>
              <w:rPr>
                <w:spacing w:val="-2"/>
                <w:sz w:val="18"/>
              </w:rPr>
              <w:t>-0.338799</w:t>
            </w:r>
          </w:p>
        </w:tc>
        <w:tc>
          <w:tcPr>
            <w:tcW w:w="885" w:type="dxa"/>
          </w:tcPr>
          <w:p>
            <w:pPr>
              <w:pStyle w:val="TableParagraph"/>
              <w:ind w:right="10"/>
              <w:jc w:val="right"/>
              <w:rPr>
                <w:sz w:val="18"/>
              </w:rPr>
            </w:pPr>
            <w:r>
              <w:rPr>
                <w:spacing w:val="-2"/>
                <w:sz w:val="18"/>
              </w:rPr>
              <w:t>0.7377</w:t>
            </w:r>
          </w:p>
        </w:tc>
      </w:tr>
      <w:tr>
        <w:trPr>
          <w:trHeight w:val="225" w:hRule="atLeast"/>
        </w:trPr>
        <w:tc>
          <w:tcPr>
            <w:tcW w:w="1910" w:type="dxa"/>
          </w:tcPr>
          <w:p>
            <w:pPr>
              <w:pStyle w:val="TableParagraph"/>
              <w:ind w:left="482"/>
              <w:rPr>
                <w:sz w:val="18"/>
              </w:rPr>
            </w:pPr>
            <w:r>
              <w:rPr>
                <w:spacing w:val="-2"/>
                <w:sz w:val="18"/>
              </w:rPr>
              <w:t>D(RGDP(-</w:t>
            </w:r>
            <w:r>
              <w:rPr>
                <w:spacing w:val="-5"/>
                <w:sz w:val="18"/>
              </w:rPr>
              <w:t>3))</w:t>
            </w:r>
          </w:p>
        </w:tc>
        <w:tc>
          <w:tcPr>
            <w:tcW w:w="1307" w:type="dxa"/>
          </w:tcPr>
          <w:p>
            <w:pPr>
              <w:pStyle w:val="TableParagraph"/>
              <w:ind w:right="105"/>
              <w:jc w:val="right"/>
              <w:rPr>
                <w:sz w:val="18"/>
              </w:rPr>
            </w:pPr>
            <w:r>
              <w:rPr>
                <w:spacing w:val="-2"/>
                <w:sz w:val="18"/>
              </w:rPr>
              <w:t>-0.094841</w:t>
            </w:r>
          </w:p>
        </w:tc>
        <w:tc>
          <w:tcPr>
            <w:tcW w:w="1492" w:type="dxa"/>
          </w:tcPr>
          <w:p>
            <w:pPr>
              <w:pStyle w:val="TableParagraph"/>
              <w:ind w:left="349"/>
              <w:rPr>
                <w:sz w:val="18"/>
              </w:rPr>
            </w:pPr>
            <w:r>
              <w:rPr>
                <w:spacing w:val="-2"/>
                <w:sz w:val="18"/>
              </w:rPr>
              <w:t>0.234594</w:t>
            </w:r>
          </w:p>
        </w:tc>
        <w:tc>
          <w:tcPr>
            <w:tcW w:w="941" w:type="dxa"/>
          </w:tcPr>
          <w:p>
            <w:pPr>
              <w:pStyle w:val="TableParagraph"/>
              <w:ind w:right="124"/>
              <w:jc w:val="right"/>
              <w:rPr>
                <w:sz w:val="18"/>
              </w:rPr>
            </w:pPr>
            <w:r>
              <w:rPr>
                <w:spacing w:val="-2"/>
                <w:sz w:val="18"/>
              </w:rPr>
              <w:t>-0.404278</w:t>
            </w:r>
          </w:p>
        </w:tc>
        <w:tc>
          <w:tcPr>
            <w:tcW w:w="885" w:type="dxa"/>
          </w:tcPr>
          <w:p>
            <w:pPr>
              <w:pStyle w:val="TableParagraph"/>
              <w:ind w:right="10"/>
              <w:jc w:val="right"/>
              <w:rPr>
                <w:sz w:val="18"/>
              </w:rPr>
            </w:pPr>
            <w:r>
              <w:rPr>
                <w:spacing w:val="-2"/>
                <w:sz w:val="18"/>
              </w:rPr>
              <w:t>0.6896</w:t>
            </w:r>
          </w:p>
        </w:tc>
      </w:tr>
      <w:tr>
        <w:trPr>
          <w:trHeight w:val="224" w:hRule="atLeast"/>
        </w:trPr>
        <w:tc>
          <w:tcPr>
            <w:tcW w:w="1910" w:type="dxa"/>
          </w:tcPr>
          <w:p>
            <w:pPr>
              <w:pStyle w:val="TableParagraph"/>
              <w:spacing w:line="198" w:lineRule="exact"/>
              <w:ind w:left="482"/>
              <w:rPr>
                <w:sz w:val="18"/>
              </w:rPr>
            </w:pPr>
            <w:r>
              <w:rPr>
                <w:spacing w:val="-2"/>
                <w:sz w:val="18"/>
              </w:rPr>
              <w:t>D(RGDP(-</w:t>
            </w:r>
            <w:r>
              <w:rPr>
                <w:spacing w:val="-5"/>
                <w:sz w:val="18"/>
              </w:rPr>
              <w:t>4))</w:t>
            </w:r>
          </w:p>
        </w:tc>
        <w:tc>
          <w:tcPr>
            <w:tcW w:w="1307" w:type="dxa"/>
          </w:tcPr>
          <w:p>
            <w:pPr>
              <w:pStyle w:val="TableParagraph"/>
              <w:spacing w:line="198" w:lineRule="exact"/>
              <w:ind w:right="105"/>
              <w:jc w:val="right"/>
              <w:rPr>
                <w:sz w:val="18"/>
              </w:rPr>
            </w:pPr>
            <w:r>
              <w:rPr>
                <w:spacing w:val="-2"/>
                <w:sz w:val="18"/>
              </w:rPr>
              <w:t>0.621892</w:t>
            </w:r>
          </w:p>
        </w:tc>
        <w:tc>
          <w:tcPr>
            <w:tcW w:w="1492" w:type="dxa"/>
          </w:tcPr>
          <w:p>
            <w:pPr>
              <w:pStyle w:val="TableParagraph"/>
              <w:spacing w:line="198" w:lineRule="exact"/>
              <w:ind w:left="349"/>
              <w:rPr>
                <w:sz w:val="18"/>
              </w:rPr>
            </w:pPr>
            <w:r>
              <w:rPr>
                <w:spacing w:val="-2"/>
                <w:sz w:val="18"/>
              </w:rPr>
              <w:t>0.205689</w:t>
            </w:r>
          </w:p>
        </w:tc>
        <w:tc>
          <w:tcPr>
            <w:tcW w:w="941" w:type="dxa"/>
          </w:tcPr>
          <w:p>
            <w:pPr>
              <w:pStyle w:val="TableParagraph"/>
              <w:spacing w:line="198" w:lineRule="exact"/>
              <w:ind w:right="124"/>
              <w:jc w:val="right"/>
              <w:rPr>
                <w:sz w:val="18"/>
              </w:rPr>
            </w:pPr>
            <w:r>
              <w:rPr>
                <w:spacing w:val="-2"/>
                <w:sz w:val="18"/>
              </w:rPr>
              <w:t>3.023456</w:t>
            </w:r>
          </w:p>
        </w:tc>
        <w:tc>
          <w:tcPr>
            <w:tcW w:w="885" w:type="dxa"/>
          </w:tcPr>
          <w:p>
            <w:pPr>
              <w:pStyle w:val="TableParagraph"/>
              <w:spacing w:line="198" w:lineRule="exact"/>
              <w:ind w:right="10"/>
              <w:jc w:val="right"/>
              <w:rPr>
                <w:sz w:val="18"/>
              </w:rPr>
            </w:pPr>
            <w:r>
              <w:rPr>
                <w:spacing w:val="-2"/>
                <w:sz w:val="18"/>
              </w:rPr>
              <w:t>0.0059</w:t>
            </w:r>
          </w:p>
        </w:tc>
      </w:tr>
      <w:tr>
        <w:trPr>
          <w:trHeight w:val="302" w:hRule="atLeast"/>
        </w:trPr>
        <w:tc>
          <w:tcPr>
            <w:tcW w:w="1910" w:type="dxa"/>
            <w:tcBorders>
              <w:bottom w:val="double" w:sz="6" w:space="0" w:color="000000"/>
            </w:tcBorders>
          </w:tcPr>
          <w:p>
            <w:pPr>
              <w:pStyle w:val="TableParagraph"/>
              <w:spacing w:line="240" w:lineRule="auto" w:before="5"/>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before="5"/>
              <w:ind w:right="105"/>
              <w:jc w:val="right"/>
              <w:rPr>
                <w:sz w:val="18"/>
              </w:rPr>
            </w:pPr>
            <w:r>
              <w:rPr>
                <w:spacing w:val="-2"/>
                <w:sz w:val="18"/>
              </w:rPr>
              <w:t>807.5572</w:t>
            </w:r>
          </w:p>
        </w:tc>
        <w:tc>
          <w:tcPr>
            <w:tcW w:w="1492" w:type="dxa"/>
            <w:tcBorders>
              <w:bottom w:val="double" w:sz="6" w:space="0" w:color="000000"/>
            </w:tcBorders>
          </w:tcPr>
          <w:p>
            <w:pPr>
              <w:pStyle w:val="TableParagraph"/>
              <w:spacing w:line="240" w:lineRule="auto" w:before="5"/>
              <w:ind w:left="349"/>
              <w:rPr>
                <w:sz w:val="18"/>
              </w:rPr>
            </w:pPr>
            <w:r>
              <w:rPr>
                <w:spacing w:val="-2"/>
                <w:sz w:val="18"/>
              </w:rPr>
              <w:t>463.9619</w:t>
            </w:r>
          </w:p>
        </w:tc>
        <w:tc>
          <w:tcPr>
            <w:tcW w:w="941" w:type="dxa"/>
            <w:tcBorders>
              <w:bottom w:val="double" w:sz="6" w:space="0" w:color="000000"/>
            </w:tcBorders>
          </w:tcPr>
          <w:p>
            <w:pPr>
              <w:pStyle w:val="TableParagraph"/>
              <w:spacing w:line="240" w:lineRule="auto" w:before="5"/>
              <w:ind w:right="124"/>
              <w:jc w:val="right"/>
              <w:rPr>
                <w:sz w:val="18"/>
              </w:rPr>
            </w:pPr>
            <w:r>
              <w:rPr>
                <w:spacing w:val="-2"/>
                <w:sz w:val="18"/>
              </w:rPr>
              <w:t>1.740568</w:t>
            </w:r>
          </w:p>
        </w:tc>
        <w:tc>
          <w:tcPr>
            <w:tcW w:w="885" w:type="dxa"/>
            <w:tcBorders>
              <w:bottom w:val="double" w:sz="6" w:space="0" w:color="000000"/>
            </w:tcBorders>
          </w:tcPr>
          <w:p>
            <w:pPr>
              <w:pStyle w:val="TableParagraph"/>
              <w:spacing w:line="240" w:lineRule="auto" w:before="5"/>
              <w:ind w:right="10"/>
              <w:jc w:val="right"/>
              <w:rPr>
                <w:sz w:val="18"/>
              </w:rPr>
            </w:pPr>
            <w:r>
              <w:rPr>
                <w:spacing w:val="-2"/>
                <w:sz w:val="18"/>
              </w:rPr>
              <w:t>0.0946</w:t>
            </w:r>
          </w:p>
        </w:tc>
      </w:tr>
      <w:tr>
        <w:trPr>
          <w:trHeight w:val="327" w:hRule="atLeast"/>
        </w:trPr>
        <w:tc>
          <w:tcPr>
            <w:tcW w:w="1910" w:type="dxa"/>
            <w:tcBorders>
              <w:top w:val="double" w:sz="6" w:space="0" w:color="000000"/>
            </w:tcBorders>
          </w:tcPr>
          <w:p>
            <w:pPr>
              <w:pStyle w:val="TableParagraph"/>
              <w:spacing w:before="108"/>
              <w:rPr>
                <w:sz w:val="18"/>
              </w:rPr>
            </w:pPr>
            <w:r>
              <w:rPr>
                <w:spacing w:val="-2"/>
                <w:sz w:val="18"/>
              </w:rPr>
              <w:t>R-squared</w:t>
            </w:r>
          </w:p>
        </w:tc>
        <w:tc>
          <w:tcPr>
            <w:tcW w:w="1307" w:type="dxa"/>
            <w:tcBorders>
              <w:top w:val="double" w:sz="6" w:space="0" w:color="000000"/>
            </w:tcBorders>
          </w:tcPr>
          <w:p>
            <w:pPr>
              <w:pStyle w:val="TableParagraph"/>
              <w:spacing w:before="108"/>
              <w:ind w:right="105"/>
              <w:jc w:val="right"/>
              <w:rPr>
                <w:sz w:val="18"/>
              </w:rPr>
            </w:pPr>
            <w:r>
              <w:rPr>
                <w:spacing w:val="-2"/>
                <w:sz w:val="18"/>
              </w:rPr>
              <w:t>0.631345</w:t>
            </w:r>
          </w:p>
        </w:tc>
        <w:tc>
          <w:tcPr>
            <w:tcW w:w="2433" w:type="dxa"/>
            <w:gridSpan w:val="2"/>
            <w:tcBorders>
              <w:top w:val="double" w:sz="6" w:space="0" w:color="000000"/>
            </w:tcBorders>
          </w:tcPr>
          <w:p>
            <w:pPr>
              <w:pStyle w:val="TableParagraph"/>
              <w:spacing w:before="108"/>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885" w:type="dxa"/>
            <w:tcBorders>
              <w:top w:val="double" w:sz="6" w:space="0" w:color="000000"/>
            </w:tcBorders>
          </w:tcPr>
          <w:p>
            <w:pPr>
              <w:pStyle w:val="TableParagraph"/>
              <w:spacing w:before="108"/>
              <w:ind w:right="10"/>
              <w:jc w:val="right"/>
              <w:rPr>
                <w:sz w:val="18"/>
              </w:rPr>
            </w:pPr>
            <w:r>
              <w:rPr>
                <w:spacing w:val="-2"/>
                <w:sz w:val="18"/>
              </w:rPr>
              <w:t>1690.291</w:t>
            </w:r>
          </w:p>
        </w:tc>
      </w:tr>
      <w:tr>
        <w:trPr>
          <w:trHeight w:val="224" w:hRule="atLeast"/>
        </w:trPr>
        <w:tc>
          <w:tcPr>
            <w:tcW w:w="1910" w:type="dxa"/>
          </w:tcPr>
          <w:p>
            <w:pPr>
              <w:pStyle w:val="TableParagraph"/>
              <w:spacing w:line="198" w:lineRule="exact"/>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spacing w:line="198" w:lineRule="exact"/>
              <w:ind w:right="105"/>
              <w:jc w:val="right"/>
              <w:rPr>
                <w:sz w:val="18"/>
              </w:rPr>
            </w:pPr>
            <w:r>
              <w:rPr>
                <w:spacing w:val="-2"/>
                <w:sz w:val="18"/>
              </w:rPr>
              <w:t>0.554542</w:t>
            </w:r>
          </w:p>
        </w:tc>
        <w:tc>
          <w:tcPr>
            <w:tcW w:w="2433" w:type="dxa"/>
            <w:gridSpan w:val="2"/>
          </w:tcPr>
          <w:p>
            <w:pPr>
              <w:pStyle w:val="TableParagraph"/>
              <w:spacing w:line="198" w:lineRule="exact"/>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885" w:type="dxa"/>
          </w:tcPr>
          <w:p>
            <w:pPr>
              <w:pStyle w:val="TableParagraph"/>
              <w:spacing w:line="198" w:lineRule="exact"/>
              <w:ind w:right="10"/>
              <w:jc w:val="right"/>
              <w:rPr>
                <w:sz w:val="18"/>
              </w:rPr>
            </w:pPr>
            <w:r>
              <w:rPr>
                <w:spacing w:val="-2"/>
                <w:sz w:val="18"/>
              </w:rPr>
              <w:t>1576.739</w:t>
            </w:r>
          </w:p>
        </w:tc>
      </w:tr>
      <w:tr>
        <w:trPr>
          <w:trHeight w:val="224" w:hRule="atLeast"/>
        </w:trPr>
        <w:tc>
          <w:tcPr>
            <w:tcW w:w="1910" w:type="dxa"/>
          </w:tcPr>
          <w:p>
            <w:pPr>
              <w:pStyle w:val="TableParagraph"/>
              <w:spacing w:before="5"/>
              <w:rPr>
                <w:sz w:val="18"/>
              </w:rPr>
            </w:pPr>
            <w:r>
              <w:rPr>
                <w:sz w:val="18"/>
              </w:rPr>
              <w:t>S.E.</w:t>
            </w:r>
            <w:r>
              <w:rPr>
                <w:spacing w:val="-2"/>
                <w:sz w:val="18"/>
              </w:rPr>
              <w:t> </w:t>
            </w:r>
            <w:r>
              <w:rPr>
                <w:sz w:val="18"/>
              </w:rPr>
              <w:t>of </w:t>
            </w:r>
            <w:r>
              <w:rPr>
                <w:spacing w:val="-2"/>
                <w:sz w:val="18"/>
              </w:rPr>
              <w:t>regression</w:t>
            </w:r>
          </w:p>
        </w:tc>
        <w:tc>
          <w:tcPr>
            <w:tcW w:w="1307" w:type="dxa"/>
          </w:tcPr>
          <w:p>
            <w:pPr>
              <w:pStyle w:val="TableParagraph"/>
              <w:spacing w:before="5"/>
              <w:ind w:right="105"/>
              <w:jc w:val="right"/>
              <w:rPr>
                <w:sz w:val="18"/>
              </w:rPr>
            </w:pPr>
            <w:r>
              <w:rPr>
                <w:spacing w:val="-2"/>
                <w:sz w:val="18"/>
              </w:rPr>
              <w:t>1052.358</w:t>
            </w:r>
          </w:p>
        </w:tc>
        <w:tc>
          <w:tcPr>
            <w:tcW w:w="2433" w:type="dxa"/>
            <w:gridSpan w:val="2"/>
          </w:tcPr>
          <w:p>
            <w:pPr>
              <w:pStyle w:val="TableParagraph"/>
              <w:spacing w:before="5"/>
              <w:ind w:left="105"/>
              <w:rPr>
                <w:sz w:val="18"/>
              </w:rPr>
            </w:pPr>
            <w:r>
              <w:rPr>
                <w:sz w:val="18"/>
              </w:rPr>
              <w:t>Akaike</w:t>
            </w:r>
            <w:r>
              <w:rPr>
                <w:spacing w:val="-3"/>
                <w:sz w:val="18"/>
              </w:rPr>
              <w:t> </w:t>
            </w:r>
            <w:r>
              <w:rPr>
                <w:sz w:val="18"/>
              </w:rPr>
              <w:t>info</w:t>
            </w:r>
            <w:r>
              <w:rPr>
                <w:spacing w:val="-2"/>
                <w:sz w:val="18"/>
              </w:rPr>
              <w:t> criterion</w:t>
            </w:r>
          </w:p>
        </w:tc>
        <w:tc>
          <w:tcPr>
            <w:tcW w:w="885" w:type="dxa"/>
          </w:tcPr>
          <w:p>
            <w:pPr>
              <w:pStyle w:val="TableParagraph"/>
              <w:spacing w:before="5"/>
              <w:ind w:right="10"/>
              <w:jc w:val="right"/>
              <w:rPr>
                <w:sz w:val="18"/>
              </w:rPr>
            </w:pPr>
            <w:r>
              <w:rPr>
                <w:spacing w:val="-2"/>
                <w:sz w:val="18"/>
              </w:rPr>
              <w:t>16.93231</w:t>
            </w:r>
          </w:p>
        </w:tc>
      </w:tr>
      <w:tr>
        <w:trPr>
          <w:trHeight w:val="225" w:hRule="atLeast"/>
        </w:trPr>
        <w:tc>
          <w:tcPr>
            <w:tcW w:w="1910"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307" w:type="dxa"/>
          </w:tcPr>
          <w:p>
            <w:pPr>
              <w:pStyle w:val="TableParagraph"/>
              <w:ind w:right="106"/>
              <w:jc w:val="right"/>
              <w:rPr>
                <w:sz w:val="18"/>
              </w:rPr>
            </w:pPr>
            <w:r>
              <w:rPr>
                <w:spacing w:val="-2"/>
                <w:sz w:val="18"/>
              </w:rPr>
              <w:t>26578952</w:t>
            </w:r>
          </w:p>
        </w:tc>
        <w:tc>
          <w:tcPr>
            <w:tcW w:w="1492" w:type="dxa"/>
          </w:tcPr>
          <w:p>
            <w:pPr>
              <w:pStyle w:val="TableParagraph"/>
              <w:ind w:left="105"/>
              <w:rPr>
                <w:sz w:val="18"/>
              </w:rPr>
            </w:pPr>
            <w:r>
              <w:rPr>
                <w:sz w:val="18"/>
              </w:rPr>
              <w:t>Schwarz</w:t>
            </w:r>
            <w:r>
              <w:rPr>
                <w:spacing w:val="-4"/>
                <w:sz w:val="18"/>
              </w:rPr>
              <w:t> </w:t>
            </w:r>
            <w:r>
              <w:rPr>
                <w:spacing w:val="-2"/>
                <w:sz w:val="18"/>
              </w:rPr>
              <w:t>criterion</w:t>
            </w:r>
          </w:p>
        </w:tc>
        <w:tc>
          <w:tcPr>
            <w:tcW w:w="941" w:type="dxa"/>
          </w:tcPr>
          <w:p>
            <w:pPr>
              <w:pStyle w:val="TableParagraph"/>
              <w:spacing w:line="240" w:lineRule="auto" w:before="0"/>
              <w:rPr>
                <w:rFonts w:ascii="Times New Roman"/>
                <w:sz w:val="16"/>
              </w:rPr>
            </w:pPr>
          </w:p>
        </w:tc>
        <w:tc>
          <w:tcPr>
            <w:tcW w:w="885" w:type="dxa"/>
          </w:tcPr>
          <w:p>
            <w:pPr>
              <w:pStyle w:val="TableParagraph"/>
              <w:ind w:right="10"/>
              <w:jc w:val="right"/>
              <w:rPr>
                <w:sz w:val="18"/>
              </w:rPr>
            </w:pPr>
            <w:r>
              <w:rPr>
                <w:spacing w:val="-2"/>
                <w:sz w:val="18"/>
              </w:rPr>
              <w:t>17.21255</w:t>
            </w:r>
          </w:p>
        </w:tc>
      </w:tr>
      <w:tr>
        <w:trPr>
          <w:trHeight w:val="225" w:hRule="atLeast"/>
        </w:trPr>
        <w:tc>
          <w:tcPr>
            <w:tcW w:w="1910" w:type="dxa"/>
          </w:tcPr>
          <w:p>
            <w:pPr>
              <w:pStyle w:val="TableParagraph"/>
              <w:rPr>
                <w:sz w:val="18"/>
              </w:rPr>
            </w:pPr>
            <w:r>
              <w:rPr>
                <w:sz w:val="18"/>
              </w:rPr>
              <w:t>Log</w:t>
            </w:r>
            <w:r>
              <w:rPr>
                <w:spacing w:val="-3"/>
                <w:sz w:val="18"/>
              </w:rPr>
              <w:t> </w:t>
            </w:r>
            <w:r>
              <w:rPr>
                <w:spacing w:val="-2"/>
                <w:sz w:val="18"/>
              </w:rPr>
              <w:t>likelihood</w:t>
            </w:r>
          </w:p>
        </w:tc>
        <w:tc>
          <w:tcPr>
            <w:tcW w:w="1307" w:type="dxa"/>
          </w:tcPr>
          <w:p>
            <w:pPr>
              <w:pStyle w:val="TableParagraph"/>
              <w:ind w:right="105"/>
              <w:jc w:val="right"/>
              <w:rPr>
                <w:sz w:val="18"/>
              </w:rPr>
            </w:pPr>
            <w:r>
              <w:rPr>
                <w:spacing w:val="-2"/>
                <w:sz w:val="18"/>
              </w:rPr>
              <w:t>-247.9846</w:t>
            </w:r>
          </w:p>
        </w:tc>
        <w:tc>
          <w:tcPr>
            <w:tcW w:w="2433" w:type="dxa"/>
            <w:gridSpan w:val="2"/>
          </w:tcPr>
          <w:p>
            <w:pPr>
              <w:pStyle w:val="TableParagraph"/>
              <w:ind w:left="105"/>
              <w:rPr>
                <w:sz w:val="18"/>
              </w:rPr>
            </w:pPr>
            <w:r>
              <w:rPr>
                <w:spacing w:val="-2"/>
                <w:sz w:val="18"/>
              </w:rPr>
              <w:t>Hannan-Quinn</w:t>
            </w:r>
            <w:r>
              <w:rPr>
                <w:spacing w:val="11"/>
                <w:sz w:val="18"/>
              </w:rPr>
              <w:t> </w:t>
            </w:r>
            <w:r>
              <w:rPr>
                <w:spacing w:val="-2"/>
                <w:sz w:val="18"/>
              </w:rPr>
              <w:t>criter.</w:t>
            </w:r>
          </w:p>
        </w:tc>
        <w:tc>
          <w:tcPr>
            <w:tcW w:w="885" w:type="dxa"/>
          </w:tcPr>
          <w:p>
            <w:pPr>
              <w:pStyle w:val="TableParagraph"/>
              <w:ind w:right="10"/>
              <w:jc w:val="right"/>
              <w:rPr>
                <w:sz w:val="18"/>
              </w:rPr>
            </w:pPr>
            <w:r>
              <w:rPr>
                <w:spacing w:val="-2"/>
                <w:sz w:val="18"/>
              </w:rPr>
              <w:t>17.02196</w:t>
            </w:r>
          </w:p>
        </w:tc>
      </w:tr>
      <w:tr>
        <w:trPr>
          <w:trHeight w:val="224" w:hRule="atLeast"/>
        </w:trPr>
        <w:tc>
          <w:tcPr>
            <w:tcW w:w="1910" w:type="dxa"/>
          </w:tcPr>
          <w:p>
            <w:pPr>
              <w:pStyle w:val="TableParagraph"/>
              <w:spacing w:line="198" w:lineRule="exact"/>
              <w:rPr>
                <w:sz w:val="18"/>
              </w:rPr>
            </w:pPr>
            <w:r>
              <w:rPr>
                <w:spacing w:val="-2"/>
                <w:sz w:val="18"/>
              </w:rPr>
              <w:t>F-statistic</w:t>
            </w:r>
          </w:p>
        </w:tc>
        <w:tc>
          <w:tcPr>
            <w:tcW w:w="1307" w:type="dxa"/>
          </w:tcPr>
          <w:p>
            <w:pPr>
              <w:pStyle w:val="TableParagraph"/>
              <w:spacing w:line="198" w:lineRule="exact"/>
              <w:ind w:right="105"/>
              <w:jc w:val="right"/>
              <w:rPr>
                <w:sz w:val="18"/>
              </w:rPr>
            </w:pPr>
            <w:r>
              <w:rPr>
                <w:spacing w:val="-2"/>
                <w:sz w:val="18"/>
              </w:rPr>
              <w:t>8.220300</w:t>
            </w:r>
          </w:p>
        </w:tc>
        <w:tc>
          <w:tcPr>
            <w:tcW w:w="2433" w:type="dxa"/>
            <w:gridSpan w:val="2"/>
          </w:tcPr>
          <w:p>
            <w:pPr>
              <w:pStyle w:val="TableParagraph"/>
              <w:spacing w:line="198" w:lineRule="exact"/>
              <w:ind w:left="105"/>
              <w:rPr>
                <w:sz w:val="18"/>
              </w:rPr>
            </w:pPr>
            <w:r>
              <w:rPr>
                <w:spacing w:val="-2"/>
                <w:sz w:val="18"/>
              </w:rPr>
              <w:t>Durbin-Watson</w:t>
            </w:r>
            <w:r>
              <w:rPr>
                <w:spacing w:val="13"/>
                <w:sz w:val="18"/>
              </w:rPr>
              <w:t> </w:t>
            </w:r>
            <w:r>
              <w:rPr>
                <w:spacing w:val="-4"/>
                <w:sz w:val="18"/>
              </w:rPr>
              <w:t>stat</w:t>
            </w:r>
          </w:p>
        </w:tc>
        <w:tc>
          <w:tcPr>
            <w:tcW w:w="885" w:type="dxa"/>
          </w:tcPr>
          <w:p>
            <w:pPr>
              <w:pStyle w:val="TableParagraph"/>
              <w:spacing w:line="198" w:lineRule="exact"/>
              <w:ind w:right="10"/>
              <w:jc w:val="right"/>
              <w:rPr>
                <w:sz w:val="18"/>
              </w:rPr>
            </w:pPr>
            <w:r>
              <w:rPr>
                <w:spacing w:val="-2"/>
                <w:sz w:val="18"/>
              </w:rPr>
              <w:t>1.770783</w:t>
            </w:r>
          </w:p>
        </w:tc>
      </w:tr>
      <w:tr>
        <w:trPr>
          <w:trHeight w:val="302" w:hRule="atLeast"/>
        </w:trPr>
        <w:tc>
          <w:tcPr>
            <w:tcW w:w="1910" w:type="dxa"/>
            <w:tcBorders>
              <w:bottom w:val="double" w:sz="6" w:space="0" w:color="000000"/>
            </w:tcBorders>
          </w:tcPr>
          <w:p>
            <w:pPr>
              <w:pStyle w:val="TableParagraph"/>
              <w:spacing w:line="240" w:lineRule="auto" w:before="5"/>
              <w:rPr>
                <w:sz w:val="18"/>
              </w:rPr>
            </w:pPr>
            <w:r>
              <w:rPr>
                <w:spacing w:val="-2"/>
                <w:sz w:val="18"/>
              </w:rPr>
              <w:t>Prob(F-statistic)</w:t>
            </w:r>
          </w:p>
        </w:tc>
        <w:tc>
          <w:tcPr>
            <w:tcW w:w="1307" w:type="dxa"/>
            <w:tcBorders>
              <w:bottom w:val="double" w:sz="6" w:space="0" w:color="000000"/>
            </w:tcBorders>
          </w:tcPr>
          <w:p>
            <w:pPr>
              <w:pStyle w:val="TableParagraph"/>
              <w:spacing w:line="240" w:lineRule="auto" w:before="5"/>
              <w:ind w:right="105"/>
              <w:jc w:val="right"/>
              <w:rPr>
                <w:sz w:val="18"/>
              </w:rPr>
            </w:pPr>
            <w:r>
              <w:rPr>
                <w:spacing w:val="-2"/>
                <w:sz w:val="18"/>
              </w:rPr>
              <w:t>0.000123</w:t>
            </w:r>
          </w:p>
        </w:tc>
        <w:tc>
          <w:tcPr>
            <w:tcW w:w="2433" w:type="dxa"/>
            <w:gridSpan w:val="2"/>
            <w:tcBorders>
              <w:bottom w:val="double" w:sz="6" w:space="0" w:color="000000"/>
            </w:tcBorders>
          </w:tcPr>
          <w:p>
            <w:pPr>
              <w:pStyle w:val="TableParagraph"/>
              <w:spacing w:line="240" w:lineRule="auto" w:before="0"/>
              <w:rPr>
                <w:rFonts w:ascii="Times New Roman"/>
                <w:sz w:val="18"/>
              </w:rPr>
            </w:pPr>
          </w:p>
        </w:tc>
        <w:tc>
          <w:tcPr>
            <w:tcW w:w="885" w:type="dxa"/>
            <w:tcBorders>
              <w:bottom w:val="double" w:sz="6" w:space="0" w:color="000000"/>
            </w:tcBorders>
          </w:tcPr>
          <w:p>
            <w:pPr>
              <w:pStyle w:val="TableParagraph"/>
              <w:spacing w:line="240" w:lineRule="auto" w:before="0"/>
              <w:rPr>
                <w:rFonts w:ascii="Times New Roman"/>
                <w:sz w:val="18"/>
              </w:rPr>
            </w:pPr>
          </w:p>
        </w:tc>
      </w:tr>
    </w:tbl>
    <w:p>
      <w:pPr>
        <w:spacing w:after="0" w:line="240" w:lineRule="auto"/>
        <w:rPr>
          <w:rFonts w:ascii="Times New Roman"/>
          <w:sz w:val="18"/>
        </w:rPr>
        <w:sectPr>
          <w:footerReference w:type="default" r:id="rId13"/>
          <w:pgSz w:w="12240" w:h="15840"/>
          <w:pgMar w:header="0" w:footer="1012" w:top="138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492"/>
        <w:gridCol w:w="911"/>
        <w:gridCol w:w="915"/>
      </w:tblGrid>
      <w:tr>
        <w:trPr>
          <w:trHeight w:val="213" w:hRule="atLeast"/>
        </w:trPr>
        <w:tc>
          <w:tcPr>
            <w:tcW w:w="6535" w:type="dxa"/>
            <w:gridSpan w:val="5"/>
          </w:tcPr>
          <w:p>
            <w:pPr>
              <w:pStyle w:val="TableParagraph"/>
              <w:spacing w:line="193" w:lineRule="exact" w:before="0"/>
              <w:rPr>
                <w:sz w:val="18"/>
              </w:rPr>
            </w:pPr>
            <w:r>
              <w:rPr>
                <w:sz w:val="18"/>
              </w:rPr>
              <w:t>Null</w:t>
            </w:r>
            <w:r>
              <w:rPr>
                <w:spacing w:val="-4"/>
                <w:sz w:val="18"/>
              </w:rPr>
              <w:t> </w:t>
            </w:r>
            <w:r>
              <w:rPr>
                <w:sz w:val="18"/>
              </w:rPr>
              <w:t>Hypothesis:</w:t>
            </w:r>
            <w:r>
              <w:rPr>
                <w:spacing w:val="-4"/>
                <w:sz w:val="18"/>
              </w:rPr>
              <w:t> </w:t>
            </w:r>
            <w:r>
              <w:rPr>
                <w:sz w:val="18"/>
              </w:rPr>
              <w:t>D(RGDP)</w:t>
            </w:r>
            <w:r>
              <w:rPr>
                <w:spacing w:val="-4"/>
                <w:sz w:val="18"/>
              </w:rPr>
              <w:t> </w:t>
            </w:r>
            <w:r>
              <w:rPr>
                <w:sz w:val="18"/>
              </w:rPr>
              <w:t>has</w:t>
            </w:r>
            <w:r>
              <w:rPr>
                <w:spacing w:val="-3"/>
                <w:sz w:val="18"/>
              </w:rPr>
              <w:t> </w:t>
            </w:r>
            <w:r>
              <w:rPr>
                <w:sz w:val="18"/>
              </w:rPr>
              <w:t>a</w:t>
            </w:r>
            <w:r>
              <w:rPr>
                <w:spacing w:val="-4"/>
                <w:sz w:val="18"/>
              </w:rPr>
              <w:t> </w:t>
            </w:r>
            <w:r>
              <w:rPr>
                <w:sz w:val="18"/>
              </w:rPr>
              <w:t>unit</w:t>
            </w:r>
            <w:r>
              <w:rPr>
                <w:spacing w:val="-4"/>
                <w:sz w:val="18"/>
              </w:rPr>
              <w:t> 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11" w:type="dxa"/>
          </w:tcPr>
          <w:p>
            <w:pPr>
              <w:pStyle w:val="TableParagraph"/>
              <w:spacing w:line="240" w:lineRule="auto" w:before="0"/>
              <w:rPr>
                <w:rFonts w:ascii="Times New Roman"/>
                <w:sz w:val="16"/>
              </w:rPr>
            </w:pPr>
          </w:p>
        </w:tc>
        <w:tc>
          <w:tcPr>
            <w:tcW w:w="915" w:type="dxa"/>
          </w:tcPr>
          <w:p>
            <w:pPr>
              <w:pStyle w:val="TableParagraph"/>
              <w:spacing w:line="240" w:lineRule="auto" w:before="0"/>
              <w:rPr>
                <w:rFonts w:ascii="Times New Roman"/>
                <w:sz w:val="16"/>
              </w:rPr>
            </w:pP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Lag</w:t>
            </w:r>
            <w:r>
              <w:rPr>
                <w:spacing w:val="-4"/>
                <w:sz w:val="18"/>
              </w:rPr>
              <w:t> </w:t>
            </w:r>
            <w:r>
              <w:rPr>
                <w:sz w:val="18"/>
              </w:rPr>
              <w:t>Length:</w:t>
            </w:r>
            <w:r>
              <w:rPr>
                <w:spacing w:val="-2"/>
                <w:sz w:val="18"/>
              </w:rPr>
              <w:t> </w:t>
            </w:r>
            <w:r>
              <w:rPr>
                <w:sz w:val="18"/>
              </w:rPr>
              <w:t>0</w:t>
            </w:r>
            <w:r>
              <w:rPr>
                <w:spacing w:val="-2"/>
                <w:sz w:val="18"/>
              </w:rPr>
              <w:t> </w:t>
            </w:r>
            <w:r>
              <w:rPr>
                <w:sz w:val="18"/>
              </w:rPr>
              <w:t>(Automatic</w:t>
            </w:r>
            <w:r>
              <w:rPr>
                <w:spacing w:val="1"/>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03"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915" w:type="dxa"/>
            <w:tcBorders>
              <w:top w:val="double" w:sz="6" w:space="0" w:color="000000"/>
              <w:bottom w:val="double" w:sz="6" w:space="0" w:color="000000"/>
            </w:tcBorders>
          </w:tcPr>
          <w:p>
            <w:pPr>
              <w:pStyle w:val="TableParagraph"/>
              <w:spacing w:line="240" w:lineRule="auto" w:before="108"/>
              <w:ind w:left="212"/>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03" w:type="dxa"/>
            <w:gridSpan w:val="2"/>
            <w:tcBorders>
              <w:top w:val="double" w:sz="6" w:space="0" w:color="000000"/>
              <w:bottom w:val="single" w:sz="6" w:space="0" w:color="000000"/>
            </w:tcBorders>
          </w:tcPr>
          <w:p>
            <w:pPr>
              <w:pStyle w:val="TableParagraph"/>
              <w:spacing w:line="187" w:lineRule="exact" w:before="108"/>
              <w:ind w:left="1305"/>
              <w:rPr>
                <w:sz w:val="18"/>
              </w:rPr>
            </w:pPr>
            <w:r>
              <w:rPr>
                <w:spacing w:val="-2"/>
                <w:sz w:val="18"/>
              </w:rPr>
              <w:t>-4.146308</w:t>
            </w:r>
          </w:p>
        </w:tc>
        <w:tc>
          <w:tcPr>
            <w:tcW w:w="915" w:type="dxa"/>
            <w:tcBorders>
              <w:top w:val="double" w:sz="6" w:space="0" w:color="000000"/>
              <w:bottom w:val="single" w:sz="6" w:space="0" w:color="000000"/>
            </w:tcBorders>
          </w:tcPr>
          <w:p>
            <w:pPr>
              <w:pStyle w:val="TableParagraph"/>
              <w:spacing w:line="187" w:lineRule="exact" w:before="108"/>
              <w:ind w:left="162"/>
              <w:rPr>
                <w:sz w:val="18"/>
              </w:rPr>
            </w:pPr>
            <w:r>
              <w:rPr>
                <w:spacing w:val="-2"/>
                <w:sz w:val="18"/>
              </w:rPr>
              <w:t>0.0009</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7"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03" w:type="dxa"/>
            <w:gridSpan w:val="2"/>
            <w:tcBorders>
              <w:top w:val="single" w:sz="6" w:space="0" w:color="000000"/>
            </w:tcBorders>
          </w:tcPr>
          <w:p>
            <w:pPr>
              <w:pStyle w:val="TableParagraph"/>
              <w:spacing w:before="18"/>
              <w:ind w:left="1305"/>
              <w:rPr>
                <w:sz w:val="18"/>
              </w:rPr>
            </w:pPr>
            <w:r>
              <w:rPr>
                <w:spacing w:val="-2"/>
                <w:sz w:val="18"/>
              </w:rPr>
              <w:t>-3.646342</w:t>
            </w:r>
          </w:p>
        </w:tc>
        <w:tc>
          <w:tcPr>
            <w:tcW w:w="915"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7" w:type="dxa"/>
          </w:tcPr>
          <w:p>
            <w:pPr>
              <w:pStyle w:val="TableParagraph"/>
              <w:ind w:left="317"/>
              <w:rPr>
                <w:sz w:val="18"/>
              </w:rPr>
            </w:pPr>
            <w:r>
              <w:rPr>
                <w:sz w:val="18"/>
              </w:rPr>
              <w:t>5%</w:t>
            </w:r>
            <w:r>
              <w:rPr>
                <w:spacing w:val="-3"/>
                <w:sz w:val="18"/>
              </w:rPr>
              <w:t> </w:t>
            </w:r>
            <w:r>
              <w:rPr>
                <w:spacing w:val="-2"/>
                <w:sz w:val="18"/>
              </w:rPr>
              <w:t>level</w:t>
            </w:r>
          </w:p>
        </w:tc>
        <w:tc>
          <w:tcPr>
            <w:tcW w:w="2403" w:type="dxa"/>
            <w:gridSpan w:val="2"/>
          </w:tcPr>
          <w:p>
            <w:pPr>
              <w:pStyle w:val="TableParagraph"/>
              <w:ind w:left="1305"/>
              <w:rPr>
                <w:sz w:val="18"/>
              </w:rPr>
            </w:pPr>
            <w:r>
              <w:rPr>
                <w:spacing w:val="-2"/>
                <w:sz w:val="18"/>
              </w:rPr>
              <w:t>-2.954021</w:t>
            </w:r>
          </w:p>
        </w:tc>
        <w:tc>
          <w:tcPr>
            <w:tcW w:w="915"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03" w:type="dxa"/>
            <w:gridSpan w:val="2"/>
            <w:tcBorders>
              <w:bottom w:val="double" w:sz="6" w:space="0" w:color="000000"/>
            </w:tcBorders>
          </w:tcPr>
          <w:p>
            <w:pPr>
              <w:pStyle w:val="TableParagraph"/>
              <w:spacing w:line="240" w:lineRule="auto"/>
              <w:ind w:left="1305"/>
              <w:rPr>
                <w:sz w:val="18"/>
              </w:rPr>
            </w:pPr>
            <w:r>
              <w:rPr>
                <w:spacing w:val="-2"/>
                <w:sz w:val="18"/>
              </w:rPr>
              <w:t>-2.615817</w:t>
            </w:r>
          </w:p>
        </w:tc>
        <w:tc>
          <w:tcPr>
            <w:tcW w:w="915"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5"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5"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5"/>
                <w:sz w:val="18"/>
              </w:rPr>
              <w:t> </w:t>
            </w:r>
            <w:r>
              <w:rPr>
                <w:spacing w:val="-2"/>
                <w:sz w:val="18"/>
              </w:rPr>
              <w:t>Equation</w:t>
            </w:r>
          </w:p>
        </w:tc>
      </w:tr>
      <w:tr>
        <w:trPr>
          <w:trHeight w:val="224" w:hRule="atLeast"/>
        </w:trPr>
        <w:tc>
          <w:tcPr>
            <w:tcW w:w="6535"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D(RGDP,2)</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11" w:type="dxa"/>
          </w:tcPr>
          <w:p>
            <w:pPr>
              <w:pStyle w:val="TableParagraph"/>
              <w:spacing w:line="240" w:lineRule="auto" w:before="0"/>
              <w:rPr>
                <w:rFonts w:ascii="Times New Roman"/>
                <w:sz w:val="16"/>
              </w:rPr>
            </w:pPr>
          </w:p>
        </w:tc>
        <w:tc>
          <w:tcPr>
            <w:tcW w:w="915" w:type="dxa"/>
          </w:tcPr>
          <w:p>
            <w:pPr>
              <w:pStyle w:val="TableParagraph"/>
              <w:spacing w:line="240" w:lineRule="auto" w:before="0"/>
              <w:rPr>
                <w:rFonts w:ascii="Times New Roman"/>
                <w:sz w:val="16"/>
              </w:rPr>
            </w:pPr>
          </w:p>
        </w:tc>
      </w:tr>
      <w:tr>
        <w:trPr>
          <w:trHeight w:val="225" w:hRule="atLeast"/>
        </w:trPr>
        <w:tc>
          <w:tcPr>
            <w:tcW w:w="6535" w:type="dxa"/>
            <w:gridSpan w:val="5"/>
          </w:tcPr>
          <w:p>
            <w:pPr>
              <w:pStyle w:val="TableParagraph"/>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06:04</w:t>
            </w:r>
          </w:p>
        </w:tc>
      </w:tr>
      <w:tr>
        <w:trPr>
          <w:trHeight w:val="224" w:hRule="atLeast"/>
        </w:trPr>
        <w:tc>
          <w:tcPr>
            <w:tcW w:w="6535"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1988</w:t>
            </w:r>
            <w:r>
              <w:rPr>
                <w:spacing w:val="-4"/>
                <w:sz w:val="18"/>
              </w:rPr>
              <w:t> 2020</w:t>
            </w: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33</w:t>
            </w:r>
            <w:r>
              <w:rPr>
                <w:spacing w:val="-5"/>
                <w:sz w:val="18"/>
              </w:rPr>
              <w:t> </w:t>
            </w:r>
            <w:r>
              <w:rPr>
                <w:sz w:val="18"/>
              </w:rPr>
              <w:t>after</w:t>
            </w:r>
            <w:r>
              <w:rPr>
                <w:spacing w:val="-2"/>
                <w:sz w:val="18"/>
              </w:rPr>
              <w:t> 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11" w:type="dxa"/>
            <w:tcBorders>
              <w:top w:val="double" w:sz="6" w:space="0" w:color="000000"/>
              <w:bottom w:val="double" w:sz="6" w:space="0" w:color="000000"/>
            </w:tcBorders>
          </w:tcPr>
          <w:p>
            <w:pPr>
              <w:pStyle w:val="TableParagraph"/>
              <w:spacing w:line="240" w:lineRule="auto" w:before="108"/>
              <w:ind w:right="94"/>
              <w:jc w:val="right"/>
              <w:rPr>
                <w:sz w:val="18"/>
              </w:rPr>
            </w:pPr>
            <w:r>
              <w:rPr>
                <w:sz w:val="18"/>
              </w:rPr>
              <w:t>t-</w:t>
            </w:r>
            <w:r>
              <w:rPr>
                <w:spacing w:val="-2"/>
                <w:sz w:val="18"/>
              </w:rPr>
              <w:t>Statistic</w:t>
            </w:r>
          </w:p>
        </w:tc>
        <w:tc>
          <w:tcPr>
            <w:tcW w:w="915" w:type="dxa"/>
            <w:tcBorders>
              <w:top w:val="double" w:sz="6" w:space="0" w:color="000000"/>
              <w:bottom w:val="double" w:sz="6" w:space="0" w:color="000000"/>
            </w:tcBorders>
          </w:tcPr>
          <w:p>
            <w:pPr>
              <w:pStyle w:val="TableParagraph"/>
              <w:spacing w:line="240" w:lineRule="auto" w:before="108"/>
              <w:ind w:left="371"/>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482"/>
              <w:rPr>
                <w:sz w:val="18"/>
              </w:rPr>
            </w:pPr>
            <w:r>
              <w:rPr>
                <w:spacing w:val="-2"/>
                <w:sz w:val="18"/>
              </w:rPr>
              <w:t>D(RGDP(-</w:t>
            </w:r>
            <w:r>
              <w:rPr>
                <w:spacing w:val="-5"/>
                <w:sz w:val="18"/>
              </w:rPr>
              <w:t>1))</w:t>
            </w:r>
          </w:p>
        </w:tc>
        <w:tc>
          <w:tcPr>
            <w:tcW w:w="1307" w:type="dxa"/>
            <w:tcBorders>
              <w:top w:val="double" w:sz="6" w:space="0" w:color="000000"/>
            </w:tcBorders>
          </w:tcPr>
          <w:p>
            <w:pPr>
              <w:pStyle w:val="TableParagraph"/>
              <w:spacing w:before="108"/>
              <w:ind w:right="105"/>
              <w:jc w:val="right"/>
              <w:rPr>
                <w:sz w:val="18"/>
              </w:rPr>
            </w:pPr>
            <w:r>
              <w:rPr>
                <w:spacing w:val="-2"/>
                <w:sz w:val="18"/>
              </w:rPr>
              <w:t>-0.301296</w:t>
            </w:r>
          </w:p>
        </w:tc>
        <w:tc>
          <w:tcPr>
            <w:tcW w:w="1492" w:type="dxa"/>
            <w:tcBorders>
              <w:top w:val="double" w:sz="6" w:space="0" w:color="000000"/>
            </w:tcBorders>
          </w:tcPr>
          <w:p>
            <w:pPr>
              <w:pStyle w:val="TableParagraph"/>
              <w:spacing w:before="108"/>
              <w:ind w:left="349"/>
              <w:rPr>
                <w:sz w:val="18"/>
              </w:rPr>
            </w:pPr>
            <w:r>
              <w:rPr>
                <w:spacing w:val="-2"/>
                <w:sz w:val="18"/>
              </w:rPr>
              <w:t>0.140379</w:t>
            </w:r>
          </w:p>
        </w:tc>
        <w:tc>
          <w:tcPr>
            <w:tcW w:w="911" w:type="dxa"/>
            <w:tcBorders>
              <w:top w:val="double" w:sz="6" w:space="0" w:color="000000"/>
            </w:tcBorders>
          </w:tcPr>
          <w:p>
            <w:pPr>
              <w:pStyle w:val="TableParagraph"/>
              <w:spacing w:before="108"/>
              <w:ind w:right="94"/>
              <w:jc w:val="right"/>
              <w:rPr>
                <w:sz w:val="18"/>
              </w:rPr>
            </w:pPr>
            <w:r>
              <w:rPr>
                <w:spacing w:val="-2"/>
                <w:sz w:val="18"/>
              </w:rPr>
              <w:t>-2.146308</w:t>
            </w:r>
          </w:p>
        </w:tc>
        <w:tc>
          <w:tcPr>
            <w:tcW w:w="915" w:type="dxa"/>
            <w:tcBorders>
              <w:top w:val="double" w:sz="6" w:space="0" w:color="000000"/>
            </w:tcBorders>
          </w:tcPr>
          <w:p>
            <w:pPr>
              <w:pStyle w:val="TableParagraph"/>
              <w:spacing w:before="108"/>
              <w:ind w:right="11"/>
              <w:jc w:val="right"/>
              <w:rPr>
                <w:sz w:val="18"/>
              </w:rPr>
            </w:pPr>
            <w:r>
              <w:rPr>
                <w:spacing w:val="-2"/>
                <w:sz w:val="18"/>
              </w:rPr>
              <w:t>0.0098</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470.2519</w:t>
            </w:r>
          </w:p>
        </w:tc>
        <w:tc>
          <w:tcPr>
            <w:tcW w:w="1492" w:type="dxa"/>
            <w:tcBorders>
              <w:bottom w:val="double" w:sz="6" w:space="0" w:color="000000"/>
            </w:tcBorders>
          </w:tcPr>
          <w:p>
            <w:pPr>
              <w:pStyle w:val="TableParagraph"/>
              <w:spacing w:line="240" w:lineRule="auto"/>
              <w:ind w:left="349"/>
              <w:rPr>
                <w:sz w:val="18"/>
              </w:rPr>
            </w:pPr>
            <w:r>
              <w:rPr>
                <w:spacing w:val="-2"/>
                <w:sz w:val="18"/>
              </w:rPr>
              <w:t>311.0659</w:t>
            </w:r>
          </w:p>
        </w:tc>
        <w:tc>
          <w:tcPr>
            <w:tcW w:w="911" w:type="dxa"/>
            <w:tcBorders>
              <w:bottom w:val="double" w:sz="6" w:space="0" w:color="000000"/>
            </w:tcBorders>
          </w:tcPr>
          <w:p>
            <w:pPr>
              <w:pStyle w:val="TableParagraph"/>
              <w:spacing w:line="240" w:lineRule="auto"/>
              <w:ind w:right="94"/>
              <w:jc w:val="right"/>
              <w:rPr>
                <w:sz w:val="18"/>
              </w:rPr>
            </w:pPr>
            <w:r>
              <w:rPr>
                <w:spacing w:val="-2"/>
                <w:sz w:val="18"/>
              </w:rPr>
              <w:t>1.511744</w:t>
            </w:r>
          </w:p>
        </w:tc>
        <w:tc>
          <w:tcPr>
            <w:tcW w:w="915" w:type="dxa"/>
            <w:tcBorders>
              <w:bottom w:val="double" w:sz="6" w:space="0" w:color="000000"/>
            </w:tcBorders>
          </w:tcPr>
          <w:p>
            <w:pPr>
              <w:pStyle w:val="TableParagraph"/>
              <w:spacing w:line="240" w:lineRule="auto"/>
              <w:ind w:right="10"/>
              <w:jc w:val="right"/>
              <w:rPr>
                <w:sz w:val="18"/>
              </w:rPr>
            </w:pPr>
            <w:r>
              <w:rPr>
                <w:spacing w:val="-2"/>
                <w:sz w:val="18"/>
              </w:rPr>
              <w:t>0.1407</w:t>
            </w:r>
          </w:p>
        </w:tc>
      </w:tr>
      <w:tr>
        <w:trPr>
          <w:trHeight w:val="326" w:hRule="atLeast"/>
        </w:trPr>
        <w:tc>
          <w:tcPr>
            <w:tcW w:w="1910" w:type="dxa"/>
            <w:tcBorders>
              <w:top w:val="double" w:sz="6" w:space="0" w:color="000000"/>
            </w:tcBorders>
          </w:tcPr>
          <w:p>
            <w:pPr>
              <w:pStyle w:val="TableParagraph"/>
              <w:spacing w:line="198" w:lineRule="exact" w:before="108"/>
              <w:rPr>
                <w:sz w:val="18"/>
              </w:rPr>
            </w:pPr>
            <w:r>
              <w:rPr>
                <w:spacing w:val="-2"/>
                <w:sz w:val="18"/>
              </w:rPr>
              <w:t>R-squared</w:t>
            </w:r>
          </w:p>
        </w:tc>
        <w:tc>
          <w:tcPr>
            <w:tcW w:w="1307" w:type="dxa"/>
            <w:tcBorders>
              <w:top w:val="double" w:sz="6" w:space="0" w:color="000000"/>
            </w:tcBorders>
          </w:tcPr>
          <w:p>
            <w:pPr>
              <w:pStyle w:val="TableParagraph"/>
              <w:spacing w:line="198" w:lineRule="exact" w:before="108"/>
              <w:ind w:right="105"/>
              <w:jc w:val="right"/>
              <w:rPr>
                <w:sz w:val="18"/>
              </w:rPr>
            </w:pPr>
            <w:r>
              <w:rPr>
                <w:spacing w:val="-2"/>
                <w:sz w:val="18"/>
              </w:rPr>
              <w:t>0.129376</w:t>
            </w:r>
          </w:p>
        </w:tc>
        <w:tc>
          <w:tcPr>
            <w:tcW w:w="2403" w:type="dxa"/>
            <w:gridSpan w:val="2"/>
            <w:tcBorders>
              <w:top w:val="double" w:sz="6" w:space="0" w:color="000000"/>
            </w:tcBorders>
          </w:tcPr>
          <w:p>
            <w:pPr>
              <w:pStyle w:val="TableParagraph"/>
              <w:spacing w:line="198" w:lineRule="exact" w:before="108"/>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915" w:type="dxa"/>
            <w:tcBorders>
              <w:top w:val="double" w:sz="6" w:space="0" w:color="000000"/>
            </w:tcBorders>
          </w:tcPr>
          <w:p>
            <w:pPr>
              <w:pStyle w:val="TableParagraph"/>
              <w:spacing w:line="198" w:lineRule="exact" w:before="108"/>
              <w:ind w:right="10"/>
              <w:jc w:val="right"/>
              <w:rPr>
                <w:sz w:val="18"/>
              </w:rPr>
            </w:pPr>
            <w:r>
              <w:rPr>
                <w:spacing w:val="-2"/>
                <w:sz w:val="18"/>
              </w:rPr>
              <w:t>-42.40606</w:t>
            </w:r>
          </w:p>
        </w:tc>
      </w:tr>
      <w:tr>
        <w:trPr>
          <w:trHeight w:val="224" w:hRule="atLeast"/>
        </w:trPr>
        <w:tc>
          <w:tcPr>
            <w:tcW w:w="1910"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spacing w:before="5"/>
              <w:ind w:right="105"/>
              <w:jc w:val="right"/>
              <w:rPr>
                <w:sz w:val="18"/>
              </w:rPr>
            </w:pPr>
            <w:r>
              <w:rPr>
                <w:spacing w:val="-2"/>
                <w:sz w:val="18"/>
              </w:rPr>
              <w:t>0.101291</w:t>
            </w:r>
          </w:p>
        </w:tc>
        <w:tc>
          <w:tcPr>
            <w:tcW w:w="2403" w:type="dxa"/>
            <w:gridSpan w:val="2"/>
          </w:tcPr>
          <w:p>
            <w:pPr>
              <w:pStyle w:val="TableParagraph"/>
              <w:spacing w:before="5"/>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915" w:type="dxa"/>
          </w:tcPr>
          <w:p>
            <w:pPr>
              <w:pStyle w:val="TableParagraph"/>
              <w:spacing w:before="5"/>
              <w:ind w:right="10"/>
              <w:jc w:val="right"/>
              <w:rPr>
                <w:sz w:val="18"/>
              </w:rPr>
            </w:pPr>
            <w:r>
              <w:rPr>
                <w:spacing w:val="-2"/>
                <w:sz w:val="18"/>
              </w:rPr>
              <w:t>1207.528</w:t>
            </w:r>
          </w:p>
        </w:tc>
      </w:tr>
      <w:tr>
        <w:trPr>
          <w:trHeight w:val="225" w:hRule="atLeast"/>
        </w:trPr>
        <w:tc>
          <w:tcPr>
            <w:tcW w:w="1910" w:type="dxa"/>
          </w:tcPr>
          <w:p>
            <w:pPr>
              <w:pStyle w:val="TableParagraph"/>
              <w:rPr>
                <w:sz w:val="18"/>
              </w:rPr>
            </w:pPr>
            <w:r>
              <w:rPr>
                <w:sz w:val="18"/>
              </w:rPr>
              <w:t>S.E.</w:t>
            </w:r>
            <w:r>
              <w:rPr>
                <w:spacing w:val="-2"/>
                <w:sz w:val="18"/>
              </w:rPr>
              <w:t> </w:t>
            </w:r>
            <w:r>
              <w:rPr>
                <w:sz w:val="18"/>
              </w:rPr>
              <w:t>of </w:t>
            </w:r>
            <w:r>
              <w:rPr>
                <w:spacing w:val="-2"/>
                <w:sz w:val="18"/>
              </w:rPr>
              <w:t>regression</w:t>
            </w:r>
          </w:p>
        </w:tc>
        <w:tc>
          <w:tcPr>
            <w:tcW w:w="1307" w:type="dxa"/>
          </w:tcPr>
          <w:p>
            <w:pPr>
              <w:pStyle w:val="TableParagraph"/>
              <w:ind w:right="105"/>
              <w:jc w:val="right"/>
              <w:rPr>
                <w:sz w:val="18"/>
              </w:rPr>
            </w:pPr>
            <w:r>
              <w:rPr>
                <w:spacing w:val="-2"/>
                <w:sz w:val="18"/>
              </w:rPr>
              <w:t>1144.740</w:t>
            </w:r>
          </w:p>
        </w:tc>
        <w:tc>
          <w:tcPr>
            <w:tcW w:w="2403" w:type="dxa"/>
            <w:gridSpan w:val="2"/>
          </w:tcPr>
          <w:p>
            <w:pPr>
              <w:pStyle w:val="TableParagraph"/>
              <w:ind w:left="105"/>
              <w:rPr>
                <w:sz w:val="18"/>
              </w:rPr>
            </w:pPr>
            <w:r>
              <w:rPr>
                <w:sz w:val="18"/>
              </w:rPr>
              <w:t>Akaike</w:t>
            </w:r>
            <w:r>
              <w:rPr>
                <w:spacing w:val="-3"/>
                <w:sz w:val="18"/>
              </w:rPr>
              <w:t> </w:t>
            </w:r>
            <w:r>
              <w:rPr>
                <w:sz w:val="18"/>
              </w:rPr>
              <w:t>info</w:t>
            </w:r>
            <w:r>
              <w:rPr>
                <w:spacing w:val="-2"/>
                <w:sz w:val="18"/>
              </w:rPr>
              <w:t> criterion</w:t>
            </w:r>
          </w:p>
        </w:tc>
        <w:tc>
          <w:tcPr>
            <w:tcW w:w="915" w:type="dxa"/>
          </w:tcPr>
          <w:p>
            <w:pPr>
              <w:pStyle w:val="TableParagraph"/>
              <w:ind w:right="10"/>
              <w:jc w:val="right"/>
              <w:rPr>
                <w:sz w:val="18"/>
              </w:rPr>
            </w:pPr>
            <w:r>
              <w:rPr>
                <w:spacing w:val="-2"/>
                <w:sz w:val="18"/>
              </w:rPr>
              <w:t>16.98243</w:t>
            </w:r>
          </w:p>
        </w:tc>
      </w:tr>
      <w:tr>
        <w:trPr>
          <w:trHeight w:val="225" w:hRule="atLeast"/>
        </w:trPr>
        <w:tc>
          <w:tcPr>
            <w:tcW w:w="1910"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307" w:type="dxa"/>
          </w:tcPr>
          <w:p>
            <w:pPr>
              <w:pStyle w:val="TableParagraph"/>
              <w:ind w:right="106"/>
              <w:jc w:val="right"/>
              <w:rPr>
                <w:sz w:val="18"/>
              </w:rPr>
            </w:pPr>
            <w:r>
              <w:rPr>
                <w:spacing w:val="-2"/>
                <w:sz w:val="18"/>
              </w:rPr>
              <w:t>40623287</w:t>
            </w:r>
          </w:p>
        </w:tc>
        <w:tc>
          <w:tcPr>
            <w:tcW w:w="1492" w:type="dxa"/>
          </w:tcPr>
          <w:p>
            <w:pPr>
              <w:pStyle w:val="TableParagraph"/>
              <w:ind w:left="105"/>
              <w:rPr>
                <w:sz w:val="18"/>
              </w:rPr>
            </w:pPr>
            <w:r>
              <w:rPr>
                <w:sz w:val="18"/>
              </w:rPr>
              <w:t>Schwarz</w:t>
            </w:r>
            <w:r>
              <w:rPr>
                <w:spacing w:val="-4"/>
                <w:sz w:val="18"/>
              </w:rPr>
              <w:t> </w:t>
            </w:r>
            <w:r>
              <w:rPr>
                <w:spacing w:val="-2"/>
                <w:sz w:val="18"/>
              </w:rPr>
              <w:t>criterion</w:t>
            </w:r>
          </w:p>
        </w:tc>
        <w:tc>
          <w:tcPr>
            <w:tcW w:w="911" w:type="dxa"/>
          </w:tcPr>
          <w:p>
            <w:pPr>
              <w:pStyle w:val="TableParagraph"/>
              <w:spacing w:line="240" w:lineRule="auto" w:before="0"/>
              <w:rPr>
                <w:rFonts w:ascii="Times New Roman"/>
                <w:sz w:val="16"/>
              </w:rPr>
            </w:pPr>
          </w:p>
        </w:tc>
        <w:tc>
          <w:tcPr>
            <w:tcW w:w="915" w:type="dxa"/>
          </w:tcPr>
          <w:p>
            <w:pPr>
              <w:pStyle w:val="TableParagraph"/>
              <w:ind w:right="10"/>
              <w:jc w:val="right"/>
              <w:rPr>
                <w:sz w:val="18"/>
              </w:rPr>
            </w:pPr>
            <w:r>
              <w:rPr>
                <w:spacing w:val="-2"/>
                <w:sz w:val="18"/>
              </w:rPr>
              <w:t>17.07313</w:t>
            </w:r>
          </w:p>
        </w:tc>
      </w:tr>
      <w:tr>
        <w:trPr>
          <w:trHeight w:val="224" w:hRule="atLeast"/>
        </w:trPr>
        <w:tc>
          <w:tcPr>
            <w:tcW w:w="1910" w:type="dxa"/>
          </w:tcPr>
          <w:p>
            <w:pPr>
              <w:pStyle w:val="TableParagraph"/>
              <w:spacing w:line="198" w:lineRule="exact"/>
              <w:rPr>
                <w:sz w:val="18"/>
              </w:rPr>
            </w:pPr>
            <w:r>
              <w:rPr>
                <w:sz w:val="18"/>
              </w:rPr>
              <w:t>Log</w:t>
            </w:r>
            <w:r>
              <w:rPr>
                <w:spacing w:val="-3"/>
                <w:sz w:val="18"/>
              </w:rPr>
              <w:t> </w:t>
            </w:r>
            <w:r>
              <w:rPr>
                <w:spacing w:val="-2"/>
                <w:sz w:val="18"/>
              </w:rPr>
              <w:t>likelihood</w:t>
            </w:r>
          </w:p>
        </w:tc>
        <w:tc>
          <w:tcPr>
            <w:tcW w:w="1307" w:type="dxa"/>
          </w:tcPr>
          <w:p>
            <w:pPr>
              <w:pStyle w:val="TableParagraph"/>
              <w:spacing w:line="198" w:lineRule="exact"/>
              <w:ind w:right="105"/>
              <w:jc w:val="right"/>
              <w:rPr>
                <w:sz w:val="18"/>
              </w:rPr>
            </w:pPr>
            <w:r>
              <w:rPr>
                <w:spacing w:val="-2"/>
                <w:sz w:val="18"/>
              </w:rPr>
              <w:t>-278.2102</w:t>
            </w:r>
          </w:p>
        </w:tc>
        <w:tc>
          <w:tcPr>
            <w:tcW w:w="2403" w:type="dxa"/>
            <w:gridSpan w:val="2"/>
          </w:tcPr>
          <w:p>
            <w:pPr>
              <w:pStyle w:val="TableParagraph"/>
              <w:spacing w:line="198" w:lineRule="exact"/>
              <w:ind w:left="105"/>
              <w:rPr>
                <w:sz w:val="18"/>
              </w:rPr>
            </w:pPr>
            <w:r>
              <w:rPr>
                <w:spacing w:val="-2"/>
                <w:sz w:val="18"/>
              </w:rPr>
              <w:t>Hannan-Quinn</w:t>
            </w:r>
            <w:r>
              <w:rPr>
                <w:spacing w:val="11"/>
                <w:sz w:val="18"/>
              </w:rPr>
              <w:t> </w:t>
            </w:r>
            <w:r>
              <w:rPr>
                <w:spacing w:val="-2"/>
                <w:sz w:val="18"/>
              </w:rPr>
              <w:t>criter.</w:t>
            </w:r>
          </w:p>
        </w:tc>
        <w:tc>
          <w:tcPr>
            <w:tcW w:w="915" w:type="dxa"/>
          </w:tcPr>
          <w:p>
            <w:pPr>
              <w:pStyle w:val="TableParagraph"/>
              <w:spacing w:line="198" w:lineRule="exact"/>
              <w:ind w:right="10"/>
              <w:jc w:val="right"/>
              <w:rPr>
                <w:sz w:val="18"/>
              </w:rPr>
            </w:pPr>
            <w:r>
              <w:rPr>
                <w:spacing w:val="-2"/>
                <w:sz w:val="18"/>
              </w:rPr>
              <w:t>17.01295</w:t>
            </w:r>
          </w:p>
        </w:tc>
      </w:tr>
      <w:tr>
        <w:trPr>
          <w:trHeight w:val="224" w:hRule="atLeast"/>
        </w:trPr>
        <w:tc>
          <w:tcPr>
            <w:tcW w:w="1910" w:type="dxa"/>
          </w:tcPr>
          <w:p>
            <w:pPr>
              <w:pStyle w:val="TableParagraph"/>
              <w:spacing w:before="5"/>
              <w:rPr>
                <w:sz w:val="18"/>
              </w:rPr>
            </w:pPr>
            <w:r>
              <w:rPr>
                <w:spacing w:val="-2"/>
                <w:sz w:val="18"/>
              </w:rPr>
              <w:t>F-statistic</w:t>
            </w:r>
          </w:p>
        </w:tc>
        <w:tc>
          <w:tcPr>
            <w:tcW w:w="1307" w:type="dxa"/>
          </w:tcPr>
          <w:p>
            <w:pPr>
              <w:pStyle w:val="TableParagraph"/>
              <w:spacing w:before="5"/>
              <w:ind w:right="105"/>
              <w:jc w:val="right"/>
              <w:rPr>
                <w:sz w:val="18"/>
              </w:rPr>
            </w:pPr>
            <w:r>
              <w:rPr>
                <w:spacing w:val="-2"/>
                <w:sz w:val="18"/>
              </w:rPr>
              <w:t>4.606639</w:t>
            </w:r>
          </w:p>
        </w:tc>
        <w:tc>
          <w:tcPr>
            <w:tcW w:w="2403" w:type="dxa"/>
            <w:gridSpan w:val="2"/>
          </w:tcPr>
          <w:p>
            <w:pPr>
              <w:pStyle w:val="TableParagraph"/>
              <w:spacing w:before="5"/>
              <w:ind w:left="105"/>
              <w:rPr>
                <w:sz w:val="18"/>
              </w:rPr>
            </w:pPr>
            <w:r>
              <w:rPr>
                <w:spacing w:val="-2"/>
                <w:sz w:val="18"/>
              </w:rPr>
              <w:t>Durbin-Watson</w:t>
            </w:r>
            <w:r>
              <w:rPr>
                <w:spacing w:val="13"/>
                <w:sz w:val="18"/>
              </w:rPr>
              <w:t> </w:t>
            </w:r>
            <w:r>
              <w:rPr>
                <w:spacing w:val="-4"/>
                <w:sz w:val="18"/>
              </w:rPr>
              <w:t>stat</w:t>
            </w:r>
          </w:p>
        </w:tc>
        <w:tc>
          <w:tcPr>
            <w:tcW w:w="915" w:type="dxa"/>
          </w:tcPr>
          <w:p>
            <w:pPr>
              <w:pStyle w:val="TableParagraph"/>
              <w:spacing w:before="5"/>
              <w:ind w:right="10"/>
              <w:jc w:val="right"/>
              <w:rPr>
                <w:sz w:val="18"/>
              </w:rPr>
            </w:pPr>
            <w:r>
              <w:rPr>
                <w:spacing w:val="-2"/>
                <w:sz w:val="18"/>
              </w:rPr>
              <w:t>1.733490</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0.039786</w:t>
            </w:r>
          </w:p>
        </w:tc>
        <w:tc>
          <w:tcPr>
            <w:tcW w:w="2403" w:type="dxa"/>
            <w:gridSpan w:val="2"/>
            <w:tcBorders>
              <w:bottom w:val="double" w:sz="6" w:space="0" w:color="000000"/>
            </w:tcBorders>
          </w:tcPr>
          <w:p>
            <w:pPr>
              <w:pStyle w:val="TableParagraph"/>
              <w:spacing w:line="240" w:lineRule="auto" w:before="0"/>
              <w:rPr>
                <w:rFonts w:ascii="Times New Roman"/>
                <w:sz w:val="18"/>
              </w:rPr>
            </w:pPr>
          </w:p>
        </w:tc>
        <w:tc>
          <w:tcPr>
            <w:tcW w:w="915"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22496">
                <wp:simplePos x="0" y="0"/>
                <wp:positionH relativeFrom="page">
                  <wp:posOffset>950112</wp:posOffset>
                </wp:positionH>
                <wp:positionV relativeFrom="page">
                  <wp:posOffset>5495962</wp:posOffset>
                </wp:positionV>
                <wp:extent cx="2223770" cy="2362200"/>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93984" id="docshape243"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23008">
                <wp:simplePos x="0" y="0"/>
                <wp:positionH relativeFrom="page">
                  <wp:posOffset>2872486</wp:posOffset>
                </wp:positionH>
                <wp:positionV relativeFrom="page">
                  <wp:posOffset>2197353</wp:posOffset>
                </wp:positionV>
                <wp:extent cx="3583304" cy="3612515"/>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93472" id="docshape244"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492"/>
        <w:gridCol w:w="941"/>
        <w:gridCol w:w="885"/>
      </w:tblGrid>
      <w:tr>
        <w:trPr>
          <w:trHeight w:val="213" w:hRule="atLeast"/>
        </w:trPr>
        <w:tc>
          <w:tcPr>
            <w:tcW w:w="6535" w:type="dxa"/>
            <w:gridSpan w:val="5"/>
          </w:tcPr>
          <w:p>
            <w:pPr>
              <w:pStyle w:val="TableParagraph"/>
              <w:spacing w:line="193" w:lineRule="exact" w:before="0"/>
              <w:rPr>
                <w:sz w:val="18"/>
              </w:rPr>
            </w:pPr>
            <w:r>
              <w:rPr>
                <w:sz w:val="18"/>
              </w:rPr>
              <w:t>Null</w:t>
            </w:r>
            <w:r>
              <w:rPr>
                <w:spacing w:val="-3"/>
                <w:sz w:val="18"/>
              </w:rPr>
              <w:t> </w:t>
            </w:r>
            <w:r>
              <w:rPr>
                <w:sz w:val="18"/>
              </w:rPr>
              <w:t>Hypothesis:</w:t>
            </w:r>
            <w:r>
              <w:rPr>
                <w:spacing w:val="-3"/>
                <w:sz w:val="18"/>
              </w:rPr>
              <w:t> </w:t>
            </w:r>
            <w:r>
              <w:rPr>
                <w:sz w:val="18"/>
              </w:rPr>
              <w:t>FDI</w:t>
            </w:r>
            <w:r>
              <w:rPr>
                <w:spacing w:val="-4"/>
                <w:sz w:val="18"/>
              </w:rPr>
              <w:t> </w:t>
            </w:r>
            <w:r>
              <w:rPr>
                <w:sz w:val="18"/>
              </w:rPr>
              <w:t>has</w:t>
            </w:r>
            <w:r>
              <w:rPr>
                <w:spacing w:val="-1"/>
                <w:sz w:val="18"/>
              </w:rPr>
              <w:t> </w:t>
            </w:r>
            <w:r>
              <w:rPr>
                <w:sz w:val="18"/>
              </w:rPr>
              <w:t>a</w:t>
            </w:r>
            <w:r>
              <w:rPr>
                <w:spacing w:val="-5"/>
                <w:sz w:val="18"/>
              </w:rPr>
              <w:t> </w:t>
            </w:r>
            <w:r>
              <w:rPr>
                <w:sz w:val="18"/>
              </w:rPr>
              <w:t>unit</w:t>
            </w:r>
            <w:r>
              <w:rPr>
                <w:spacing w:val="-2"/>
                <w:sz w:val="18"/>
              </w:rPr>
              <w:t> </w:t>
            </w:r>
            <w:r>
              <w:rPr>
                <w:spacing w:val="-4"/>
                <w:sz w:val="18"/>
              </w:rPr>
              <w:t>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Lag</w:t>
            </w:r>
            <w:r>
              <w:rPr>
                <w:spacing w:val="-4"/>
                <w:sz w:val="18"/>
              </w:rPr>
              <w:t> </w:t>
            </w:r>
            <w:r>
              <w:rPr>
                <w:sz w:val="18"/>
              </w:rPr>
              <w:t>Length:</w:t>
            </w:r>
            <w:r>
              <w:rPr>
                <w:spacing w:val="-2"/>
                <w:sz w:val="18"/>
              </w:rPr>
              <w:t> </w:t>
            </w:r>
            <w:r>
              <w:rPr>
                <w:sz w:val="18"/>
              </w:rPr>
              <w:t>1</w:t>
            </w:r>
            <w:r>
              <w:rPr>
                <w:spacing w:val="-2"/>
                <w:sz w:val="18"/>
              </w:rPr>
              <w:t> </w:t>
            </w:r>
            <w:r>
              <w:rPr>
                <w:sz w:val="18"/>
              </w:rPr>
              <w:t>(Automatic</w:t>
            </w:r>
            <w:r>
              <w:rPr>
                <w:spacing w:val="1"/>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3"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182"/>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33" w:type="dxa"/>
            <w:gridSpan w:val="2"/>
            <w:tcBorders>
              <w:top w:val="double" w:sz="6" w:space="0" w:color="000000"/>
              <w:bottom w:val="single" w:sz="6" w:space="0" w:color="000000"/>
            </w:tcBorders>
          </w:tcPr>
          <w:p>
            <w:pPr>
              <w:pStyle w:val="TableParagraph"/>
              <w:spacing w:line="187" w:lineRule="exact" w:before="108"/>
              <w:ind w:left="1305"/>
              <w:rPr>
                <w:sz w:val="18"/>
              </w:rPr>
            </w:pPr>
            <w:r>
              <w:rPr>
                <w:spacing w:val="-2"/>
                <w:sz w:val="18"/>
              </w:rPr>
              <w:t>-0.597874</w:t>
            </w:r>
          </w:p>
        </w:tc>
        <w:tc>
          <w:tcPr>
            <w:tcW w:w="885" w:type="dxa"/>
            <w:tcBorders>
              <w:top w:val="double" w:sz="6" w:space="0" w:color="000000"/>
              <w:bottom w:val="single" w:sz="6" w:space="0" w:color="000000"/>
            </w:tcBorders>
          </w:tcPr>
          <w:p>
            <w:pPr>
              <w:pStyle w:val="TableParagraph"/>
              <w:spacing w:line="187" w:lineRule="exact" w:before="108"/>
              <w:ind w:left="132"/>
              <w:rPr>
                <w:sz w:val="18"/>
              </w:rPr>
            </w:pPr>
            <w:r>
              <w:rPr>
                <w:spacing w:val="-2"/>
                <w:sz w:val="18"/>
              </w:rPr>
              <w:t>0.8578</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 </w:t>
            </w:r>
            <w:r>
              <w:rPr>
                <w:spacing w:val="-2"/>
                <w:sz w:val="18"/>
              </w:rPr>
              <w:t>values:</w:t>
            </w:r>
          </w:p>
        </w:tc>
        <w:tc>
          <w:tcPr>
            <w:tcW w:w="1307"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33" w:type="dxa"/>
            <w:gridSpan w:val="2"/>
            <w:tcBorders>
              <w:top w:val="single" w:sz="6" w:space="0" w:color="000000"/>
            </w:tcBorders>
          </w:tcPr>
          <w:p>
            <w:pPr>
              <w:pStyle w:val="TableParagraph"/>
              <w:spacing w:before="18"/>
              <w:ind w:left="1305"/>
              <w:rPr>
                <w:sz w:val="18"/>
              </w:rPr>
            </w:pPr>
            <w:r>
              <w:rPr>
                <w:spacing w:val="-2"/>
                <w:sz w:val="18"/>
              </w:rPr>
              <w:t>-3.646342</w:t>
            </w:r>
          </w:p>
        </w:tc>
        <w:tc>
          <w:tcPr>
            <w:tcW w:w="885"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7" w:type="dxa"/>
          </w:tcPr>
          <w:p>
            <w:pPr>
              <w:pStyle w:val="TableParagraph"/>
              <w:ind w:left="317"/>
              <w:rPr>
                <w:sz w:val="18"/>
              </w:rPr>
            </w:pPr>
            <w:r>
              <w:rPr>
                <w:sz w:val="18"/>
              </w:rPr>
              <w:t>5%</w:t>
            </w:r>
            <w:r>
              <w:rPr>
                <w:spacing w:val="-3"/>
                <w:sz w:val="18"/>
              </w:rPr>
              <w:t> </w:t>
            </w:r>
            <w:r>
              <w:rPr>
                <w:spacing w:val="-2"/>
                <w:sz w:val="18"/>
              </w:rPr>
              <w:t>level</w:t>
            </w:r>
          </w:p>
        </w:tc>
        <w:tc>
          <w:tcPr>
            <w:tcW w:w="2433" w:type="dxa"/>
            <w:gridSpan w:val="2"/>
          </w:tcPr>
          <w:p>
            <w:pPr>
              <w:pStyle w:val="TableParagraph"/>
              <w:ind w:left="1305"/>
              <w:rPr>
                <w:sz w:val="18"/>
              </w:rPr>
            </w:pPr>
            <w:r>
              <w:rPr>
                <w:spacing w:val="-2"/>
                <w:sz w:val="18"/>
              </w:rPr>
              <w:t>-2.954021</w:t>
            </w:r>
          </w:p>
        </w:tc>
        <w:tc>
          <w:tcPr>
            <w:tcW w:w="885"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33" w:type="dxa"/>
            <w:gridSpan w:val="2"/>
            <w:tcBorders>
              <w:bottom w:val="double" w:sz="6" w:space="0" w:color="000000"/>
            </w:tcBorders>
          </w:tcPr>
          <w:p>
            <w:pPr>
              <w:pStyle w:val="TableParagraph"/>
              <w:spacing w:line="240" w:lineRule="auto"/>
              <w:ind w:left="1305"/>
              <w:rPr>
                <w:sz w:val="18"/>
              </w:rPr>
            </w:pPr>
            <w:r>
              <w:rPr>
                <w:spacing w:val="-2"/>
                <w:sz w:val="18"/>
              </w:rPr>
              <w:t>-2.615817</w:t>
            </w:r>
          </w:p>
        </w:tc>
        <w:tc>
          <w:tcPr>
            <w:tcW w:w="885"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5"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5"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5"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D(FDI)</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225" w:hRule="atLeast"/>
        </w:trPr>
        <w:tc>
          <w:tcPr>
            <w:tcW w:w="6535" w:type="dxa"/>
            <w:gridSpan w:val="5"/>
          </w:tcPr>
          <w:p>
            <w:pPr>
              <w:pStyle w:val="TableParagraph"/>
              <w:rPr>
                <w:sz w:val="18"/>
              </w:rPr>
            </w:pPr>
            <w:r>
              <w:rPr>
                <w:sz w:val="18"/>
              </w:rPr>
              <w:t>Date:</w:t>
            </w:r>
            <w:r>
              <w:rPr>
                <w:spacing w:val="-2"/>
                <w:sz w:val="18"/>
              </w:rPr>
              <w:t> </w:t>
            </w:r>
            <w:r>
              <w:rPr>
                <w:sz w:val="18"/>
              </w:rPr>
              <w:t>10/11/21</w:t>
            </w:r>
            <w:r>
              <w:rPr>
                <w:spacing w:val="65"/>
                <w:w w:val="150"/>
                <w:sz w:val="18"/>
              </w:rPr>
              <w:t> </w:t>
            </w:r>
            <w:r>
              <w:rPr>
                <w:sz w:val="18"/>
              </w:rPr>
              <w:t>Time:</w:t>
            </w:r>
            <w:r>
              <w:rPr>
                <w:spacing w:val="-2"/>
                <w:sz w:val="18"/>
              </w:rPr>
              <w:t> </w:t>
            </w:r>
            <w:r>
              <w:rPr>
                <w:spacing w:val="-4"/>
                <w:sz w:val="18"/>
              </w:rPr>
              <w:t>06:09</w:t>
            </w:r>
          </w:p>
        </w:tc>
      </w:tr>
      <w:tr>
        <w:trPr>
          <w:trHeight w:val="224" w:hRule="atLeast"/>
        </w:trPr>
        <w:tc>
          <w:tcPr>
            <w:tcW w:w="6535"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1988</w:t>
            </w:r>
            <w:r>
              <w:rPr>
                <w:spacing w:val="-4"/>
                <w:sz w:val="18"/>
              </w:rPr>
              <w:t> 2020</w:t>
            </w: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33</w:t>
            </w:r>
            <w:r>
              <w:rPr>
                <w:spacing w:val="-5"/>
                <w:sz w:val="18"/>
              </w:rPr>
              <w:t> </w:t>
            </w:r>
            <w:r>
              <w:rPr>
                <w:sz w:val="18"/>
              </w:rPr>
              <w:t>after</w:t>
            </w:r>
            <w:r>
              <w:rPr>
                <w:spacing w:val="-2"/>
                <w:sz w:val="18"/>
              </w:rPr>
              <w:t> 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41" w:type="dxa"/>
            <w:tcBorders>
              <w:top w:val="double" w:sz="6" w:space="0" w:color="000000"/>
              <w:bottom w:val="double" w:sz="6" w:space="0" w:color="000000"/>
            </w:tcBorders>
          </w:tcPr>
          <w:p>
            <w:pPr>
              <w:pStyle w:val="TableParagraph"/>
              <w:spacing w:line="240" w:lineRule="auto" w:before="108"/>
              <w:ind w:right="124"/>
              <w:jc w:val="right"/>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341"/>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722"/>
              <w:rPr>
                <w:sz w:val="18"/>
              </w:rPr>
            </w:pPr>
            <w:r>
              <w:rPr>
                <w:spacing w:val="-2"/>
                <w:sz w:val="18"/>
              </w:rPr>
              <w:t>FDI(-</w:t>
            </w:r>
            <w:r>
              <w:rPr>
                <w:spacing w:val="-5"/>
                <w:sz w:val="18"/>
              </w:rPr>
              <w:t>1)</w:t>
            </w:r>
          </w:p>
        </w:tc>
        <w:tc>
          <w:tcPr>
            <w:tcW w:w="1307" w:type="dxa"/>
            <w:tcBorders>
              <w:top w:val="double" w:sz="6" w:space="0" w:color="000000"/>
            </w:tcBorders>
          </w:tcPr>
          <w:p>
            <w:pPr>
              <w:pStyle w:val="TableParagraph"/>
              <w:spacing w:before="108"/>
              <w:ind w:right="105"/>
              <w:jc w:val="right"/>
              <w:rPr>
                <w:sz w:val="18"/>
              </w:rPr>
            </w:pPr>
            <w:r>
              <w:rPr>
                <w:spacing w:val="-2"/>
                <w:sz w:val="18"/>
              </w:rPr>
              <w:t>-0.029533</w:t>
            </w:r>
          </w:p>
        </w:tc>
        <w:tc>
          <w:tcPr>
            <w:tcW w:w="1492" w:type="dxa"/>
            <w:tcBorders>
              <w:top w:val="double" w:sz="6" w:space="0" w:color="000000"/>
            </w:tcBorders>
          </w:tcPr>
          <w:p>
            <w:pPr>
              <w:pStyle w:val="TableParagraph"/>
              <w:spacing w:before="108"/>
              <w:ind w:left="349"/>
              <w:rPr>
                <w:sz w:val="18"/>
              </w:rPr>
            </w:pPr>
            <w:r>
              <w:rPr>
                <w:spacing w:val="-2"/>
                <w:sz w:val="18"/>
              </w:rPr>
              <w:t>0.049397</w:t>
            </w:r>
          </w:p>
        </w:tc>
        <w:tc>
          <w:tcPr>
            <w:tcW w:w="941" w:type="dxa"/>
            <w:tcBorders>
              <w:top w:val="double" w:sz="6" w:space="0" w:color="000000"/>
            </w:tcBorders>
          </w:tcPr>
          <w:p>
            <w:pPr>
              <w:pStyle w:val="TableParagraph"/>
              <w:spacing w:before="108"/>
              <w:ind w:right="124"/>
              <w:jc w:val="right"/>
              <w:rPr>
                <w:sz w:val="18"/>
              </w:rPr>
            </w:pPr>
            <w:r>
              <w:rPr>
                <w:spacing w:val="-2"/>
                <w:sz w:val="18"/>
              </w:rPr>
              <w:t>-0.597874</w:t>
            </w:r>
          </w:p>
        </w:tc>
        <w:tc>
          <w:tcPr>
            <w:tcW w:w="885" w:type="dxa"/>
            <w:tcBorders>
              <w:top w:val="double" w:sz="6" w:space="0" w:color="000000"/>
            </w:tcBorders>
          </w:tcPr>
          <w:p>
            <w:pPr>
              <w:pStyle w:val="TableParagraph"/>
              <w:spacing w:before="108"/>
              <w:ind w:right="10"/>
              <w:jc w:val="right"/>
              <w:rPr>
                <w:sz w:val="18"/>
              </w:rPr>
            </w:pPr>
            <w:r>
              <w:rPr>
                <w:spacing w:val="-2"/>
                <w:sz w:val="18"/>
              </w:rPr>
              <w:t>0.5544</w:t>
            </w:r>
          </w:p>
        </w:tc>
      </w:tr>
      <w:tr>
        <w:trPr>
          <w:trHeight w:val="225" w:hRule="atLeast"/>
        </w:trPr>
        <w:tc>
          <w:tcPr>
            <w:tcW w:w="1910" w:type="dxa"/>
          </w:tcPr>
          <w:p>
            <w:pPr>
              <w:pStyle w:val="TableParagraph"/>
              <w:ind w:left="597"/>
              <w:rPr>
                <w:sz w:val="18"/>
              </w:rPr>
            </w:pPr>
            <w:r>
              <w:rPr>
                <w:spacing w:val="-2"/>
                <w:sz w:val="18"/>
              </w:rPr>
              <w:t>D(FDI(-</w:t>
            </w:r>
            <w:r>
              <w:rPr>
                <w:spacing w:val="-5"/>
                <w:sz w:val="18"/>
              </w:rPr>
              <w:t>1))</w:t>
            </w:r>
          </w:p>
        </w:tc>
        <w:tc>
          <w:tcPr>
            <w:tcW w:w="1307" w:type="dxa"/>
          </w:tcPr>
          <w:p>
            <w:pPr>
              <w:pStyle w:val="TableParagraph"/>
              <w:ind w:right="105"/>
              <w:jc w:val="right"/>
              <w:rPr>
                <w:sz w:val="18"/>
              </w:rPr>
            </w:pPr>
            <w:r>
              <w:rPr>
                <w:spacing w:val="-2"/>
                <w:sz w:val="18"/>
              </w:rPr>
              <w:t>0.312864</w:t>
            </w:r>
          </w:p>
        </w:tc>
        <w:tc>
          <w:tcPr>
            <w:tcW w:w="1492" w:type="dxa"/>
          </w:tcPr>
          <w:p>
            <w:pPr>
              <w:pStyle w:val="TableParagraph"/>
              <w:ind w:left="349"/>
              <w:rPr>
                <w:sz w:val="18"/>
              </w:rPr>
            </w:pPr>
            <w:r>
              <w:rPr>
                <w:spacing w:val="-2"/>
                <w:sz w:val="18"/>
              </w:rPr>
              <w:t>0.181677</w:t>
            </w:r>
          </w:p>
        </w:tc>
        <w:tc>
          <w:tcPr>
            <w:tcW w:w="941" w:type="dxa"/>
          </w:tcPr>
          <w:p>
            <w:pPr>
              <w:pStyle w:val="TableParagraph"/>
              <w:ind w:right="124"/>
              <w:jc w:val="right"/>
              <w:rPr>
                <w:sz w:val="18"/>
              </w:rPr>
            </w:pPr>
            <w:r>
              <w:rPr>
                <w:spacing w:val="-2"/>
                <w:sz w:val="18"/>
              </w:rPr>
              <w:t>1.722086</w:t>
            </w:r>
          </w:p>
        </w:tc>
        <w:tc>
          <w:tcPr>
            <w:tcW w:w="885" w:type="dxa"/>
          </w:tcPr>
          <w:p>
            <w:pPr>
              <w:pStyle w:val="TableParagraph"/>
              <w:ind w:right="10"/>
              <w:jc w:val="right"/>
              <w:rPr>
                <w:sz w:val="18"/>
              </w:rPr>
            </w:pPr>
            <w:r>
              <w:rPr>
                <w:spacing w:val="-2"/>
                <w:sz w:val="18"/>
              </w:rPr>
              <w:t>0.0954</w:t>
            </w:r>
          </w:p>
        </w:tc>
      </w:tr>
      <w:tr>
        <w:trPr>
          <w:trHeight w:val="301"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104.4641</w:t>
            </w:r>
          </w:p>
        </w:tc>
        <w:tc>
          <w:tcPr>
            <w:tcW w:w="1492" w:type="dxa"/>
            <w:tcBorders>
              <w:bottom w:val="double" w:sz="6" w:space="0" w:color="000000"/>
            </w:tcBorders>
          </w:tcPr>
          <w:p>
            <w:pPr>
              <w:pStyle w:val="TableParagraph"/>
              <w:spacing w:line="240" w:lineRule="auto"/>
              <w:ind w:left="349"/>
              <w:rPr>
                <w:sz w:val="18"/>
              </w:rPr>
            </w:pPr>
            <w:r>
              <w:rPr>
                <w:spacing w:val="-2"/>
                <w:sz w:val="18"/>
              </w:rPr>
              <w:t>84.22352</w:t>
            </w:r>
          </w:p>
        </w:tc>
        <w:tc>
          <w:tcPr>
            <w:tcW w:w="941" w:type="dxa"/>
            <w:tcBorders>
              <w:bottom w:val="double" w:sz="6" w:space="0" w:color="000000"/>
            </w:tcBorders>
          </w:tcPr>
          <w:p>
            <w:pPr>
              <w:pStyle w:val="TableParagraph"/>
              <w:spacing w:line="240" w:lineRule="auto"/>
              <w:ind w:right="124"/>
              <w:jc w:val="right"/>
              <w:rPr>
                <w:sz w:val="18"/>
              </w:rPr>
            </w:pPr>
            <w:r>
              <w:rPr>
                <w:spacing w:val="-2"/>
                <w:sz w:val="18"/>
              </w:rPr>
              <w:t>1.240320</w:t>
            </w:r>
          </w:p>
        </w:tc>
        <w:tc>
          <w:tcPr>
            <w:tcW w:w="885" w:type="dxa"/>
            <w:tcBorders>
              <w:bottom w:val="double" w:sz="6" w:space="0" w:color="000000"/>
            </w:tcBorders>
          </w:tcPr>
          <w:p>
            <w:pPr>
              <w:pStyle w:val="TableParagraph"/>
              <w:spacing w:line="240" w:lineRule="auto"/>
              <w:ind w:right="10"/>
              <w:jc w:val="right"/>
              <w:rPr>
                <w:sz w:val="18"/>
              </w:rPr>
            </w:pPr>
            <w:r>
              <w:rPr>
                <w:spacing w:val="-2"/>
                <w:sz w:val="18"/>
              </w:rPr>
              <w:t>0.2245</w:t>
            </w:r>
          </w:p>
        </w:tc>
      </w:tr>
      <w:tr>
        <w:trPr>
          <w:trHeight w:val="327" w:hRule="atLeast"/>
        </w:trPr>
        <w:tc>
          <w:tcPr>
            <w:tcW w:w="1910" w:type="dxa"/>
            <w:tcBorders>
              <w:top w:val="double" w:sz="6" w:space="0" w:color="000000"/>
            </w:tcBorders>
          </w:tcPr>
          <w:p>
            <w:pPr>
              <w:pStyle w:val="TableParagraph"/>
              <w:spacing w:before="108"/>
              <w:rPr>
                <w:sz w:val="18"/>
              </w:rPr>
            </w:pPr>
            <w:r>
              <w:rPr>
                <w:spacing w:val="-2"/>
                <w:sz w:val="18"/>
              </w:rPr>
              <w:t>R-squared</w:t>
            </w:r>
          </w:p>
        </w:tc>
        <w:tc>
          <w:tcPr>
            <w:tcW w:w="1307" w:type="dxa"/>
            <w:tcBorders>
              <w:top w:val="double" w:sz="6" w:space="0" w:color="000000"/>
            </w:tcBorders>
          </w:tcPr>
          <w:p>
            <w:pPr>
              <w:pStyle w:val="TableParagraph"/>
              <w:spacing w:before="108"/>
              <w:ind w:right="105"/>
              <w:jc w:val="right"/>
              <w:rPr>
                <w:sz w:val="18"/>
              </w:rPr>
            </w:pPr>
            <w:r>
              <w:rPr>
                <w:spacing w:val="-2"/>
                <w:sz w:val="18"/>
              </w:rPr>
              <w:t>0.090379</w:t>
            </w:r>
          </w:p>
        </w:tc>
        <w:tc>
          <w:tcPr>
            <w:tcW w:w="2433" w:type="dxa"/>
            <w:gridSpan w:val="2"/>
            <w:tcBorders>
              <w:top w:val="double" w:sz="6" w:space="0" w:color="000000"/>
            </w:tcBorders>
          </w:tcPr>
          <w:p>
            <w:pPr>
              <w:pStyle w:val="TableParagraph"/>
              <w:spacing w:before="108"/>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885" w:type="dxa"/>
            <w:tcBorders>
              <w:top w:val="double" w:sz="6" w:space="0" w:color="000000"/>
            </w:tcBorders>
          </w:tcPr>
          <w:p>
            <w:pPr>
              <w:pStyle w:val="TableParagraph"/>
              <w:spacing w:before="108"/>
              <w:ind w:right="10"/>
              <w:jc w:val="right"/>
              <w:rPr>
                <w:sz w:val="18"/>
              </w:rPr>
            </w:pPr>
            <w:r>
              <w:rPr>
                <w:spacing w:val="-2"/>
                <w:sz w:val="18"/>
              </w:rPr>
              <w:t>102.5485</w:t>
            </w:r>
          </w:p>
        </w:tc>
      </w:tr>
      <w:tr>
        <w:trPr>
          <w:trHeight w:val="225" w:hRule="atLeast"/>
        </w:trPr>
        <w:tc>
          <w:tcPr>
            <w:tcW w:w="1910" w:type="dxa"/>
          </w:tcPr>
          <w:p>
            <w:pPr>
              <w:pStyle w:val="TableParagraph"/>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ind w:right="105"/>
              <w:jc w:val="right"/>
              <w:rPr>
                <w:sz w:val="18"/>
              </w:rPr>
            </w:pPr>
            <w:r>
              <w:rPr>
                <w:spacing w:val="-2"/>
                <w:sz w:val="18"/>
              </w:rPr>
              <w:t>0.029738</w:t>
            </w:r>
          </w:p>
        </w:tc>
        <w:tc>
          <w:tcPr>
            <w:tcW w:w="2433" w:type="dxa"/>
            <w:gridSpan w:val="2"/>
          </w:tcPr>
          <w:p>
            <w:pPr>
              <w:pStyle w:val="TableParagraph"/>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885" w:type="dxa"/>
          </w:tcPr>
          <w:p>
            <w:pPr>
              <w:pStyle w:val="TableParagraph"/>
              <w:ind w:right="10"/>
              <w:jc w:val="right"/>
              <w:rPr>
                <w:sz w:val="18"/>
              </w:rPr>
            </w:pPr>
            <w:r>
              <w:rPr>
                <w:spacing w:val="-2"/>
                <w:sz w:val="18"/>
              </w:rPr>
              <w:t>367.3934</w:t>
            </w:r>
          </w:p>
        </w:tc>
      </w:tr>
      <w:tr>
        <w:trPr>
          <w:trHeight w:val="225" w:hRule="atLeast"/>
        </w:trPr>
        <w:tc>
          <w:tcPr>
            <w:tcW w:w="1910" w:type="dxa"/>
          </w:tcPr>
          <w:p>
            <w:pPr>
              <w:pStyle w:val="TableParagraph"/>
              <w:rPr>
                <w:sz w:val="18"/>
              </w:rPr>
            </w:pPr>
            <w:r>
              <w:rPr>
                <w:sz w:val="18"/>
              </w:rPr>
              <w:t>S.E.</w:t>
            </w:r>
            <w:r>
              <w:rPr>
                <w:spacing w:val="-2"/>
                <w:sz w:val="18"/>
              </w:rPr>
              <w:t> </w:t>
            </w:r>
            <w:r>
              <w:rPr>
                <w:sz w:val="18"/>
              </w:rPr>
              <w:t>of </w:t>
            </w:r>
            <w:r>
              <w:rPr>
                <w:spacing w:val="-2"/>
                <w:sz w:val="18"/>
              </w:rPr>
              <w:t>regression</w:t>
            </w:r>
          </w:p>
        </w:tc>
        <w:tc>
          <w:tcPr>
            <w:tcW w:w="1307" w:type="dxa"/>
          </w:tcPr>
          <w:p>
            <w:pPr>
              <w:pStyle w:val="TableParagraph"/>
              <w:ind w:right="105"/>
              <w:jc w:val="right"/>
              <w:rPr>
                <w:sz w:val="18"/>
              </w:rPr>
            </w:pPr>
            <w:r>
              <w:rPr>
                <w:spacing w:val="-2"/>
                <w:sz w:val="18"/>
              </w:rPr>
              <w:t>361.8894</w:t>
            </w:r>
          </w:p>
        </w:tc>
        <w:tc>
          <w:tcPr>
            <w:tcW w:w="2433" w:type="dxa"/>
            <w:gridSpan w:val="2"/>
          </w:tcPr>
          <w:p>
            <w:pPr>
              <w:pStyle w:val="TableParagraph"/>
              <w:ind w:left="105"/>
              <w:rPr>
                <w:sz w:val="18"/>
              </w:rPr>
            </w:pPr>
            <w:r>
              <w:rPr>
                <w:sz w:val="18"/>
              </w:rPr>
              <w:t>Akaike</w:t>
            </w:r>
            <w:r>
              <w:rPr>
                <w:spacing w:val="-3"/>
                <w:sz w:val="18"/>
              </w:rPr>
              <w:t> </w:t>
            </w:r>
            <w:r>
              <w:rPr>
                <w:sz w:val="18"/>
              </w:rPr>
              <w:t>info</w:t>
            </w:r>
            <w:r>
              <w:rPr>
                <w:spacing w:val="-2"/>
                <w:sz w:val="18"/>
              </w:rPr>
              <w:t> criterion</w:t>
            </w:r>
          </w:p>
        </w:tc>
        <w:tc>
          <w:tcPr>
            <w:tcW w:w="885" w:type="dxa"/>
          </w:tcPr>
          <w:p>
            <w:pPr>
              <w:pStyle w:val="TableParagraph"/>
              <w:ind w:right="10"/>
              <w:jc w:val="right"/>
              <w:rPr>
                <w:sz w:val="18"/>
              </w:rPr>
            </w:pPr>
            <w:r>
              <w:rPr>
                <w:spacing w:val="-2"/>
                <w:sz w:val="18"/>
              </w:rPr>
              <w:t>14.70706</w:t>
            </w:r>
          </w:p>
        </w:tc>
      </w:tr>
      <w:tr>
        <w:trPr>
          <w:trHeight w:val="224" w:hRule="atLeast"/>
        </w:trPr>
        <w:tc>
          <w:tcPr>
            <w:tcW w:w="1910" w:type="dxa"/>
          </w:tcPr>
          <w:p>
            <w:pPr>
              <w:pStyle w:val="TableParagraph"/>
              <w:spacing w:line="198" w:lineRule="exact"/>
              <w:rPr>
                <w:sz w:val="18"/>
              </w:rPr>
            </w:pPr>
            <w:r>
              <w:rPr>
                <w:sz w:val="18"/>
              </w:rPr>
              <w:t>Sum</w:t>
            </w:r>
            <w:r>
              <w:rPr>
                <w:spacing w:val="-4"/>
                <w:sz w:val="18"/>
              </w:rPr>
              <w:t> </w:t>
            </w:r>
            <w:r>
              <w:rPr>
                <w:sz w:val="18"/>
              </w:rPr>
              <w:t>squared</w:t>
            </w:r>
            <w:r>
              <w:rPr>
                <w:spacing w:val="-2"/>
                <w:sz w:val="18"/>
              </w:rPr>
              <w:t> </w:t>
            </w:r>
            <w:r>
              <w:rPr>
                <w:spacing w:val="-4"/>
                <w:sz w:val="18"/>
              </w:rPr>
              <w:t>resid</w:t>
            </w:r>
          </w:p>
        </w:tc>
        <w:tc>
          <w:tcPr>
            <w:tcW w:w="1307" w:type="dxa"/>
          </w:tcPr>
          <w:p>
            <w:pPr>
              <w:pStyle w:val="TableParagraph"/>
              <w:spacing w:line="198" w:lineRule="exact"/>
              <w:ind w:right="105"/>
              <w:jc w:val="right"/>
              <w:rPr>
                <w:sz w:val="18"/>
              </w:rPr>
            </w:pPr>
            <w:r>
              <w:rPr>
                <w:spacing w:val="-2"/>
                <w:sz w:val="18"/>
              </w:rPr>
              <w:t>3928919.</w:t>
            </w:r>
          </w:p>
        </w:tc>
        <w:tc>
          <w:tcPr>
            <w:tcW w:w="1492" w:type="dxa"/>
          </w:tcPr>
          <w:p>
            <w:pPr>
              <w:pStyle w:val="TableParagraph"/>
              <w:spacing w:line="198" w:lineRule="exact"/>
              <w:ind w:left="105"/>
              <w:rPr>
                <w:sz w:val="18"/>
              </w:rPr>
            </w:pPr>
            <w:r>
              <w:rPr>
                <w:sz w:val="18"/>
              </w:rPr>
              <w:t>Schwarz</w:t>
            </w:r>
            <w:r>
              <w:rPr>
                <w:spacing w:val="-4"/>
                <w:sz w:val="18"/>
              </w:rPr>
              <w:t> </w:t>
            </w:r>
            <w:r>
              <w:rPr>
                <w:spacing w:val="-2"/>
                <w:sz w:val="18"/>
              </w:rPr>
              <w:t>criterion</w:t>
            </w:r>
          </w:p>
        </w:tc>
        <w:tc>
          <w:tcPr>
            <w:tcW w:w="941" w:type="dxa"/>
          </w:tcPr>
          <w:p>
            <w:pPr>
              <w:pStyle w:val="TableParagraph"/>
              <w:spacing w:line="240" w:lineRule="auto" w:before="0"/>
              <w:rPr>
                <w:rFonts w:ascii="Times New Roman"/>
                <w:sz w:val="16"/>
              </w:rPr>
            </w:pPr>
          </w:p>
        </w:tc>
        <w:tc>
          <w:tcPr>
            <w:tcW w:w="885" w:type="dxa"/>
          </w:tcPr>
          <w:p>
            <w:pPr>
              <w:pStyle w:val="TableParagraph"/>
              <w:spacing w:line="198" w:lineRule="exact"/>
              <w:ind w:right="10"/>
              <w:jc w:val="right"/>
              <w:rPr>
                <w:sz w:val="18"/>
              </w:rPr>
            </w:pPr>
            <w:r>
              <w:rPr>
                <w:spacing w:val="-2"/>
                <w:sz w:val="18"/>
              </w:rPr>
              <w:t>14.84311</w:t>
            </w:r>
          </w:p>
        </w:tc>
      </w:tr>
      <w:tr>
        <w:trPr>
          <w:trHeight w:val="224" w:hRule="atLeast"/>
        </w:trPr>
        <w:tc>
          <w:tcPr>
            <w:tcW w:w="1910" w:type="dxa"/>
          </w:tcPr>
          <w:p>
            <w:pPr>
              <w:pStyle w:val="TableParagraph"/>
              <w:spacing w:before="5"/>
              <w:rPr>
                <w:sz w:val="18"/>
              </w:rPr>
            </w:pPr>
            <w:r>
              <w:rPr>
                <w:sz w:val="18"/>
              </w:rPr>
              <w:t>Log</w:t>
            </w:r>
            <w:r>
              <w:rPr>
                <w:spacing w:val="-3"/>
                <w:sz w:val="18"/>
              </w:rPr>
              <w:t> </w:t>
            </w:r>
            <w:r>
              <w:rPr>
                <w:spacing w:val="-2"/>
                <w:sz w:val="18"/>
              </w:rPr>
              <w:t>likelihood</w:t>
            </w:r>
          </w:p>
        </w:tc>
        <w:tc>
          <w:tcPr>
            <w:tcW w:w="1307" w:type="dxa"/>
          </w:tcPr>
          <w:p>
            <w:pPr>
              <w:pStyle w:val="TableParagraph"/>
              <w:spacing w:before="5"/>
              <w:ind w:right="105"/>
              <w:jc w:val="right"/>
              <w:rPr>
                <w:sz w:val="18"/>
              </w:rPr>
            </w:pPr>
            <w:r>
              <w:rPr>
                <w:spacing w:val="-2"/>
                <w:sz w:val="18"/>
              </w:rPr>
              <w:t>-239.6665</w:t>
            </w:r>
          </w:p>
        </w:tc>
        <w:tc>
          <w:tcPr>
            <w:tcW w:w="2433" w:type="dxa"/>
            <w:gridSpan w:val="2"/>
          </w:tcPr>
          <w:p>
            <w:pPr>
              <w:pStyle w:val="TableParagraph"/>
              <w:spacing w:before="5"/>
              <w:ind w:left="105"/>
              <w:rPr>
                <w:sz w:val="18"/>
              </w:rPr>
            </w:pPr>
            <w:r>
              <w:rPr>
                <w:spacing w:val="-2"/>
                <w:sz w:val="18"/>
              </w:rPr>
              <w:t>Hannan-Quinn</w:t>
            </w:r>
            <w:r>
              <w:rPr>
                <w:spacing w:val="11"/>
                <w:sz w:val="18"/>
              </w:rPr>
              <w:t> </w:t>
            </w:r>
            <w:r>
              <w:rPr>
                <w:spacing w:val="-2"/>
                <w:sz w:val="18"/>
              </w:rPr>
              <w:t>criter.</w:t>
            </w:r>
          </w:p>
        </w:tc>
        <w:tc>
          <w:tcPr>
            <w:tcW w:w="885" w:type="dxa"/>
          </w:tcPr>
          <w:p>
            <w:pPr>
              <w:pStyle w:val="TableParagraph"/>
              <w:spacing w:before="5"/>
              <w:ind w:right="10"/>
              <w:jc w:val="right"/>
              <w:rPr>
                <w:sz w:val="18"/>
              </w:rPr>
            </w:pPr>
            <w:r>
              <w:rPr>
                <w:spacing w:val="-2"/>
                <w:sz w:val="18"/>
              </w:rPr>
              <w:t>14.75284</w:t>
            </w:r>
          </w:p>
        </w:tc>
      </w:tr>
      <w:tr>
        <w:trPr>
          <w:trHeight w:val="225" w:hRule="atLeast"/>
        </w:trPr>
        <w:tc>
          <w:tcPr>
            <w:tcW w:w="1910" w:type="dxa"/>
          </w:tcPr>
          <w:p>
            <w:pPr>
              <w:pStyle w:val="TableParagraph"/>
              <w:rPr>
                <w:sz w:val="18"/>
              </w:rPr>
            </w:pPr>
            <w:r>
              <w:rPr>
                <w:spacing w:val="-2"/>
                <w:sz w:val="18"/>
              </w:rPr>
              <w:t>F-statistic</w:t>
            </w:r>
          </w:p>
        </w:tc>
        <w:tc>
          <w:tcPr>
            <w:tcW w:w="1307" w:type="dxa"/>
          </w:tcPr>
          <w:p>
            <w:pPr>
              <w:pStyle w:val="TableParagraph"/>
              <w:ind w:right="105"/>
              <w:jc w:val="right"/>
              <w:rPr>
                <w:sz w:val="18"/>
              </w:rPr>
            </w:pPr>
            <w:r>
              <w:rPr>
                <w:spacing w:val="-2"/>
                <w:sz w:val="18"/>
              </w:rPr>
              <w:t>1.490383</w:t>
            </w:r>
          </w:p>
        </w:tc>
        <w:tc>
          <w:tcPr>
            <w:tcW w:w="2433" w:type="dxa"/>
            <w:gridSpan w:val="2"/>
          </w:tcPr>
          <w:p>
            <w:pPr>
              <w:pStyle w:val="TableParagraph"/>
              <w:ind w:left="105"/>
              <w:rPr>
                <w:sz w:val="18"/>
              </w:rPr>
            </w:pPr>
            <w:r>
              <w:rPr>
                <w:spacing w:val="-2"/>
                <w:sz w:val="18"/>
              </w:rPr>
              <w:t>Durbin-Watson</w:t>
            </w:r>
            <w:r>
              <w:rPr>
                <w:spacing w:val="13"/>
                <w:sz w:val="18"/>
              </w:rPr>
              <w:t> </w:t>
            </w:r>
            <w:r>
              <w:rPr>
                <w:spacing w:val="-4"/>
                <w:sz w:val="18"/>
              </w:rPr>
              <w:t>stat</w:t>
            </w:r>
          </w:p>
        </w:tc>
        <w:tc>
          <w:tcPr>
            <w:tcW w:w="885" w:type="dxa"/>
          </w:tcPr>
          <w:p>
            <w:pPr>
              <w:pStyle w:val="TableParagraph"/>
              <w:ind w:right="10"/>
              <w:jc w:val="right"/>
              <w:rPr>
                <w:sz w:val="18"/>
              </w:rPr>
            </w:pPr>
            <w:r>
              <w:rPr>
                <w:spacing w:val="-2"/>
                <w:sz w:val="18"/>
              </w:rPr>
              <w:t>1.945207</w:t>
            </w:r>
          </w:p>
        </w:tc>
      </w:tr>
      <w:tr>
        <w:trPr>
          <w:trHeight w:val="301"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0.241495</w:t>
            </w:r>
          </w:p>
        </w:tc>
        <w:tc>
          <w:tcPr>
            <w:tcW w:w="2433" w:type="dxa"/>
            <w:gridSpan w:val="2"/>
            <w:tcBorders>
              <w:bottom w:val="double" w:sz="6" w:space="0" w:color="000000"/>
            </w:tcBorders>
          </w:tcPr>
          <w:p>
            <w:pPr>
              <w:pStyle w:val="TableParagraph"/>
              <w:spacing w:line="240" w:lineRule="auto" w:before="0"/>
              <w:rPr>
                <w:rFonts w:ascii="Times New Roman"/>
                <w:sz w:val="18"/>
              </w:rPr>
            </w:pPr>
          </w:p>
        </w:tc>
        <w:tc>
          <w:tcPr>
            <w:tcW w:w="885"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23520">
                <wp:simplePos x="0" y="0"/>
                <wp:positionH relativeFrom="page">
                  <wp:posOffset>950112</wp:posOffset>
                </wp:positionH>
                <wp:positionV relativeFrom="page">
                  <wp:posOffset>5495962</wp:posOffset>
                </wp:positionV>
                <wp:extent cx="2223770" cy="2362200"/>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92960" id="docshape245"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24032">
                <wp:simplePos x="0" y="0"/>
                <wp:positionH relativeFrom="page">
                  <wp:posOffset>2872486</wp:posOffset>
                </wp:positionH>
                <wp:positionV relativeFrom="page">
                  <wp:posOffset>2197353</wp:posOffset>
                </wp:positionV>
                <wp:extent cx="3583304" cy="3612515"/>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92448" id="docshape246"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492"/>
        <w:gridCol w:w="911"/>
        <w:gridCol w:w="915"/>
      </w:tblGrid>
      <w:tr>
        <w:trPr>
          <w:trHeight w:val="213" w:hRule="atLeast"/>
        </w:trPr>
        <w:tc>
          <w:tcPr>
            <w:tcW w:w="6535" w:type="dxa"/>
            <w:gridSpan w:val="5"/>
          </w:tcPr>
          <w:p>
            <w:pPr>
              <w:pStyle w:val="TableParagraph"/>
              <w:spacing w:line="193" w:lineRule="exact" w:before="0"/>
              <w:rPr>
                <w:sz w:val="18"/>
              </w:rPr>
            </w:pPr>
            <w:r>
              <w:rPr>
                <w:sz w:val="18"/>
              </w:rPr>
              <w:t>Null</w:t>
            </w:r>
            <w:r>
              <w:rPr>
                <w:spacing w:val="-2"/>
                <w:sz w:val="18"/>
              </w:rPr>
              <w:t> </w:t>
            </w:r>
            <w:r>
              <w:rPr>
                <w:sz w:val="18"/>
              </w:rPr>
              <w:t>Hypothesis:</w:t>
            </w:r>
            <w:r>
              <w:rPr>
                <w:spacing w:val="-2"/>
                <w:sz w:val="18"/>
              </w:rPr>
              <w:t> </w:t>
            </w:r>
            <w:r>
              <w:rPr>
                <w:sz w:val="18"/>
              </w:rPr>
              <w:t>D(FDI)</w:t>
            </w:r>
            <w:r>
              <w:rPr>
                <w:spacing w:val="-4"/>
                <w:sz w:val="18"/>
              </w:rPr>
              <w:t> </w:t>
            </w:r>
            <w:r>
              <w:rPr>
                <w:sz w:val="18"/>
              </w:rPr>
              <w:t>has</w:t>
            </w:r>
            <w:r>
              <w:rPr>
                <w:spacing w:val="-1"/>
                <w:sz w:val="18"/>
              </w:rPr>
              <w:t> </w:t>
            </w:r>
            <w:r>
              <w:rPr>
                <w:sz w:val="18"/>
              </w:rPr>
              <w:t>a</w:t>
            </w:r>
            <w:r>
              <w:rPr>
                <w:spacing w:val="-4"/>
                <w:sz w:val="18"/>
              </w:rPr>
              <w:t> </w:t>
            </w:r>
            <w:r>
              <w:rPr>
                <w:sz w:val="18"/>
              </w:rPr>
              <w:t>unit</w:t>
            </w:r>
            <w:r>
              <w:rPr>
                <w:spacing w:val="-2"/>
                <w:sz w:val="18"/>
              </w:rPr>
              <w:t> </w:t>
            </w:r>
            <w:r>
              <w:rPr>
                <w:spacing w:val="-4"/>
                <w:sz w:val="18"/>
              </w:rPr>
              <w:t>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11" w:type="dxa"/>
          </w:tcPr>
          <w:p>
            <w:pPr>
              <w:pStyle w:val="TableParagraph"/>
              <w:spacing w:line="240" w:lineRule="auto" w:before="0"/>
              <w:rPr>
                <w:rFonts w:ascii="Times New Roman"/>
                <w:sz w:val="16"/>
              </w:rPr>
            </w:pPr>
          </w:p>
        </w:tc>
        <w:tc>
          <w:tcPr>
            <w:tcW w:w="915" w:type="dxa"/>
          </w:tcPr>
          <w:p>
            <w:pPr>
              <w:pStyle w:val="TableParagraph"/>
              <w:spacing w:line="240" w:lineRule="auto" w:before="0"/>
              <w:rPr>
                <w:rFonts w:ascii="Times New Roman"/>
                <w:sz w:val="16"/>
              </w:rPr>
            </w:pP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Lag</w:t>
            </w:r>
            <w:r>
              <w:rPr>
                <w:spacing w:val="-4"/>
                <w:sz w:val="18"/>
              </w:rPr>
              <w:t> </w:t>
            </w:r>
            <w:r>
              <w:rPr>
                <w:sz w:val="18"/>
              </w:rPr>
              <w:t>Length:</w:t>
            </w:r>
            <w:r>
              <w:rPr>
                <w:spacing w:val="-2"/>
                <w:sz w:val="18"/>
              </w:rPr>
              <w:t> </w:t>
            </w:r>
            <w:r>
              <w:rPr>
                <w:sz w:val="18"/>
              </w:rPr>
              <w:t>0</w:t>
            </w:r>
            <w:r>
              <w:rPr>
                <w:spacing w:val="-2"/>
                <w:sz w:val="18"/>
              </w:rPr>
              <w:t> </w:t>
            </w:r>
            <w:r>
              <w:rPr>
                <w:sz w:val="18"/>
              </w:rPr>
              <w:t>(Automatic</w:t>
            </w:r>
            <w:r>
              <w:rPr>
                <w:spacing w:val="1"/>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03"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915" w:type="dxa"/>
            <w:tcBorders>
              <w:top w:val="double" w:sz="6" w:space="0" w:color="000000"/>
              <w:bottom w:val="double" w:sz="6" w:space="0" w:color="000000"/>
            </w:tcBorders>
          </w:tcPr>
          <w:p>
            <w:pPr>
              <w:pStyle w:val="TableParagraph"/>
              <w:spacing w:line="240" w:lineRule="auto" w:before="108"/>
              <w:ind w:left="212"/>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03" w:type="dxa"/>
            <w:gridSpan w:val="2"/>
            <w:tcBorders>
              <w:top w:val="double" w:sz="6" w:space="0" w:color="000000"/>
              <w:bottom w:val="single" w:sz="6" w:space="0" w:color="000000"/>
            </w:tcBorders>
          </w:tcPr>
          <w:p>
            <w:pPr>
              <w:pStyle w:val="TableParagraph"/>
              <w:spacing w:line="187" w:lineRule="exact" w:before="108"/>
              <w:ind w:left="1305"/>
              <w:rPr>
                <w:sz w:val="18"/>
              </w:rPr>
            </w:pPr>
            <w:r>
              <w:rPr>
                <w:spacing w:val="-2"/>
                <w:sz w:val="18"/>
              </w:rPr>
              <w:t>-4.154537</w:t>
            </w:r>
          </w:p>
        </w:tc>
        <w:tc>
          <w:tcPr>
            <w:tcW w:w="915" w:type="dxa"/>
            <w:tcBorders>
              <w:top w:val="double" w:sz="6" w:space="0" w:color="000000"/>
              <w:bottom w:val="single" w:sz="6" w:space="0" w:color="000000"/>
            </w:tcBorders>
          </w:tcPr>
          <w:p>
            <w:pPr>
              <w:pStyle w:val="TableParagraph"/>
              <w:spacing w:line="187" w:lineRule="exact" w:before="108"/>
              <w:ind w:left="162"/>
              <w:rPr>
                <w:sz w:val="18"/>
              </w:rPr>
            </w:pPr>
            <w:r>
              <w:rPr>
                <w:spacing w:val="-2"/>
                <w:sz w:val="18"/>
              </w:rPr>
              <w:t>0.0027</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7"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03" w:type="dxa"/>
            <w:gridSpan w:val="2"/>
            <w:tcBorders>
              <w:top w:val="single" w:sz="6" w:space="0" w:color="000000"/>
            </w:tcBorders>
          </w:tcPr>
          <w:p>
            <w:pPr>
              <w:pStyle w:val="TableParagraph"/>
              <w:spacing w:before="18"/>
              <w:ind w:left="1305"/>
              <w:rPr>
                <w:sz w:val="18"/>
              </w:rPr>
            </w:pPr>
            <w:r>
              <w:rPr>
                <w:spacing w:val="-2"/>
                <w:sz w:val="18"/>
              </w:rPr>
              <w:t>-3.646342</w:t>
            </w:r>
          </w:p>
        </w:tc>
        <w:tc>
          <w:tcPr>
            <w:tcW w:w="915"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7" w:type="dxa"/>
          </w:tcPr>
          <w:p>
            <w:pPr>
              <w:pStyle w:val="TableParagraph"/>
              <w:ind w:left="317"/>
              <w:rPr>
                <w:sz w:val="18"/>
              </w:rPr>
            </w:pPr>
            <w:r>
              <w:rPr>
                <w:sz w:val="18"/>
              </w:rPr>
              <w:t>5%</w:t>
            </w:r>
            <w:r>
              <w:rPr>
                <w:spacing w:val="-3"/>
                <w:sz w:val="18"/>
              </w:rPr>
              <w:t> </w:t>
            </w:r>
            <w:r>
              <w:rPr>
                <w:spacing w:val="-2"/>
                <w:sz w:val="18"/>
              </w:rPr>
              <w:t>level</w:t>
            </w:r>
          </w:p>
        </w:tc>
        <w:tc>
          <w:tcPr>
            <w:tcW w:w="2403" w:type="dxa"/>
            <w:gridSpan w:val="2"/>
          </w:tcPr>
          <w:p>
            <w:pPr>
              <w:pStyle w:val="TableParagraph"/>
              <w:ind w:left="1305"/>
              <w:rPr>
                <w:sz w:val="18"/>
              </w:rPr>
            </w:pPr>
            <w:r>
              <w:rPr>
                <w:spacing w:val="-2"/>
                <w:sz w:val="18"/>
              </w:rPr>
              <w:t>-2.954021</w:t>
            </w:r>
          </w:p>
        </w:tc>
        <w:tc>
          <w:tcPr>
            <w:tcW w:w="915"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03" w:type="dxa"/>
            <w:gridSpan w:val="2"/>
            <w:tcBorders>
              <w:bottom w:val="double" w:sz="6" w:space="0" w:color="000000"/>
            </w:tcBorders>
          </w:tcPr>
          <w:p>
            <w:pPr>
              <w:pStyle w:val="TableParagraph"/>
              <w:spacing w:line="240" w:lineRule="auto"/>
              <w:ind w:left="1305"/>
              <w:rPr>
                <w:sz w:val="18"/>
              </w:rPr>
            </w:pPr>
            <w:r>
              <w:rPr>
                <w:spacing w:val="-2"/>
                <w:sz w:val="18"/>
              </w:rPr>
              <w:t>-2.615817</w:t>
            </w:r>
          </w:p>
        </w:tc>
        <w:tc>
          <w:tcPr>
            <w:tcW w:w="915"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5"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5"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5"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D(FDI,2)</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11" w:type="dxa"/>
          </w:tcPr>
          <w:p>
            <w:pPr>
              <w:pStyle w:val="TableParagraph"/>
              <w:spacing w:line="240" w:lineRule="auto" w:before="0"/>
              <w:rPr>
                <w:rFonts w:ascii="Times New Roman"/>
                <w:sz w:val="16"/>
              </w:rPr>
            </w:pPr>
          </w:p>
        </w:tc>
        <w:tc>
          <w:tcPr>
            <w:tcW w:w="915" w:type="dxa"/>
          </w:tcPr>
          <w:p>
            <w:pPr>
              <w:pStyle w:val="TableParagraph"/>
              <w:spacing w:line="240" w:lineRule="auto" w:before="0"/>
              <w:rPr>
                <w:rFonts w:ascii="Times New Roman"/>
                <w:sz w:val="16"/>
              </w:rPr>
            </w:pPr>
          </w:p>
        </w:tc>
      </w:tr>
      <w:tr>
        <w:trPr>
          <w:trHeight w:val="225" w:hRule="atLeast"/>
        </w:trPr>
        <w:tc>
          <w:tcPr>
            <w:tcW w:w="6535" w:type="dxa"/>
            <w:gridSpan w:val="5"/>
          </w:tcPr>
          <w:p>
            <w:pPr>
              <w:pStyle w:val="TableParagraph"/>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06:10</w:t>
            </w:r>
          </w:p>
        </w:tc>
      </w:tr>
      <w:tr>
        <w:trPr>
          <w:trHeight w:val="224" w:hRule="atLeast"/>
        </w:trPr>
        <w:tc>
          <w:tcPr>
            <w:tcW w:w="6535"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1988</w:t>
            </w:r>
            <w:r>
              <w:rPr>
                <w:spacing w:val="-4"/>
                <w:sz w:val="18"/>
              </w:rPr>
              <w:t> 2020</w:t>
            </w: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33</w:t>
            </w:r>
            <w:r>
              <w:rPr>
                <w:spacing w:val="-5"/>
                <w:sz w:val="18"/>
              </w:rPr>
              <w:t> </w:t>
            </w:r>
            <w:r>
              <w:rPr>
                <w:sz w:val="18"/>
              </w:rPr>
              <w:t>after</w:t>
            </w:r>
            <w:r>
              <w:rPr>
                <w:spacing w:val="-2"/>
                <w:sz w:val="18"/>
              </w:rPr>
              <w:t> 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11" w:type="dxa"/>
            <w:tcBorders>
              <w:top w:val="double" w:sz="6" w:space="0" w:color="000000"/>
              <w:bottom w:val="double" w:sz="6" w:space="0" w:color="000000"/>
            </w:tcBorders>
          </w:tcPr>
          <w:p>
            <w:pPr>
              <w:pStyle w:val="TableParagraph"/>
              <w:spacing w:line="240" w:lineRule="auto" w:before="108"/>
              <w:ind w:right="94"/>
              <w:jc w:val="right"/>
              <w:rPr>
                <w:sz w:val="18"/>
              </w:rPr>
            </w:pPr>
            <w:r>
              <w:rPr>
                <w:sz w:val="18"/>
              </w:rPr>
              <w:t>t-</w:t>
            </w:r>
            <w:r>
              <w:rPr>
                <w:spacing w:val="-2"/>
                <w:sz w:val="18"/>
              </w:rPr>
              <w:t>Statistic</w:t>
            </w:r>
          </w:p>
        </w:tc>
        <w:tc>
          <w:tcPr>
            <w:tcW w:w="915" w:type="dxa"/>
            <w:tcBorders>
              <w:top w:val="double" w:sz="6" w:space="0" w:color="000000"/>
              <w:bottom w:val="double" w:sz="6" w:space="0" w:color="000000"/>
            </w:tcBorders>
          </w:tcPr>
          <w:p>
            <w:pPr>
              <w:pStyle w:val="TableParagraph"/>
              <w:spacing w:line="240" w:lineRule="auto" w:before="108"/>
              <w:ind w:left="371"/>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597"/>
              <w:rPr>
                <w:sz w:val="18"/>
              </w:rPr>
            </w:pPr>
            <w:r>
              <w:rPr>
                <w:spacing w:val="-2"/>
                <w:sz w:val="18"/>
              </w:rPr>
              <w:t>D(FDI(-</w:t>
            </w:r>
            <w:r>
              <w:rPr>
                <w:spacing w:val="-5"/>
                <w:sz w:val="18"/>
              </w:rPr>
              <w:t>1))</w:t>
            </w:r>
          </w:p>
        </w:tc>
        <w:tc>
          <w:tcPr>
            <w:tcW w:w="1307" w:type="dxa"/>
            <w:tcBorders>
              <w:top w:val="double" w:sz="6" w:space="0" w:color="000000"/>
            </w:tcBorders>
          </w:tcPr>
          <w:p>
            <w:pPr>
              <w:pStyle w:val="TableParagraph"/>
              <w:spacing w:before="108"/>
              <w:ind w:right="105"/>
              <w:jc w:val="right"/>
              <w:rPr>
                <w:sz w:val="18"/>
              </w:rPr>
            </w:pPr>
            <w:r>
              <w:rPr>
                <w:spacing w:val="-2"/>
                <w:sz w:val="18"/>
              </w:rPr>
              <w:t>-0.717381</w:t>
            </w:r>
          </w:p>
        </w:tc>
        <w:tc>
          <w:tcPr>
            <w:tcW w:w="1492" w:type="dxa"/>
            <w:tcBorders>
              <w:top w:val="double" w:sz="6" w:space="0" w:color="000000"/>
            </w:tcBorders>
          </w:tcPr>
          <w:p>
            <w:pPr>
              <w:pStyle w:val="TableParagraph"/>
              <w:spacing w:before="108"/>
              <w:ind w:left="349"/>
              <w:rPr>
                <w:sz w:val="18"/>
              </w:rPr>
            </w:pPr>
            <w:r>
              <w:rPr>
                <w:spacing w:val="-2"/>
                <w:sz w:val="18"/>
              </w:rPr>
              <w:t>0.172674</w:t>
            </w:r>
          </w:p>
        </w:tc>
        <w:tc>
          <w:tcPr>
            <w:tcW w:w="911" w:type="dxa"/>
            <w:tcBorders>
              <w:top w:val="double" w:sz="6" w:space="0" w:color="000000"/>
            </w:tcBorders>
          </w:tcPr>
          <w:p>
            <w:pPr>
              <w:pStyle w:val="TableParagraph"/>
              <w:spacing w:before="108"/>
              <w:ind w:right="94"/>
              <w:jc w:val="right"/>
              <w:rPr>
                <w:sz w:val="18"/>
              </w:rPr>
            </w:pPr>
            <w:r>
              <w:rPr>
                <w:spacing w:val="-2"/>
                <w:sz w:val="18"/>
              </w:rPr>
              <w:t>-4.154537</w:t>
            </w:r>
          </w:p>
        </w:tc>
        <w:tc>
          <w:tcPr>
            <w:tcW w:w="915" w:type="dxa"/>
            <w:tcBorders>
              <w:top w:val="double" w:sz="6" w:space="0" w:color="000000"/>
            </w:tcBorders>
          </w:tcPr>
          <w:p>
            <w:pPr>
              <w:pStyle w:val="TableParagraph"/>
              <w:spacing w:before="108"/>
              <w:ind w:right="10"/>
              <w:jc w:val="right"/>
              <w:rPr>
                <w:sz w:val="18"/>
              </w:rPr>
            </w:pPr>
            <w:r>
              <w:rPr>
                <w:spacing w:val="-2"/>
                <w:sz w:val="18"/>
              </w:rPr>
              <w:t>0.0002</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72.88638</w:t>
            </w:r>
          </w:p>
        </w:tc>
        <w:tc>
          <w:tcPr>
            <w:tcW w:w="1492" w:type="dxa"/>
            <w:tcBorders>
              <w:bottom w:val="double" w:sz="6" w:space="0" w:color="000000"/>
            </w:tcBorders>
          </w:tcPr>
          <w:p>
            <w:pPr>
              <w:pStyle w:val="TableParagraph"/>
              <w:spacing w:line="240" w:lineRule="auto"/>
              <w:ind w:left="349"/>
              <w:rPr>
                <w:sz w:val="18"/>
              </w:rPr>
            </w:pPr>
            <w:r>
              <w:rPr>
                <w:spacing w:val="-2"/>
                <w:sz w:val="18"/>
              </w:rPr>
              <w:t>64.92140</w:t>
            </w:r>
          </w:p>
        </w:tc>
        <w:tc>
          <w:tcPr>
            <w:tcW w:w="911" w:type="dxa"/>
            <w:tcBorders>
              <w:bottom w:val="double" w:sz="6" w:space="0" w:color="000000"/>
            </w:tcBorders>
          </w:tcPr>
          <w:p>
            <w:pPr>
              <w:pStyle w:val="TableParagraph"/>
              <w:spacing w:line="240" w:lineRule="auto"/>
              <w:ind w:right="94"/>
              <w:jc w:val="right"/>
              <w:rPr>
                <w:sz w:val="18"/>
              </w:rPr>
            </w:pPr>
            <w:r>
              <w:rPr>
                <w:spacing w:val="-2"/>
                <w:sz w:val="18"/>
              </w:rPr>
              <w:t>1.122687</w:t>
            </w:r>
          </w:p>
        </w:tc>
        <w:tc>
          <w:tcPr>
            <w:tcW w:w="915" w:type="dxa"/>
            <w:tcBorders>
              <w:bottom w:val="double" w:sz="6" w:space="0" w:color="000000"/>
            </w:tcBorders>
          </w:tcPr>
          <w:p>
            <w:pPr>
              <w:pStyle w:val="TableParagraph"/>
              <w:spacing w:line="240" w:lineRule="auto"/>
              <w:ind w:right="10"/>
              <w:jc w:val="right"/>
              <w:rPr>
                <w:sz w:val="18"/>
              </w:rPr>
            </w:pPr>
            <w:r>
              <w:rPr>
                <w:spacing w:val="-2"/>
                <w:sz w:val="18"/>
              </w:rPr>
              <w:t>0.2702</w:t>
            </w:r>
          </w:p>
        </w:tc>
      </w:tr>
      <w:tr>
        <w:trPr>
          <w:trHeight w:val="326" w:hRule="atLeast"/>
        </w:trPr>
        <w:tc>
          <w:tcPr>
            <w:tcW w:w="1910" w:type="dxa"/>
            <w:tcBorders>
              <w:top w:val="double" w:sz="6" w:space="0" w:color="000000"/>
            </w:tcBorders>
          </w:tcPr>
          <w:p>
            <w:pPr>
              <w:pStyle w:val="TableParagraph"/>
              <w:spacing w:line="198" w:lineRule="exact" w:before="108"/>
              <w:rPr>
                <w:sz w:val="18"/>
              </w:rPr>
            </w:pPr>
            <w:r>
              <w:rPr>
                <w:spacing w:val="-2"/>
                <w:sz w:val="18"/>
              </w:rPr>
              <w:t>R-squared</w:t>
            </w:r>
          </w:p>
        </w:tc>
        <w:tc>
          <w:tcPr>
            <w:tcW w:w="1307" w:type="dxa"/>
            <w:tcBorders>
              <w:top w:val="double" w:sz="6" w:space="0" w:color="000000"/>
            </w:tcBorders>
          </w:tcPr>
          <w:p>
            <w:pPr>
              <w:pStyle w:val="TableParagraph"/>
              <w:spacing w:line="198" w:lineRule="exact" w:before="108"/>
              <w:ind w:right="105"/>
              <w:jc w:val="right"/>
              <w:rPr>
                <w:sz w:val="18"/>
              </w:rPr>
            </w:pPr>
            <w:r>
              <w:rPr>
                <w:spacing w:val="-2"/>
                <w:sz w:val="18"/>
              </w:rPr>
              <w:t>0.357648</w:t>
            </w:r>
          </w:p>
        </w:tc>
        <w:tc>
          <w:tcPr>
            <w:tcW w:w="2403" w:type="dxa"/>
            <w:gridSpan w:val="2"/>
            <w:tcBorders>
              <w:top w:val="double" w:sz="6" w:space="0" w:color="000000"/>
            </w:tcBorders>
          </w:tcPr>
          <w:p>
            <w:pPr>
              <w:pStyle w:val="TableParagraph"/>
              <w:spacing w:line="198" w:lineRule="exact" w:before="108"/>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915" w:type="dxa"/>
            <w:tcBorders>
              <w:top w:val="double" w:sz="6" w:space="0" w:color="000000"/>
            </w:tcBorders>
          </w:tcPr>
          <w:p>
            <w:pPr>
              <w:pStyle w:val="TableParagraph"/>
              <w:spacing w:line="198" w:lineRule="exact" w:before="108"/>
              <w:ind w:right="10"/>
              <w:jc w:val="right"/>
              <w:rPr>
                <w:sz w:val="18"/>
              </w:rPr>
            </w:pPr>
            <w:r>
              <w:rPr>
                <w:spacing w:val="-2"/>
                <w:sz w:val="18"/>
              </w:rPr>
              <w:t>-2.406061</w:t>
            </w:r>
          </w:p>
        </w:tc>
      </w:tr>
      <w:tr>
        <w:trPr>
          <w:trHeight w:val="224" w:hRule="atLeast"/>
        </w:trPr>
        <w:tc>
          <w:tcPr>
            <w:tcW w:w="1910"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spacing w:before="5"/>
              <w:ind w:right="105"/>
              <w:jc w:val="right"/>
              <w:rPr>
                <w:sz w:val="18"/>
              </w:rPr>
            </w:pPr>
            <w:r>
              <w:rPr>
                <w:spacing w:val="-2"/>
                <w:sz w:val="18"/>
              </w:rPr>
              <w:t>0.336927</w:t>
            </w:r>
          </w:p>
        </w:tc>
        <w:tc>
          <w:tcPr>
            <w:tcW w:w="2403" w:type="dxa"/>
            <w:gridSpan w:val="2"/>
          </w:tcPr>
          <w:p>
            <w:pPr>
              <w:pStyle w:val="TableParagraph"/>
              <w:spacing w:before="5"/>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915" w:type="dxa"/>
          </w:tcPr>
          <w:p>
            <w:pPr>
              <w:pStyle w:val="TableParagraph"/>
              <w:spacing w:before="5"/>
              <w:ind w:right="10"/>
              <w:jc w:val="right"/>
              <w:rPr>
                <w:sz w:val="18"/>
              </w:rPr>
            </w:pPr>
            <w:r>
              <w:rPr>
                <w:spacing w:val="-2"/>
                <w:sz w:val="18"/>
              </w:rPr>
              <w:t>439.7919</w:t>
            </w:r>
          </w:p>
        </w:tc>
      </w:tr>
      <w:tr>
        <w:trPr>
          <w:trHeight w:val="225" w:hRule="atLeast"/>
        </w:trPr>
        <w:tc>
          <w:tcPr>
            <w:tcW w:w="1910" w:type="dxa"/>
          </w:tcPr>
          <w:p>
            <w:pPr>
              <w:pStyle w:val="TableParagraph"/>
              <w:rPr>
                <w:sz w:val="18"/>
              </w:rPr>
            </w:pPr>
            <w:r>
              <w:rPr>
                <w:sz w:val="18"/>
              </w:rPr>
              <w:t>S.E.</w:t>
            </w:r>
            <w:r>
              <w:rPr>
                <w:spacing w:val="-2"/>
                <w:sz w:val="18"/>
              </w:rPr>
              <w:t> </w:t>
            </w:r>
            <w:r>
              <w:rPr>
                <w:sz w:val="18"/>
              </w:rPr>
              <w:t>of </w:t>
            </w:r>
            <w:r>
              <w:rPr>
                <w:spacing w:val="-2"/>
                <w:sz w:val="18"/>
              </w:rPr>
              <w:t>regression</w:t>
            </w:r>
          </w:p>
        </w:tc>
        <w:tc>
          <w:tcPr>
            <w:tcW w:w="1307" w:type="dxa"/>
          </w:tcPr>
          <w:p>
            <w:pPr>
              <w:pStyle w:val="TableParagraph"/>
              <w:ind w:right="105"/>
              <w:jc w:val="right"/>
              <w:rPr>
                <w:sz w:val="18"/>
              </w:rPr>
            </w:pPr>
            <w:r>
              <w:rPr>
                <w:spacing w:val="-2"/>
                <w:sz w:val="18"/>
              </w:rPr>
              <w:t>358.1193</w:t>
            </w:r>
          </w:p>
        </w:tc>
        <w:tc>
          <w:tcPr>
            <w:tcW w:w="2403" w:type="dxa"/>
            <w:gridSpan w:val="2"/>
          </w:tcPr>
          <w:p>
            <w:pPr>
              <w:pStyle w:val="TableParagraph"/>
              <w:ind w:left="105"/>
              <w:rPr>
                <w:sz w:val="18"/>
              </w:rPr>
            </w:pPr>
            <w:r>
              <w:rPr>
                <w:sz w:val="18"/>
              </w:rPr>
              <w:t>Akaike</w:t>
            </w:r>
            <w:r>
              <w:rPr>
                <w:spacing w:val="-3"/>
                <w:sz w:val="18"/>
              </w:rPr>
              <w:t> </w:t>
            </w:r>
            <w:r>
              <w:rPr>
                <w:sz w:val="18"/>
              </w:rPr>
              <w:t>info</w:t>
            </w:r>
            <w:r>
              <w:rPr>
                <w:spacing w:val="-2"/>
                <w:sz w:val="18"/>
              </w:rPr>
              <w:t> criterion</w:t>
            </w:r>
          </w:p>
        </w:tc>
        <w:tc>
          <w:tcPr>
            <w:tcW w:w="915" w:type="dxa"/>
          </w:tcPr>
          <w:p>
            <w:pPr>
              <w:pStyle w:val="TableParagraph"/>
              <w:ind w:right="10"/>
              <w:jc w:val="right"/>
              <w:rPr>
                <w:sz w:val="18"/>
              </w:rPr>
            </w:pPr>
            <w:r>
              <w:rPr>
                <w:spacing w:val="-2"/>
                <w:sz w:val="18"/>
              </w:rPr>
              <w:t>14.65830</w:t>
            </w:r>
          </w:p>
        </w:tc>
      </w:tr>
      <w:tr>
        <w:trPr>
          <w:trHeight w:val="225" w:hRule="atLeast"/>
        </w:trPr>
        <w:tc>
          <w:tcPr>
            <w:tcW w:w="1910"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307" w:type="dxa"/>
          </w:tcPr>
          <w:p>
            <w:pPr>
              <w:pStyle w:val="TableParagraph"/>
              <w:ind w:right="105"/>
              <w:jc w:val="right"/>
              <w:rPr>
                <w:sz w:val="18"/>
              </w:rPr>
            </w:pPr>
            <w:r>
              <w:rPr>
                <w:spacing w:val="-2"/>
                <w:sz w:val="18"/>
              </w:rPr>
              <w:t>3975733.</w:t>
            </w:r>
          </w:p>
        </w:tc>
        <w:tc>
          <w:tcPr>
            <w:tcW w:w="1492" w:type="dxa"/>
          </w:tcPr>
          <w:p>
            <w:pPr>
              <w:pStyle w:val="TableParagraph"/>
              <w:ind w:left="105"/>
              <w:rPr>
                <w:sz w:val="18"/>
              </w:rPr>
            </w:pPr>
            <w:r>
              <w:rPr>
                <w:sz w:val="18"/>
              </w:rPr>
              <w:t>Schwarz</w:t>
            </w:r>
            <w:r>
              <w:rPr>
                <w:spacing w:val="-4"/>
                <w:sz w:val="18"/>
              </w:rPr>
              <w:t> </w:t>
            </w:r>
            <w:r>
              <w:rPr>
                <w:spacing w:val="-2"/>
                <w:sz w:val="18"/>
              </w:rPr>
              <w:t>criterion</w:t>
            </w:r>
          </w:p>
        </w:tc>
        <w:tc>
          <w:tcPr>
            <w:tcW w:w="911" w:type="dxa"/>
          </w:tcPr>
          <w:p>
            <w:pPr>
              <w:pStyle w:val="TableParagraph"/>
              <w:spacing w:line="240" w:lineRule="auto" w:before="0"/>
              <w:rPr>
                <w:rFonts w:ascii="Times New Roman"/>
                <w:sz w:val="16"/>
              </w:rPr>
            </w:pPr>
          </w:p>
        </w:tc>
        <w:tc>
          <w:tcPr>
            <w:tcW w:w="915" w:type="dxa"/>
          </w:tcPr>
          <w:p>
            <w:pPr>
              <w:pStyle w:val="TableParagraph"/>
              <w:ind w:right="10"/>
              <w:jc w:val="right"/>
              <w:rPr>
                <w:sz w:val="18"/>
              </w:rPr>
            </w:pPr>
            <w:r>
              <w:rPr>
                <w:spacing w:val="-2"/>
                <w:sz w:val="18"/>
              </w:rPr>
              <w:t>14.74900</w:t>
            </w:r>
          </w:p>
        </w:tc>
      </w:tr>
      <w:tr>
        <w:trPr>
          <w:trHeight w:val="224" w:hRule="atLeast"/>
        </w:trPr>
        <w:tc>
          <w:tcPr>
            <w:tcW w:w="1910" w:type="dxa"/>
          </w:tcPr>
          <w:p>
            <w:pPr>
              <w:pStyle w:val="TableParagraph"/>
              <w:spacing w:line="198" w:lineRule="exact"/>
              <w:rPr>
                <w:sz w:val="18"/>
              </w:rPr>
            </w:pPr>
            <w:r>
              <w:rPr>
                <w:sz w:val="18"/>
              </w:rPr>
              <w:t>Log</w:t>
            </w:r>
            <w:r>
              <w:rPr>
                <w:spacing w:val="-3"/>
                <w:sz w:val="18"/>
              </w:rPr>
              <w:t> </w:t>
            </w:r>
            <w:r>
              <w:rPr>
                <w:spacing w:val="-2"/>
                <w:sz w:val="18"/>
              </w:rPr>
              <w:t>likelihood</w:t>
            </w:r>
          </w:p>
        </w:tc>
        <w:tc>
          <w:tcPr>
            <w:tcW w:w="1307" w:type="dxa"/>
          </w:tcPr>
          <w:p>
            <w:pPr>
              <w:pStyle w:val="TableParagraph"/>
              <w:spacing w:line="198" w:lineRule="exact"/>
              <w:ind w:right="105"/>
              <w:jc w:val="right"/>
              <w:rPr>
                <w:sz w:val="18"/>
              </w:rPr>
            </w:pPr>
            <w:r>
              <w:rPr>
                <w:spacing w:val="-2"/>
                <w:sz w:val="18"/>
              </w:rPr>
              <w:t>-239.8620</w:t>
            </w:r>
          </w:p>
        </w:tc>
        <w:tc>
          <w:tcPr>
            <w:tcW w:w="2403" w:type="dxa"/>
            <w:gridSpan w:val="2"/>
          </w:tcPr>
          <w:p>
            <w:pPr>
              <w:pStyle w:val="TableParagraph"/>
              <w:spacing w:line="198" w:lineRule="exact"/>
              <w:ind w:left="105"/>
              <w:rPr>
                <w:sz w:val="18"/>
              </w:rPr>
            </w:pPr>
            <w:r>
              <w:rPr>
                <w:spacing w:val="-2"/>
                <w:sz w:val="18"/>
              </w:rPr>
              <w:t>Hannan-Quinn</w:t>
            </w:r>
            <w:r>
              <w:rPr>
                <w:spacing w:val="11"/>
                <w:sz w:val="18"/>
              </w:rPr>
              <w:t> </w:t>
            </w:r>
            <w:r>
              <w:rPr>
                <w:spacing w:val="-2"/>
                <w:sz w:val="18"/>
              </w:rPr>
              <w:t>criter.</w:t>
            </w:r>
          </w:p>
        </w:tc>
        <w:tc>
          <w:tcPr>
            <w:tcW w:w="915" w:type="dxa"/>
          </w:tcPr>
          <w:p>
            <w:pPr>
              <w:pStyle w:val="TableParagraph"/>
              <w:spacing w:line="198" w:lineRule="exact"/>
              <w:ind w:right="10"/>
              <w:jc w:val="right"/>
              <w:rPr>
                <w:sz w:val="18"/>
              </w:rPr>
            </w:pPr>
            <w:r>
              <w:rPr>
                <w:spacing w:val="-2"/>
                <w:sz w:val="18"/>
              </w:rPr>
              <w:t>14.68882</w:t>
            </w:r>
          </w:p>
        </w:tc>
      </w:tr>
      <w:tr>
        <w:trPr>
          <w:trHeight w:val="224" w:hRule="atLeast"/>
        </w:trPr>
        <w:tc>
          <w:tcPr>
            <w:tcW w:w="1910" w:type="dxa"/>
          </w:tcPr>
          <w:p>
            <w:pPr>
              <w:pStyle w:val="TableParagraph"/>
              <w:spacing w:before="5"/>
              <w:rPr>
                <w:sz w:val="18"/>
              </w:rPr>
            </w:pPr>
            <w:r>
              <w:rPr>
                <w:spacing w:val="-2"/>
                <w:sz w:val="18"/>
              </w:rPr>
              <w:t>F-statistic</w:t>
            </w:r>
          </w:p>
        </w:tc>
        <w:tc>
          <w:tcPr>
            <w:tcW w:w="1307" w:type="dxa"/>
          </w:tcPr>
          <w:p>
            <w:pPr>
              <w:pStyle w:val="TableParagraph"/>
              <w:spacing w:before="5"/>
              <w:ind w:right="105"/>
              <w:jc w:val="right"/>
              <w:rPr>
                <w:sz w:val="18"/>
              </w:rPr>
            </w:pPr>
            <w:r>
              <w:rPr>
                <w:spacing w:val="-2"/>
                <w:sz w:val="18"/>
              </w:rPr>
              <w:t>17.26018</w:t>
            </w:r>
          </w:p>
        </w:tc>
        <w:tc>
          <w:tcPr>
            <w:tcW w:w="2403" w:type="dxa"/>
            <w:gridSpan w:val="2"/>
          </w:tcPr>
          <w:p>
            <w:pPr>
              <w:pStyle w:val="TableParagraph"/>
              <w:spacing w:before="5"/>
              <w:ind w:left="105"/>
              <w:rPr>
                <w:sz w:val="18"/>
              </w:rPr>
            </w:pPr>
            <w:r>
              <w:rPr>
                <w:spacing w:val="-2"/>
                <w:sz w:val="18"/>
              </w:rPr>
              <w:t>Durbin-Watson</w:t>
            </w:r>
            <w:r>
              <w:rPr>
                <w:spacing w:val="13"/>
                <w:sz w:val="18"/>
              </w:rPr>
              <w:t> </w:t>
            </w:r>
            <w:r>
              <w:rPr>
                <w:spacing w:val="-4"/>
                <w:sz w:val="18"/>
              </w:rPr>
              <w:t>stat</w:t>
            </w:r>
          </w:p>
        </w:tc>
        <w:tc>
          <w:tcPr>
            <w:tcW w:w="915" w:type="dxa"/>
          </w:tcPr>
          <w:p>
            <w:pPr>
              <w:pStyle w:val="TableParagraph"/>
              <w:spacing w:before="5"/>
              <w:ind w:right="10"/>
              <w:jc w:val="right"/>
              <w:rPr>
                <w:sz w:val="18"/>
              </w:rPr>
            </w:pPr>
            <w:r>
              <w:rPr>
                <w:spacing w:val="-2"/>
                <w:sz w:val="18"/>
              </w:rPr>
              <w:t>1.927429</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0.000237</w:t>
            </w:r>
          </w:p>
        </w:tc>
        <w:tc>
          <w:tcPr>
            <w:tcW w:w="2403" w:type="dxa"/>
            <w:gridSpan w:val="2"/>
            <w:tcBorders>
              <w:bottom w:val="double" w:sz="6" w:space="0" w:color="000000"/>
            </w:tcBorders>
          </w:tcPr>
          <w:p>
            <w:pPr>
              <w:pStyle w:val="TableParagraph"/>
              <w:spacing w:line="240" w:lineRule="auto" w:before="0"/>
              <w:rPr>
                <w:rFonts w:ascii="Times New Roman"/>
                <w:sz w:val="18"/>
              </w:rPr>
            </w:pPr>
          </w:p>
        </w:tc>
        <w:tc>
          <w:tcPr>
            <w:tcW w:w="915"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24544">
                <wp:simplePos x="0" y="0"/>
                <wp:positionH relativeFrom="page">
                  <wp:posOffset>950112</wp:posOffset>
                </wp:positionH>
                <wp:positionV relativeFrom="page">
                  <wp:posOffset>5495962</wp:posOffset>
                </wp:positionV>
                <wp:extent cx="2223770" cy="2362200"/>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91936" id="docshape247"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25056">
                <wp:simplePos x="0" y="0"/>
                <wp:positionH relativeFrom="page">
                  <wp:posOffset>2872486</wp:posOffset>
                </wp:positionH>
                <wp:positionV relativeFrom="page">
                  <wp:posOffset>2197353</wp:posOffset>
                </wp:positionV>
                <wp:extent cx="3583304" cy="3612515"/>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91424" id="docshape248"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492"/>
        <w:gridCol w:w="941"/>
        <w:gridCol w:w="885"/>
      </w:tblGrid>
      <w:tr>
        <w:trPr>
          <w:trHeight w:val="213" w:hRule="atLeast"/>
        </w:trPr>
        <w:tc>
          <w:tcPr>
            <w:tcW w:w="6535" w:type="dxa"/>
            <w:gridSpan w:val="5"/>
          </w:tcPr>
          <w:p>
            <w:pPr>
              <w:pStyle w:val="TableParagraph"/>
              <w:spacing w:line="193" w:lineRule="exact" w:before="0"/>
              <w:rPr>
                <w:sz w:val="18"/>
              </w:rPr>
            </w:pPr>
            <w:r>
              <w:rPr>
                <w:sz w:val="18"/>
              </w:rPr>
              <w:t>Null</w:t>
            </w:r>
            <w:r>
              <w:rPr>
                <w:spacing w:val="-3"/>
                <w:sz w:val="18"/>
              </w:rPr>
              <w:t> </w:t>
            </w:r>
            <w:r>
              <w:rPr>
                <w:sz w:val="18"/>
              </w:rPr>
              <w:t>Hypothesis:</w:t>
            </w:r>
            <w:r>
              <w:rPr>
                <w:spacing w:val="-3"/>
                <w:sz w:val="18"/>
              </w:rPr>
              <w:t> </w:t>
            </w:r>
            <w:r>
              <w:rPr>
                <w:sz w:val="18"/>
              </w:rPr>
              <w:t>FPI</w:t>
            </w:r>
            <w:r>
              <w:rPr>
                <w:spacing w:val="-3"/>
                <w:sz w:val="18"/>
              </w:rPr>
              <w:t> </w:t>
            </w:r>
            <w:r>
              <w:rPr>
                <w:sz w:val="18"/>
              </w:rPr>
              <w:t>has</w:t>
            </w:r>
            <w:r>
              <w:rPr>
                <w:spacing w:val="-2"/>
                <w:sz w:val="18"/>
              </w:rPr>
              <w:t> </w:t>
            </w:r>
            <w:r>
              <w:rPr>
                <w:sz w:val="18"/>
              </w:rPr>
              <w:t>a</w:t>
            </w:r>
            <w:r>
              <w:rPr>
                <w:spacing w:val="-5"/>
                <w:sz w:val="18"/>
              </w:rPr>
              <w:t> </w:t>
            </w:r>
            <w:r>
              <w:rPr>
                <w:sz w:val="18"/>
              </w:rPr>
              <w:t>unit</w:t>
            </w:r>
            <w:r>
              <w:rPr>
                <w:spacing w:val="-2"/>
                <w:sz w:val="18"/>
              </w:rPr>
              <w:t> </w:t>
            </w:r>
            <w:r>
              <w:rPr>
                <w:spacing w:val="-4"/>
                <w:sz w:val="18"/>
              </w:rPr>
              <w:t>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Lag</w:t>
            </w:r>
            <w:r>
              <w:rPr>
                <w:spacing w:val="-5"/>
                <w:sz w:val="18"/>
              </w:rPr>
              <w:t> </w:t>
            </w:r>
            <w:r>
              <w:rPr>
                <w:sz w:val="18"/>
              </w:rPr>
              <w:t>Length:</w:t>
            </w:r>
            <w:r>
              <w:rPr>
                <w:spacing w:val="-2"/>
                <w:sz w:val="18"/>
              </w:rPr>
              <w:t> </w:t>
            </w:r>
            <w:r>
              <w:rPr>
                <w:sz w:val="18"/>
              </w:rPr>
              <w:t>0 (Automatic -</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3"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182"/>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33" w:type="dxa"/>
            <w:gridSpan w:val="2"/>
            <w:tcBorders>
              <w:top w:val="double" w:sz="6" w:space="0" w:color="000000"/>
              <w:bottom w:val="single" w:sz="6" w:space="0" w:color="000000"/>
            </w:tcBorders>
          </w:tcPr>
          <w:p>
            <w:pPr>
              <w:pStyle w:val="TableParagraph"/>
              <w:spacing w:line="187" w:lineRule="exact" w:before="108"/>
              <w:ind w:left="1305"/>
              <w:rPr>
                <w:sz w:val="18"/>
              </w:rPr>
            </w:pPr>
            <w:r>
              <w:rPr>
                <w:spacing w:val="-2"/>
                <w:sz w:val="18"/>
              </w:rPr>
              <w:t>-0.917336</w:t>
            </w:r>
          </w:p>
        </w:tc>
        <w:tc>
          <w:tcPr>
            <w:tcW w:w="885" w:type="dxa"/>
            <w:tcBorders>
              <w:top w:val="double" w:sz="6" w:space="0" w:color="000000"/>
              <w:bottom w:val="single" w:sz="6" w:space="0" w:color="000000"/>
            </w:tcBorders>
          </w:tcPr>
          <w:p>
            <w:pPr>
              <w:pStyle w:val="TableParagraph"/>
              <w:spacing w:line="187" w:lineRule="exact" w:before="108"/>
              <w:ind w:left="132"/>
              <w:rPr>
                <w:sz w:val="18"/>
              </w:rPr>
            </w:pPr>
            <w:r>
              <w:rPr>
                <w:spacing w:val="-2"/>
                <w:sz w:val="18"/>
              </w:rPr>
              <w:t>0.7704</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7"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33" w:type="dxa"/>
            <w:gridSpan w:val="2"/>
            <w:tcBorders>
              <w:top w:val="single" w:sz="6" w:space="0" w:color="000000"/>
            </w:tcBorders>
          </w:tcPr>
          <w:p>
            <w:pPr>
              <w:pStyle w:val="TableParagraph"/>
              <w:spacing w:before="18"/>
              <w:ind w:left="1305"/>
              <w:rPr>
                <w:sz w:val="18"/>
              </w:rPr>
            </w:pPr>
            <w:r>
              <w:rPr>
                <w:spacing w:val="-2"/>
                <w:sz w:val="18"/>
              </w:rPr>
              <w:t>-3.639407</w:t>
            </w:r>
          </w:p>
        </w:tc>
        <w:tc>
          <w:tcPr>
            <w:tcW w:w="885"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7" w:type="dxa"/>
          </w:tcPr>
          <w:p>
            <w:pPr>
              <w:pStyle w:val="TableParagraph"/>
              <w:ind w:left="317"/>
              <w:rPr>
                <w:sz w:val="18"/>
              </w:rPr>
            </w:pPr>
            <w:r>
              <w:rPr>
                <w:sz w:val="18"/>
              </w:rPr>
              <w:t>5%</w:t>
            </w:r>
            <w:r>
              <w:rPr>
                <w:spacing w:val="-3"/>
                <w:sz w:val="18"/>
              </w:rPr>
              <w:t> </w:t>
            </w:r>
            <w:r>
              <w:rPr>
                <w:spacing w:val="-2"/>
                <w:sz w:val="18"/>
              </w:rPr>
              <w:t>level</w:t>
            </w:r>
          </w:p>
        </w:tc>
        <w:tc>
          <w:tcPr>
            <w:tcW w:w="2433" w:type="dxa"/>
            <w:gridSpan w:val="2"/>
          </w:tcPr>
          <w:p>
            <w:pPr>
              <w:pStyle w:val="TableParagraph"/>
              <w:ind w:left="1305"/>
              <w:rPr>
                <w:sz w:val="18"/>
              </w:rPr>
            </w:pPr>
            <w:r>
              <w:rPr>
                <w:spacing w:val="-2"/>
                <w:sz w:val="18"/>
              </w:rPr>
              <w:t>-2.951125</w:t>
            </w:r>
          </w:p>
        </w:tc>
        <w:tc>
          <w:tcPr>
            <w:tcW w:w="885"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33" w:type="dxa"/>
            <w:gridSpan w:val="2"/>
            <w:tcBorders>
              <w:bottom w:val="double" w:sz="6" w:space="0" w:color="000000"/>
            </w:tcBorders>
          </w:tcPr>
          <w:p>
            <w:pPr>
              <w:pStyle w:val="TableParagraph"/>
              <w:spacing w:line="240" w:lineRule="auto"/>
              <w:ind w:left="1305"/>
              <w:rPr>
                <w:sz w:val="18"/>
              </w:rPr>
            </w:pPr>
            <w:r>
              <w:rPr>
                <w:spacing w:val="-2"/>
                <w:sz w:val="18"/>
              </w:rPr>
              <w:t>-2.614300</w:t>
            </w:r>
          </w:p>
        </w:tc>
        <w:tc>
          <w:tcPr>
            <w:tcW w:w="885"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5"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5"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5"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D(FPI)</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225" w:hRule="atLeast"/>
        </w:trPr>
        <w:tc>
          <w:tcPr>
            <w:tcW w:w="6535" w:type="dxa"/>
            <w:gridSpan w:val="5"/>
          </w:tcPr>
          <w:p>
            <w:pPr>
              <w:pStyle w:val="TableParagraph"/>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06:10</w:t>
            </w:r>
          </w:p>
        </w:tc>
      </w:tr>
      <w:tr>
        <w:trPr>
          <w:trHeight w:val="224" w:hRule="atLeast"/>
        </w:trPr>
        <w:tc>
          <w:tcPr>
            <w:tcW w:w="6535"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1987</w:t>
            </w:r>
            <w:r>
              <w:rPr>
                <w:spacing w:val="-4"/>
                <w:sz w:val="18"/>
              </w:rPr>
              <w:t> 2020</w:t>
            </w: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34</w:t>
            </w:r>
            <w:r>
              <w:rPr>
                <w:spacing w:val="-5"/>
                <w:sz w:val="18"/>
              </w:rPr>
              <w:t> </w:t>
            </w:r>
            <w:r>
              <w:rPr>
                <w:sz w:val="18"/>
              </w:rPr>
              <w:t>after</w:t>
            </w:r>
            <w:r>
              <w:rPr>
                <w:spacing w:val="1"/>
                <w:sz w:val="18"/>
              </w:rPr>
              <w:t> </w:t>
            </w:r>
            <w:r>
              <w:rPr>
                <w:spacing w:val="-2"/>
                <w:sz w:val="18"/>
              </w:rPr>
              <w:t>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41" w:type="dxa"/>
            <w:tcBorders>
              <w:top w:val="double" w:sz="6" w:space="0" w:color="000000"/>
              <w:bottom w:val="double" w:sz="6" w:space="0" w:color="000000"/>
            </w:tcBorders>
          </w:tcPr>
          <w:p>
            <w:pPr>
              <w:pStyle w:val="TableParagraph"/>
              <w:spacing w:line="240" w:lineRule="auto" w:before="108"/>
              <w:ind w:right="124"/>
              <w:jc w:val="right"/>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341"/>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727"/>
              <w:rPr>
                <w:sz w:val="18"/>
              </w:rPr>
            </w:pPr>
            <w:r>
              <w:rPr>
                <w:spacing w:val="-2"/>
                <w:sz w:val="18"/>
              </w:rPr>
              <w:t>FPI(-</w:t>
            </w:r>
            <w:r>
              <w:rPr>
                <w:spacing w:val="-5"/>
                <w:sz w:val="18"/>
              </w:rPr>
              <w:t>1)</w:t>
            </w:r>
          </w:p>
        </w:tc>
        <w:tc>
          <w:tcPr>
            <w:tcW w:w="1307" w:type="dxa"/>
            <w:tcBorders>
              <w:top w:val="double" w:sz="6" w:space="0" w:color="000000"/>
            </w:tcBorders>
          </w:tcPr>
          <w:p>
            <w:pPr>
              <w:pStyle w:val="TableParagraph"/>
              <w:spacing w:before="108"/>
              <w:ind w:right="105"/>
              <w:jc w:val="right"/>
              <w:rPr>
                <w:sz w:val="18"/>
              </w:rPr>
            </w:pPr>
            <w:r>
              <w:rPr>
                <w:spacing w:val="-2"/>
                <w:sz w:val="18"/>
              </w:rPr>
              <w:t>-0.033429</w:t>
            </w:r>
          </w:p>
        </w:tc>
        <w:tc>
          <w:tcPr>
            <w:tcW w:w="1492" w:type="dxa"/>
            <w:tcBorders>
              <w:top w:val="double" w:sz="6" w:space="0" w:color="000000"/>
            </w:tcBorders>
          </w:tcPr>
          <w:p>
            <w:pPr>
              <w:pStyle w:val="TableParagraph"/>
              <w:spacing w:before="108"/>
              <w:ind w:left="349"/>
              <w:rPr>
                <w:sz w:val="18"/>
              </w:rPr>
            </w:pPr>
            <w:r>
              <w:rPr>
                <w:spacing w:val="-2"/>
                <w:sz w:val="18"/>
              </w:rPr>
              <w:t>0.036442</w:t>
            </w:r>
          </w:p>
        </w:tc>
        <w:tc>
          <w:tcPr>
            <w:tcW w:w="941" w:type="dxa"/>
            <w:tcBorders>
              <w:top w:val="double" w:sz="6" w:space="0" w:color="000000"/>
            </w:tcBorders>
          </w:tcPr>
          <w:p>
            <w:pPr>
              <w:pStyle w:val="TableParagraph"/>
              <w:spacing w:before="108"/>
              <w:ind w:right="124"/>
              <w:jc w:val="right"/>
              <w:rPr>
                <w:sz w:val="18"/>
              </w:rPr>
            </w:pPr>
            <w:r>
              <w:rPr>
                <w:spacing w:val="-2"/>
                <w:sz w:val="18"/>
              </w:rPr>
              <w:t>-0.917336</w:t>
            </w:r>
          </w:p>
        </w:tc>
        <w:tc>
          <w:tcPr>
            <w:tcW w:w="885" w:type="dxa"/>
            <w:tcBorders>
              <w:top w:val="double" w:sz="6" w:space="0" w:color="000000"/>
            </w:tcBorders>
          </w:tcPr>
          <w:p>
            <w:pPr>
              <w:pStyle w:val="TableParagraph"/>
              <w:spacing w:before="108"/>
              <w:ind w:right="10"/>
              <w:jc w:val="right"/>
              <w:rPr>
                <w:sz w:val="18"/>
              </w:rPr>
            </w:pPr>
            <w:r>
              <w:rPr>
                <w:spacing w:val="-2"/>
                <w:sz w:val="18"/>
              </w:rPr>
              <w:t>0.3658</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7.561765</w:t>
            </w:r>
          </w:p>
        </w:tc>
        <w:tc>
          <w:tcPr>
            <w:tcW w:w="1492" w:type="dxa"/>
            <w:tcBorders>
              <w:bottom w:val="double" w:sz="6" w:space="0" w:color="000000"/>
            </w:tcBorders>
          </w:tcPr>
          <w:p>
            <w:pPr>
              <w:pStyle w:val="TableParagraph"/>
              <w:spacing w:line="240" w:lineRule="auto"/>
              <w:ind w:left="349"/>
              <w:rPr>
                <w:sz w:val="18"/>
              </w:rPr>
            </w:pPr>
            <w:r>
              <w:rPr>
                <w:spacing w:val="-2"/>
                <w:sz w:val="18"/>
              </w:rPr>
              <w:t>3.969867</w:t>
            </w:r>
          </w:p>
        </w:tc>
        <w:tc>
          <w:tcPr>
            <w:tcW w:w="941" w:type="dxa"/>
            <w:tcBorders>
              <w:bottom w:val="double" w:sz="6" w:space="0" w:color="000000"/>
            </w:tcBorders>
          </w:tcPr>
          <w:p>
            <w:pPr>
              <w:pStyle w:val="TableParagraph"/>
              <w:spacing w:line="240" w:lineRule="auto"/>
              <w:ind w:right="124"/>
              <w:jc w:val="right"/>
              <w:rPr>
                <w:sz w:val="18"/>
              </w:rPr>
            </w:pPr>
            <w:r>
              <w:rPr>
                <w:spacing w:val="-2"/>
                <w:sz w:val="18"/>
              </w:rPr>
              <w:t>1.904791</w:t>
            </w:r>
          </w:p>
        </w:tc>
        <w:tc>
          <w:tcPr>
            <w:tcW w:w="885" w:type="dxa"/>
            <w:tcBorders>
              <w:bottom w:val="double" w:sz="6" w:space="0" w:color="000000"/>
            </w:tcBorders>
          </w:tcPr>
          <w:p>
            <w:pPr>
              <w:pStyle w:val="TableParagraph"/>
              <w:spacing w:line="240" w:lineRule="auto"/>
              <w:ind w:right="10"/>
              <w:jc w:val="right"/>
              <w:rPr>
                <w:sz w:val="18"/>
              </w:rPr>
            </w:pPr>
            <w:r>
              <w:rPr>
                <w:spacing w:val="-2"/>
                <w:sz w:val="18"/>
              </w:rPr>
              <w:t>0.0658</w:t>
            </w:r>
          </w:p>
        </w:tc>
      </w:tr>
      <w:tr>
        <w:trPr>
          <w:trHeight w:val="326" w:hRule="atLeast"/>
        </w:trPr>
        <w:tc>
          <w:tcPr>
            <w:tcW w:w="1910" w:type="dxa"/>
            <w:tcBorders>
              <w:top w:val="double" w:sz="6" w:space="0" w:color="000000"/>
            </w:tcBorders>
          </w:tcPr>
          <w:p>
            <w:pPr>
              <w:pStyle w:val="TableParagraph"/>
              <w:spacing w:line="198" w:lineRule="exact" w:before="108"/>
              <w:rPr>
                <w:sz w:val="18"/>
              </w:rPr>
            </w:pPr>
            <w:r>
              <w:rPr>
                <w:spacing w:val="-2"/>
                <w:sz w:val="18"/>
              </w:rPr>
              <w:t>R-squared</w:t>
            </w:r>
          </w:p>
        </w:tc>
        <w:tc>
          <w:tcPr>
            <w:tcW w:w="1307" w:type="dxa"/>
            <w:tcBorders>
              <w:top w:val="double" w:sz="6" w:space="0" w:color="000000"/>
            </w:tcBorders>
          </w:tcPr>
          <w:p>
            <w:pPr>
              <w:pStyle w:val="TableParagraph"/>
              <w:spacing w:line="198" w:lineRule="exact" w:before="108"/>
              <w:ind w:right="105"/>
              <w:jc w:val="right"/>
              <w:rPr>
                <w:sz w:val="18"/>
              </w:rPr>
            </w:pPr>
            <w:r>
              <w:rPr>
                <w:spacing w:val="-2"/>
                <w:sz w:val="18"/>
              </w:rPr>
              <w:t>0.025623</w:t>
            </w:r>
          </w:p>
        </w:tc>
        <w:tc>
          <w:tcPr>
            <w:tcW w:w="2433" w:type="dxa"/>
            <w:gridSpan w:val="2"/>
            <w:tcBorders>
              <w:top w:val="double" w:sz="6" w:space="0" w:color="000000"/>
            </w:tcBorders>
          </w:tcPr>
          <w:p>
            <w:pPr>
              <w:pStyle w:val="TableParagraph"/>
              <w:spacing w:line="198" w:lineRule="exact" w:before="108"/>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885" w:type="dxa"/>
            <w:tcBorders>
              <w:top w:val="double" w:sz="6" w:space="0" w:color="000000"/>
            </w:tcBorders>
          </w:tcPr>
          <w:p>
            <w:pPr>
              <w:pStyle w:val="TableParagraph"/>
              <w:spacing w:line="198" w:lineRule="exact" w:before="108"/>
              <w:ind w:right="10"/>
              <w:jc w:val="right"/>
              <w:rPr>
                <w:sz w:val="18"/>
              </w:rPr>
            </w:pPr>
            <w:r>
              <w:rPr>
                <w:spacing w:val="-2"/>
                <w:sz w:val="18"/>
              </w:rPr>
              <w:t>4.628824</w:t>
            </w:r>
          </w:p>
        </w:tc>
      </w:tr>
      <w:tr>
        <w:trPr>
          <w:trHeight w:val="224" w:hRule="atLeast"/>
        </w:trPr>
        <w:tc>
          <w:tcPr>
            <w:tcW w:w="1910"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spacing w:before="5"/>
              <w:ind w:right="105"/>
              <w:jc w:val="right"/>
              <w:rPr>
                <w:sz w:val="18"/>
              </w:rPr>
            </w:pPr>
            <w:r>
              <w:rPr>
                <w:spacing w:val="-2"/>
                <w:sz w:val="18"/>
              </w:rPr>
              <w:t>-0.004826</w:t>
            </w:r>
          </w:p>
        </w:tc>
        <w:tc>
          <w:tcPr>
            <w:tcW w:w="2433" w:type="dxa"/>
            <w:gridSpan w:val="2"/>
          </w:tcPr>
          <w:p>
            <w:pPr>
              <w:pStyle w:val="TableParagraph"/>
              <w:spacing w:before="5"/>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885" w:type="dxa"/>
          </w:tcPr>
          <w:p>
            <w:pPr>
              <w:pStyle w:val="TableParagraph"/>
              <w:spacing w:before="5"/>
              <w:ind w:right="10"/>
              <w:jc w:val="right"/>
              <w:rPr>
                <w:sz w:val="18"/>
              </w:rPr>
            </w:pPr>
            <w:r>
              <w:rPr>
                <w:spacing w:val="-2"/>
                <w:sz w:val="18"/>
              </w:rPr>
              <w:t>13.68836</w:t>
            </w:r>
          </w:p>
        </w:tc>
      </w:tr>
      <w:tr>
        <w:trPr>
          <w:trHeight w:val="225" w:hRule="atLeast"/>
        </w:trPr>
        <w:tc>
          <w:tcPr>
            <w:tcW w:w="1910" w:type="dxa"/>
          </w:tcPr>
          <w:p>
            <w:pPr>
              <w:pStyle w:val="TableParagraph"/>
              <w:rPr>
                <w:sz w:val="18"/>
              </w:rPr>
            </w:pPr>
            <w:r>
              <w:rPr>
                <w:sz w:val="18"/>
              </w:rPr>
              <w:t>S.E.</w:t>
            </w:r>
            <w:r>
              <w:rPr>
                <w:spacing w:val="-2"/>
                <w:sz w:val="18"/>
              </w:rPr>
              <w:t> </w:t>
            </w:r>
            <w:r>
              <w:rPr>
                <w:sz w:val="18"/>
              </w:rPr>
              <w:t>of </w:t>
            </w:r>
            <w:r>
              <w:rPr>
                <w:spacing w:val="-2"/>
                <w:sz w:val="18"/>
              </w:rPr>
              <w:t>regression</w:t>
            </w:r>
          </w:p>
        </w:tc>
        <w:tc>
          <w:tcPr>
            <w:tcW w:w="1307" w:type="dxa"/>
          </w:tcPr>
          <w:p>
            <w:pPr>
              <w:pStyle w:val="TableParagraph"/>
              <w:ind w:right="105"/>
              <w:jc w:val="right"/>
              <w:rPr>
                <w:sz w:val="18"/>
              </w:rPr>
            </w:pPr>
            <w:r>
              <w:rPr>
                <w:spacing w:val="-2"/>
                <w:sz w:val="18"/>
              </w:rPr>
              <w:t>13.72135</w:t>
            </w:r>
          </w:p>
        </w:tc>
        <w:tc>
          <w:tcPr>
            <w:tcW w:w="2433" w:type="dxa"/>
            <w:gridSpan w:val="2"/>
          </w:tcPr>
          <w:p>
            <w:pPr>
              <w:pStyle w:val="TableParagraph"/>
              <w:ind w:left="105"/>
              <w:rPr>
                <w:sz w:val="18"/>
              </w:rPr>
            </w:pPr>
            <w:r>
              <w:rPr>
                <w:sz w:val="18"/>
              </w:rPr>
              <w:t>Akaike</w:t>
            </w:r>
            <w:r>
              <w:rPr>
                <w:spacing w:val="-3"/>
                <w:sz w:val="18"/>
              </w:rPr>
              <w:t> </w:t>
            </w:r>
            <w:r>
              <w:rPr>
                <w:sz w:val="18"/>
              </w:rPr>
              <w:t>info</w:t>
            </w:r>
            <w:r>
              <w:rPr>
                <w:spacing w:val="-2"/>
                <w:sz w:val="18"/>
              </w:rPr>
              <w:t> criterion</w:t>
            </w:r>
          </w:p>
        </w:tc>
        <w:tc>
          <w:tcPr>
            <w:tcW w:w="885" w:type="dxa"/>
          </w:tcPr>
          <w:p>
            <w:pPr>
              <w:pStyle w:val="TableParagraph"/>
              <w:ind w:right="10"/>
              <w:jc w:val="right"/>
              <w:rPr>
                <w:sz w:val="18"/>
              </w:rPr>
            </w:pPr>
            <w:r>
              <w:rPr>
                <w:spacing w:val="-2"/>
                <w:sz w:val="18"/>
              </w:rPr>
              <w:t>8.132805</w:t>
            </w:r>
          </w:p>
        </w:tc>
      </w:tr>
      <w:tr>
        <w:trPr>
          <w:trHeight w:val="225" w:hRule="atLeast"/>
        </w:trPr>
        <w:tc>
          <w:tcPr>
            <w:tcW w:w="1910"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307" w:type="dxa"/>
          </w:tcPr>
          <w:p>
            <w:pPr>
              <w:pStyle w:val="TableParagraph"/>
              <w:ind w:right="105"/>
              <w:jc w:val="right"/>
              <w:rPr>
                <w:sz w:val="18"/>
              </w:rPr>
            </w:pPr>
            <w:r>
              <w:rPr>
                <w:spacing w:val="-2"/>
                <w:sz w:val="18"/>
              </w:rPr>
              <w:t>6024.811</w:t>
            </w:r>
          </w:p>
        </w:tc>
        <w:tc>
          <w:tcPr>
            <w:tcW w:w="1492" w:type="dxa"/>
          </w:tcPr>
          <w:p>
            <w:pPr>
              <w:pStyle w:val="TableParagraph"/>
              <w:ind w:left="105"/>
              <w:rPr>
                <w:sz w:val="18"/>
              </w:rPr>
            </w:pPr>
            <w:r>
              <w:rPr>
                <w:sz w:val="18"/>
              </w:rPr>
              <w:t>Schwarz</w:t>
            </w:r>
            <w:r>
              <w:rPr>
                <w:spacing w:val="-4"/>
                <w:sz w:val="18"/>
              </w:rPr>
              <w:t> </w:t>
            </w:r>
            <w:r>
              <w:rPr>
                <w:spacing w:val="-2"/>
                <w:sz w:val="18"/>
              </w:rPr>
              <w:t>criterion</w:t>
            </w:r>
          </w:p>
        </w:tc>
        <w:tc>
          <w:tcPr>
            <w:tcW w:w="941" w:type="dxa"/>
          </w:tcPr>
          <w:p>
            <w:pPr>
              <w:pStyle w:val="TableParagraph"/>
              <w:spacing w:line="240" w:lineRule="auto" w:before="0"/>
              <w:rPr>
                <w:rFonts w:ascii="Times New Roman"/>
                <w:sz w:val="16"/>
              </w:rPr>
            </w:pPr>
          </w:p>
        </w:tc>
        <w:tc>
          <w:tcPr>
            <w:tcW w:w="885" w:type="dxa"/>
          </w:tcPr>
          <w:p>
            <w:pPr>
              <w:pStyle w:val="TableParagraph"/>
              <w:ind w:right="10"/>
              <w:jc w:val="right"/>
              <w:rPr>
                <w:sz w:val="18"/>
              </w:rPr>
            </w:pPr>
            <w:r>
              <w:rPr>
                <w:spacing w:val="-2"/>
                <w:sz w:val="18"/>
              </w:rPr>
              <w:t>8.222591</w:t>
            </w:r>
          </w:p>
        </w:tc>
      </w:tr>
      <w:tr>
        <w:trPr>
          <w:trHeight w:val="224" w:hRule="atLeast"/>
        </w:trPr>
        <w:tc>
          <w:tcPr>
            <w:tcW w:w="1910" w:type="dxa"/>
          </w:tcPr>
          <w:p>
            <w:pPr>
              <w:pStyle w:val="TableParagraph"/>
              <w:spacing w:line="198" w:lineRule="exact"/>
              <w:rPr>
                <w:sz w:val="18"/>
              </w:rPr>
            </w:pPr>
            <w:r>
              <w:rPr>
                <w:sz w:val="18"/>
              </w:rPr>
              <w:t>Log</w:t>
            </w:r>
            <w:r>
              <w:rPr>
                <w:spacing w:val="-3"/>
                <w:sz w:val="18"/>
              </w:rPr>
              <w:t> </w:t>
            </w:r>
            <w:r>
              <w:rPr>
                <w:spacing w:val="-2"/>
                <w:sz w:val="18"/>
              </w:rPr>
              <w:t>likelihood</w:t>
            </w:r>
          </w:p>
        </w:tc>
        <w:tc>
          <w:tcPr>
            <w:tcW w:w="1307" w:type="dxa"/>
          </w:tcPr>
          <w:p>
            <w:pPr>
              <w:pStyle w:val="TableParagraph"/>
              <w:spacing w:line="198" w:lineRule="exact"/>
              <w:ind w:right="105"/>
              <w:jc w:val="right"/>
              <w:rPr>
                <w:sz w:val="18"/>
              </w:rPr>
            </w:pPr>
            <w:r>
              <w:rPr>
                <w:spacing w:val="-2"/>
                <w:sz w:val="18"/>
              </w:rPr>
              <w:t>-136.2577</w:t>
            </w:r>
          </w:p>
        </w:tc>
        <w:tc>
          <w:tcPr>
            <w:tcW w:w="2433" w:type="dxa"/>
            <w:gridSpan w:val="2"/>
          </w:tcPr>
          <w:p>
            <w:pPr>
              <w:pStyle w:val="TableParagraph"/>
              <w:spacing w:line="198" w:lineRule="exact"/>
              <w:ind w:left="105"/>
              <w:rPr>
                <w:sz w:val="18"/>
              </w:rPr>
            </w:pPr>
            <w:r>
              <w:rPr>
                <w:spacing w:val="-2"/>
                <w:sz w:val="18"/>
              </w:rPr>
              <w:t>Hannan-Quinn</w:t>
            </w:r>
            <w:r>
              <w:rPr>
                <w:spacing w:val="11"/>
                <w:sz w:val="18"/>
              </w:rPr>
              <w:t> </w:t>
            </w:r>
            <w:r>
              <w:rPr>
                <w:spacing w:val="-2"/>
                <w:sz w:val="18"/>
              </w:rPr>
              <w:t>criter.</w:t>
            </w:r>
          </w:p>
        </w:tc>
        <w:tc>
          <w:tcPr>
            <w:tcW w:w="885" w:type="dxa"/>
          </w:tcPr>
          <w:p>
            <w:pPr>
              <w:pStyle w:val="TableParagraph"/>
              <w:spacing w:line="198" w:lineRule="exact"/>
              <w:ind w:right="10"/>
              <w:jc w:val="right"/>
              <w:rPr>
                <w:sz w:val="18"/>
              </w:rPr>
            </w:pPr>
            <w:r>
              <w:rPr>
                <w:spacing w:val="-2"/>
                <w:sz w:val="18"/>
              </w:rPr>
              <w:t>8.163425</w:t>
            </w:r>
          </w:p>
        </w:tc>
      </w:tr>
      <w:tr>
        <w:trPr>
          <w:trHeight w:val="224" w:hRule="atLeast"/>
        </w:trPr>
        <w:tc>
          <w:tcPr>
            <w:tcW w:w="1910" w:type="dxa"/>
          </w:tcPr>
          <w:p>
            <w:pPr>
              <w:pStyle w:val="TableParagraph"/>
              <w:spacing w:before="5"/>
              <w:rPr>
                <w:sz w:val="18"/>
              </w:rPr>
            </w:pPr>
            <w:r>
              <w:rPr>
                <w:spacing w:val="-2"/>
                <w:sz w:val="18"/>
              </w:rPr>
              <w:t>F-statistic</w:t>
            </w:r>
          </w:p>
        </w:tc>
        <w:tc>
          <w:tcPr>
            <w:tcW w:w="1307" w:type="dxa"/>
          </w:tcPr>
          <w:p>
            <w:pPr>
              <w:pStyle w:val="TableParagraph"/>
              <w:spacing w:before="5"/>
              <w:ind w:right="105"/>
              <w:jc w:val="right"/>
              <w:rPr>
                <w:sz w:val="18"/>
              </w:rPr>
            </w:pPr>
            <w:r>
              <w:rPr>
                <w:spacing w:val="-2"/>
                <w:sz w:val="18"/>
              </w:rPr>
              <w:t>0.841505</w:t>
            </w:r>
          </w:p>
        </w:tc>
        <w:tc>
          <w:tcPr>
            <w:tcW w:w="2433" w:type="dxa"/>
            <w:gridSpan w:val="2"/>
          </w:tcPr>
          <w:p>
            <w:pPr>
              <w:pStyle w:val="TableParagraph"/>
              <w:spacing w:before="5"/>
              <w:ind w:left="105"/>
              <w:rPr>
                <w:sz w:val="18"/>
              </w:rPr>
            </w:pPr>
            <w:r>
              <w:rPr>
                <w:spacing w:val="-2"/>
                <w:sz w:val="18"/>
              </w:rPr>
              <w:t>Durbin-Watson</w:t>
            </w:r>
            <w:r>
              <w:rPr>
                <w:spacing w:val="13"/>
                <w:sz w:val="18"/>
              </w:rPr>
              <w:t> </w:t>
            </w:r>
            <w:r>
              <w:rPr>
                <w:spacing w:val="-4"/>
                <w:sz w:val="18"/>
              </w:rPr>
              <w:t>stat</w:t>
            </w:r>
          </w:p>
        </w:tc>
        <w:tc>
          <w:tcPr>
            <w:tcW w:w="885" w:type="dxa"/>
          </w:tcPr>
          <w:p>
            <w:pPr>
              <w:pStyle w:val="TableParagraph"/>
              <w:spacing w:before="5"/>
              <w:ind w:right="10"/>
              <w:jc w:val="right"/>
              <w:rPr>
                <w:sz w:val="18"/>
              </w:rPr>
            </w:pPr>
            <w:r>
              <w:rPr>
                <w:spacing w:val="-2"/>
                <w:sz w:val="18"/>
              </w:rPr>
              <w:t>1.706368</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0.365829</w:t>
            </w:r>
          </w:p>
        </w:tc>
        <w:tc>
          <w:tcPr>
            <w:tcW w:w="2433" w:type="dxa"/>
            <w:gridSpan w:val="2"/>
            <w:tcBorders>
              <w:bottom w:val="double" w:sz="6" w:space="0" w:color="000000"/>
            </w:tcBorders>
          </w:tcPr>
          <w:p>
            <w:pPr>
              <w:pStyle w:val="TableParagraph"/>
              <w:spacing w:line="240" w:lineRule="auto" w:before="0"/>
              <w:rPr>
                <w:rFonts w:ascii="Times New Roman"/>
                <w:sz w:val="18"/>
              </w:rPr>
            </w:pPr>
          </w:p>
        </w:tc>
        <w:tc>
          <w:tcPr>
            <w:tcW w:w="885"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25568">
                <wp:simplePos x="0" y="0"/>
                <wp:positionH relativeFrom="page">
                  <wp:posOffset>950112</wp:posOffset>
                </wp:positionH>
                <wp:positionV relativeFrom="page">
                  <wp:posOffset>5495962</wp:posOffset>
                </wp:positionV>
                <wp:extent cx="2223770" cy="236220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90912" id="docshape249"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26080">
                <wp:simplePos x="0" y="0"/>
                <wp:positionH relativeFrom="page">
                  <wp:posOffset>2872486</wp:posOffset>
                </wp:positionH>
                <wp:positionV relativeFrom="page">
                  <wp:posOffset>2197353</wp:posOffset>
                </wp:positionV>
                <wp:extent cx="3583304" cy="3612515"/>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90400" id="docshape250"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492"/>
        <w:gridCol w:w="941"/>
        <w:gridCol w:w="885"/>
      </w:tblGrid>
      <w:tr>
        <w:trPr>
          <w:trHeight w:val="213" w:hRule="atLeast"/>
        </w:trPr>
        <w:tc>
          <w:tcPr>
            <w:tcW w:w="6535" w:type="dxa"/>
            <w:gridSpan w:val="5"/>
          </w:tcPr>
          <w:p>
            <w:pPr>
              <w:pStyle w:val="TableParagraph"/>
              <w:spacing w:line="193" w:lineRule="exact" w:before="0"/>
              <w:rPr>
                <w:sz w:val="18"/>
              </w:rPr>
            </w:pPr>
            <w:r>
              <w:rPr>
                <w:sz w:val="18"/>
              </w:rPr>
              <w:t>Null</w:t>
            </w:r>
            <w:r>
              <w:rPr>
                <w:spacing w:val="-3"/>
                <w:sz w:val="18"/>
              </w:rPr>
              <w:t> </w:t>
            </w:r>
            <w:r>
              <w:rPr>
                <w:sz w:val="18"/>
              </w:rPr>
              <w:t>Hypothesis:</w:t>
            </w:r>
            <w:r>
              <w:rPr>
                <w:spacing w:val="-2"/>
                <w:sz w:val="18"/>
              </w:rPr>
              <w:t> </w:t>
            </w:r>
            <w:r>
              <w:rPr>
                <w:sz w:val="18"/>
              </w:rPr>
              <w:t>D(FPI)</w:t>
            </w:r>
            <w:r>
              <w:rPr>
                <w:spacing w:val="-4"/>
                <w:sz w:val="18"/>
              </w:rPr>
              <w:t> </w:t>
            </w:r>
            <w:r>
              <w:rPr>
                <w:sz w:val="18"/>
              </w:rPr>
              <w:t>has</w:t>
            </w:r>
            <w:r>
              <w:rPr>
                <w:spacing w:val="-1"/>
                <w:sz w:val="18"/>
              </w:rPr>
              <w:t> </w:t>
            </w:r>
            <w:r>
              <w:rPr>
                <w:sz w:val="18"/>
              </w:rPr>
              <w:t>a</w:t>
            </w:r>
            <w:r>
              <w:rPr>
                <w:spacing w:val="-4"/>
                <w:sz w:val="18"/>
              </w:rPr>
              <w:t> </w:t>
            </w:r>
            <w:r>
              <w:rPr>
                <w:sz w:val="18"/>
              </w:rPr>
              <w:t>unit</w:t>
            </w:r>
            <w:r>
              <w:rPr>
                <w:spacing w:val="-2"/>
                <w:sz w:val="18"/>
              </w:rPr>
              <w:t> </w:t>
            </w:r>
            <w:r>
              <w:rPr>
                <w:spacing w:val="-4"/>
                <w:sz w:val="18"/>
              </w:rPr>
              <w:t>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Lag</w:t>
            </w:r>
            <w:r>
              <w:rPr>
                <w:spacing w:val="-4"/>
                <w:sz w:val="18"/>
              </w:rPr>
              <w:t> </w:t>
            </w:r>
            <w:r>
              <w:rPr>
                <w:sz w:val="18"/>
              </w:rPr>
              <w:t>Length:</w:t>
            </w:r>
            <w:r>
              <w:rPr>
                <w:spacing w:val="-2"/>
                <w:sz w:val="18"/>
              </w:rPr>
              <w:t> </w:t>
            </w:r>
            <w:r>
              <w:rPr>
                <w:sz w:val="18"/>
              </w:rPr>
              <w:t>0</w:t>
            </w:r>
            <w:r>
              <w:rPr>
                <w:spacing w:val="-2"/>
                <w:sz w:val="18"/>
              </w:rPr>
              <w:t> </w:t>
            </w:r>
            <w:r>
              <w:rPr>
                <w:sz w:val="18"/>
              </w:rPr>
              <w:t>(Automatic</w:t>
            </w:r>
            <w:r>
              <w:rPr>
                <w:spacing w:val="1"/>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3"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182"/>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33" w:type="dxa"/>
            <w:gridSpan w:val="2"/>
            <w:tcBorders>
              <w:top w:val="double" w:sz="6" w:space="0" w:color="000000"/>
              <w:bottom w:val="single" w:sz="6" w:space="0" w:color="000000"/>
            </w:tcBorders>
          </w:tcPr>
          <w:p>
            <w:pPr>
              <w:pStyle w:val="TableParagraph"/>
              <w:spacing w:line="187" w:lineRule="exact" w:before="108"/>
              <w:ind w:left="1305"/>
              <w:rPr>
                <w:sz w:val="18"/>
              </w:rPr>
            </w:pPr>
            <w:r>
              <w:rPr>
                <w:spacing w:val="-2"/>
                <w:sz w:val="18"/>
              </w:rPr>
              <w:t>-4.840869</w:t>
            </w:r>
          </w:p>
        </w:tc>
        <w:tc>
          <w:tcPr>
            <w:tcW w:w="885" w:type="dxa"/>
            <w:tcBorders>
              <w:top w:val="double" w:sz="6" w:space="0" w:color="000000"/>
              <w:bottom w:val="single" w:sz="6" w:space="0" w:color="000000"/>
            </w:tcBorders>
          </w:tcPr>
          <w:p>
            <w:pPr>
              <w:pStyle w:val="TableParagraph"/>
              <w:spacing w:line="187" w:lineRule="exact" w:before="108"/>
              <w:ind w:left="132"/>
              <w:rPr>
                <w:sz w:val="18"/>
              </w:rPr>
            </w:pPr>
            <w:r>
              <w:rPr>
                <w:spacing w:val="-2"/>
                <w:sz w:val="18"/>
              </w:rPr>
              <w:t>0.0004</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7"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33" w:type="dxa"/>
            <w:gridSpan w:val="2"/>
            <w:tcBorders>
              <w:top w:val="single" w:sz="6" w:space="0" w:color="000000"/>
            </w:tcBorders>
          </w:tcPr>
          <w:p>
            <w:pPr>
              <w:pStyle w:val="TableParagraph"/>
              <w:spacing w:before="18"/>
              <w:ind w:left="1305"/>
              <w:rPr>
                <w:sz w:val="18"/>
              </w:rPr>
            </w:pPr>
            <w:r>
              <w:rPr>
                <w:spacing w:val="-2"/>
                <w:sz w:val="18"/>
              </w:rPr>
              <w:t>-3.646342</w:t>
            </w:r>
          </w:p>
        </w:tc>
        <w:tc>
          <w:tcPr>
            <w:tcW w:w="885"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7" w:type="dxa"/>
          </w:tcPr>
          <w:p>
            <w:pPr>
              <w:pStyle w:val="TableParagraph"/>
              <w:ind w:left="317"/>
              <w:rPr>
                <w:sz w:val="18"/>
              </w:rPr>
            </w:pPr>
            <w:r>
              <w:rPr>
                <w:sz w:val="18"/>
              </w:rPr>
              <w:t>5%</w:t>
            </w:r>
            <w:r>
              <w:rPr>
                <w:spacing w:val="-3"/>
                <w:sz w:val="18"/>
              </w:rPr>
              <w:t> </w:t>
            </w:r>
            <w:r>
              <w:rPr>
                <w:spacing w:val="-2"/>
                <w:sz w:val="18"/>
              </w:rPr>
              <w:t>level</w:t>
            </w:r>
          </w:p>
        </w:tc>
        <w:tc>
          <w:tcPr>
            <w:tcW w:w="2433" w:type="dxa"/>
            <w:gridSpan w:val="2"/>
          </w:tcPr>
          <w:p>
            <w:pPr>
              <w:pStyle w:val="TableParagraph"/>
              <w:ind w:left="1305"/>
              <w:rPr>
                <w:sz w:val="18"/>
              </w:rPr>
            </w:pPr>
            <w:r>
              <w:rPr>
                <w:spacing w:val="-2"/>
                <w:sz w:val="18"/>
              </w:rPr>
              <w:t>-2.954021</w:t>
            </w:r>
          </w:p>
        </w:tc>
        <w:tc>
          <w:tcPr>
            <w:tcW w:w="885"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33" w:type="dxa"/>
            <w:gridSpan w:val="2"/>
            <w:tcBorders>
              <w:bottom w:val="double" w:sz="6" w:space="0" w:color="000000"/>
            </w:tcBorders>
          </w:tcPr>
          <w:p>
            <w:pPr>
              <w:pStyle w:val="TableParagraph"/>
              <w:spacing w:line="240" w:lineRule="auto"/>
              <w:ind w:left="1305"/>
              <w:rPr>
                <w:sz w:val="18"/>
              </w:rPr>
            </w:pPr>
            <w:r>
              <w:rPr>
                <w:spacing w:val="-2"/>
                <w:sz w:val="18"/>
              </w:rPr>
              <w:t>-2.615817</w:t>
            </w:r>
          </w:p>
        </w:tc>
        <w:tc>
          <w:tcPr>
            <w:tcW w:w="885"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5"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5"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5"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D(FPI,2)</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225" w:hRule="atLeast"/>
        </w:trPr>
        <w:tc>
          <w:tcPr>
            <w:tcW w:w="6535" w:type="dxa"/>
            <w:gridSpan w:val="5"/>
          </w:tcPr>
          <w:p>
            <w:pPr>
              <w:pStyle w:val="TableParagraph"/>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06:11</w:t>
            </w:r>
          </w:p>
        </w:tc>
      </w:tr>
      <w:tr>
        <w:trPr>
          <w:trHeight w:val="224" w:hRule="atLeast"/>
        </w:trPr>
        <w:tc>
          <w:tcPr>
            <w:tcW w:w="6535"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1988</w:t>
            </w:r>
            <w:r>
              <w:rPr>
                <w:spacing w:val="-4"/>
                <w:sz w:val="18"/>
              </w:rPr>
              <w:t> 2020</w:t>
            </w: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33</w:t>
            </w:r>
            <w:r>
              <w:rPr>
                <w:spacing w:val="-5"/>
                <w:sz w:val="18"/>
              </w:rPr>
              <w:t> </w:t>
            </w:r>
            <w:r>
              <w:rPr>
                <w:sz w:val="18"/>
              </w:rPr>
              <w:t>after</w:t>
            </w:r>
            <w:r>
              <w:rPr>
                <w:spacing w:val="-2"/>
                <w:sz w:val="18"/>
              </w:rPr>
              <w:t> 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41" w:type="dxa"/>
            <w:tcBorders>
              <w:top w:val="double" w:sz="6" w:space="0" w:color="000000"/>
              <w:bottom w:val="double" w:sz="6" w:space="0" w:color="000000"/>
            </w:tcBorders>
          </w:tcPr>
          <w:p>
            <w:pPr>
              <w:pStyle w:val="TableParagraph"/>
              <w:spacing w:line="240" w:lineRule="auto" w:before="108"/>
              <w:ind w:right="124"/>
              <w:jc w:val="right"/>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341"/>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602"/>
              <w:rPr>
                <w:sz w:val="18"/>
              </w:rPr>
            </w:pPr>
            <w:r>
              <w:rPr>
                <w:sz w:val="18"/>
              </w:rPr>
              <w:t>D(FPI(-</w:t>
            </w:r>
            <w:r>
              <w:rPr>
                <w:spacing w:val="-5"/>
                <w:sz w:val="18"/>
              </w:rPr>
              <w:t>1))</w:t>
            </w:r>
          </w:p>
        </w:tc>
        <w:tc>
          <w:tcPr>
            <w:tcW w:w="1307" w:type="dxa"/>
            <w:tcBorders>
              <w:top w:val="double" w:sz="6" w:space="0" w:color="000000"/>
            </w:tcBorders>
          </w:tcPr>
          <w:p>
            <w:pPr>
              <w:pStyle w:val="TableParagraph"/>
              <w:spacing w:before="108"/>
              <w:ind w:right="105"/>
              <w:jc w:val="right"/>
              <w:rPr>
                <w:sz w:val="18"/>
              </w:rPr>
            </w:pPr>
            <w:r>
              <w:rPr>
                <w:spacing w:val="-2"/>
                <w:sz w:val="18"/>
              </w:rPr>
              <w:t>-0.860726</w:t>
            </w:r>
          </w:p>
        </w:tc>
        <w:tc>
          <w:tcPr>
            <w:tcW w:w="1492" w:type="dxa"/>
            <w:tcBorders>
              <w:top w:val="double" w:sz="6" w:space="0" w:color="000000"/>
            </w:tcBorders>
          </w:tcPr>
          <w:p>
            <w:pPr>
              <w:pStyle w:val="TableParagraph"/>
              <w:spacing w:before="108"/>
              <w:ind w:left="349"/>
              <w:rPr>
                <w:sz w:val="18"/>
              </w:rPr>
            </w:pPr>
            <w:r>
              <w:rPr>
                <w:spacing w:val="-2"/>
                <w:sz w:val="18"/>
              </w:rPr>
              <w:t>0.177804</w:t>
            </w:r>
          </w:p>
        </w:tc>
        <w:tc>
          <w:tcPr>
            <w:tcW w:w="941" w:type="dxa"/>
            <w:tcBorders>
              <w:top w:val="double" w:sz="6" w:space="0" w:color="000000"/>
            </w:tcBorders>
          </w:tcPr>
          <w:p>
            <w:pPr>
              <w:pStyle w:val="TableParagraph"/>
              <w:spacing w:before="108"/>
              <w:ind w:right="124"/>
              <w:jc w:val="right"/>
              <w:rPr>
                <w:sz w:val="18"/>
              </w:rPr>
            </w:pPr>
            <w:r>
              <w:rPr>
                <w:spacing w:val="-2"/>
                <w:sz w:val="18"/>
              </w:rPr>
              <w:t>-4.840869</w:t>
            </w:r>
          </w:p>
        </w:tc>
        <w:tc>
          <w:tcPr>
            <w:tcW w:w="885" w:type="dxa"/>
            <w:tcBorders>
              <w:top w:val="double" w:sz="6" w:space="0" w:color="000000"/>
            </w:tcBorders>
          </w:tcPr>
          <w:p>
            <w:pPr>
              <w:pStyle w:val="TableParagraph"/>
              <w:spacing w:before="108"/>
              <w:ind w:right="10"/>
              <w:jc w:val="right"/>
              <w:rPr>
                <w:sz w:val="18"/>
              </w:rPr>
            </w:pPr>
            <w:r>
              <w:rPr>
                <w:spacing w:val="-2"/>
                <w:sz w:val="18"/>
              </w:rPr>
              <w:t>0.0000</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4.102756</w:t>
            </w:r>
          </w:p>
        </w:tc>
        <w:tc>
          <w:tcPr>
            <w:tcW w:w="1492" w:type="dxa"/>
            <w:tcBorders>
              <w:bottom w:val="double" w:sz="6" w:space="0" w:color="000000"/>
            </w:tcBorders>
          </w:tcPr>
          <w:p>
            <w:pPr>
              <w:pStyle w:val="TableParagraph"/>
              <w:spacing w:line="240" w:lineRule="auto"/>
              <w:ind w:left="349"/>
              <w:rPr>
                <w:sz w:val="18"/>
              </w:rPr>
            </w:pPr>
            <w:r>
              <w:rPr>
                <w:spacing w:val="-2"/>
                <w:sz w:val="18"/>
              </w:rPr>
              <w:t>2.562424</w:t>
            </w:r>
          </w:p>
        </w:tc>
        <w:tc>
          <w:tcPr>
            <w:tcW w:w="941" w:type="dxa"/>
            <w:tcBorders>
              <w:bottom w:val="double" w:sz="6" w:space="0" w:color="000000"/>
            </w:tcBorders>
          </w:tcPr>
          <w:p>
            <w:pPr>
              <w:pStyle w:val="TableParagraph"/>
              <w:spacing w:line="240" w:lineRule="auto"/>
              <w:ind w:right="124"/>
              <w:jc w:val="right"/>
              <w:rPr>
                <w:sz w:val="18"/>
              </w:rPr>
            </w:pPr>
            <w:r>
              <w:rPr>
                <w:spacing w:val="-2"/>
                <w:sz w:val="18"/>
              </w:rPr>
              <w:t>1.601123</w:t>
            </w:r>
          </w:p>
        </w:tc>
        <w:tc>
          <w:tcPr>
            <w:tcW w:w="885" w:type="dxa"/>
            <w:tcBorders>
              <w:bottom w:val="double" w:sz="6" w:space="0" w:color="000000"/>
            </w:tcBorders>
          </w:tcPr>
          <w:p>
            <w:pPr>
              <w:pStyle w:val="TableParagraph"/>
              <w:spacing w:line="240" w:lineRule="auto"/>
              <w:ind w:right="10"/>
              <w:jc w:val="right"/>
              <w:rPr>
                <w:sz w:val="18"/>
              </w:rPr>
            </w:pPr>
            <w:r>
              <w:rPr>
                <w:spacing w:val="-2"/>
                <w:sz w:val="18"/>
              </w:rPr>
              <w:t>0.1195</w:t>
            </w:r>
          </w:p>
        </w:tc>
      </w:tr>
      <w:tr>
        <w:trPr>
          <w:trHeight w:val="326" w:hRule="atLeast"/>
        </w:trPr>
        <w:tc>
          <w:tcPr>
            <w:tcW w:w="1910" w:type="dxa"/>
            <w:tcBorders>
              <w:top w:val="double" w:sz="6" w:space="0" w:color="000000"/>
            </w:tcBorders>
          </w:tcPr>
          <w:p>
            <w:pPr>
              <w:pStyle w:val="TableParagraph"/>
              <w:spacing w:line="198" w:lineRule="exact" w:before="108"/>
              <w:rPr>
                <w:sz w:val="18"/>
              </w:rPr>
            </w:pPr>
            <w:r>
              <w:rPr>
                <w:spacing w:val="-2"/>
                <w:sz w:val="18"/>
              </w:rPr>
              <w:t>R-squared</w:t>
            </w:r>
          </w:p>
        </w:tc>
        <w:tc>
          <w:tcPr>
            <w:tcW w:w="1307" w:type="dxa"/>
            <w:tcBorders>
              <w:top w:val="double" w:sz="6" w:space="0" w:color="000000"/>
            </w:tcBorders>
          </w:tcPr>
          <w:p>
            <w:pPr>
              <w:pStyle w:val="TableParagraph"/>
              <w:spacing w:line="198" w:lineRule="exact" w:before="108"/>
              <w:ind w:right="105"/>
              <w:jc w:val="right"/>
              <w:rPr>
                <w:sz w:val="18"/>
              </w:rPr>
            </w:pPr>
            <w:r>
              <w:rPr>
                <w:spacing w:val="-2"/>
                <w:sz w:val="18"/>
              </w:rPr>
              <w:t>0.430503</w:t>
            </w:r>
          </w:p>
        </w:tc>
        <w:tc>
          <w:tcPr>
            <w:tcW w:w="2433" w:type="dxa"/>
            <w:gridSpan w:val="2"/>
            <w:tcBorders>
              <w:top w:val="double" w:sz="6" w:space="0" w:color="000000"/>
            </w:tcBorders>
          </w:tcPr>
          <w:p>
            <w:pPr>
              <w:pStyle w:val="TableParagraph"/>
              <w:spacing w:line="198" w:lineRule="exact" w:before="108"/>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885" w:type="dxa"/>
            <w:tcBorders>
              <w:top w:val="double" w:sz="6" w:space="0" w:color="000000"/>
            </w:tcBorders>
          </w:tcPr>
          <w:p>
            <w:pPr>
              <w:pStyle w:val="TableParagraph"/>
              <w:spacing w:line="198" w:lineRule="exact" w:before="108"/>
              <w:ind w:right="10"/>
              <w:jc w:val="right"/>
              <w:rPr>
                <w:sz w:val="18"/>
              </w:rPr>
            </w:pPr>
            <w:r>
              <w:rPr>
                <w:spacing w:val="-2"/>
                <w:sz w:val="18"/>
              </w:rPr>
              <w:t>0.196364</w:t>
            </w:r>
          </w:p>
        </w:tc>
      </w:tr>
      <w:tr>
        <w:trPr>
          <w:trHeight w:val="224" w:hRule="atLeast"/>
        </w:trPr>
        <w:tc>
          <w:tcPr>
            <w:tcW w:w="1910"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spacing w:before="5"/>
              <w:ind w:right="105"/>
              <w:jc w:val="right"/>
              <w:rPr>
                <w:sz w:val="18"/>
              </w:rPr>
            </w:pPr>
            <w:r>
              <w:rPr>
                <w:spacing w:val="-2"/>
                <w:sz w:val="18"/>
              </w:rPr>
              <w:t>0.412132</w:t>
            </w:r>
          </w:p>
        </w:tc>
        <w:tc>
          <w:tcPr>
            <w:tcW w:w="2433" w:type="dxa"/>
            <w:gridSpan w:val="2"/>
          </w:tcPr>
          <w:p>
            <w:pPr>
              <w:pStyle w:val="TableParagraph"/>
              <w:spacing w:before="5"/>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885" w:type="dxa"/>
          </w:tcPr>
          <w:p>
            <w:pPr>
              <w:pStyle w:val="TableParagraph"/>
              <w:spacing w:before="5"/>
              <w:ind w:right="10"/>
              <w:jc w:val="right"/>
              <w:rPr>
                <w:sz w:val="18"/>
              </w:rPr>
            </w:pPr>
            <w:r>
              <w:rPr>
                <w:spacing w:val="-2"/>
                <w:sz w:val="18"/>
              </w:rPr>
              <w:t>18.22168</w:t>
            </w:r>
          </w:p>
        </w:tc>
      </w:tr>
      <w:tr>
        <w:trPr>
          <w:trHeight w:val="225" w:hRule="atLeast"/>
        </w:trPr>
        <w:tc>
          <w:tcPr>
            <w:tcW w:w="1910" w:type="dxa"/>
          </w:tcPr>
          <w:p>
            <w:pPr>
              <w:pStyle w:val="TableParagraph"/>
              <w:rPr>
                <w:sz w:val="18"/>
              </w:rPr>
            </w:pPr>
            <w:r>
              <w:rPr>
                <w:sz w:val="18"/>
              </w:rPr>
              <w:t>S.E.</w:t>
            </w:r>
            <w:r>
              <w:rPr>
                <w:spacing w:val="-2"/>
                <w:sz w:val="18"/>
              </w:rPr>
              <w:t> </w:t>
            </w:r>
            <w:r>
              <w:rPr>
                <w:sz w:val="18"/>
              </w:rPr>
              <w:t>of</w:t>
            </w:r>
            <w:r>
              <w:rPr>
                <w:spacing w:val="1"/>
                <w:sz w:val="18"/>
              </w:rPr>
              <w:t> </w:t>
            </w:r>
            <w:r>
              <w:rPr>
                <w:spacing w:val="-2"/>
                <w:sz w:val="18"/>
              </w:rPr>
              <w:t>regression</w:t>
            </w:r>
          </w:p>
        </w:tc>
        <w:tc>
          <w:tcPr>
            <w:tcW w:w="1307" w:type="dxa"/>
          </w:tcPr>
          <w:p>
            <w:pPr>
              <w:pStyle w:val="TableParagraph"/>
              <w:ind w:right="105"/>
              <w:jc w:val="right"/>
              <w:rPr>
                <w:sz w:val="18"/>
              </w:rPr>
            </w:pPr>
            <w:r>
              <w:rPr>
                <w:spacing w:val="-2"/>
                <w:sz w:val="18"/>
              </w:rPr>
              <w:t>13.97102</w:t>
            </w:r>
          </w:p>
        </w:tc>
        <w:tc>
          <w:tcPr>
            <w:tcW w:w="2433" w:type="dxa"/>
            <w:gridSpan w:val="2"/>
          </w:tcPr>
          <w:p>
            <w:pPr>
              <w:pStyle w:val="TableParagraph"/>
              <w:ind w:left="105"/>
              <w:rPr>
                <w:sz w:val="18"/>
              </w:rPr>
            </w:pPr>
            <w:r>
              <w:rPr>
                <w:sz w:val="18"/>
              </w:rPr>
              <w:t>Akaike</w:t>
            </w:r>
            <w:r>
              <w:rPr>
                <w:spacing w:val="-3"/>
                <w:sz w:val="18"/>
              </w:rPr>
              <w:t> </w:t>
            </w:r>
            <w:r>
              <w:rPr>
                <w:sz w:val="18"/>
              </w:rPr>
              <w:t>info</w:t>
            </w:r>
            <w:r>
              <w:rPr>
                <w:spacing w:val="-2"/>
                <w:sz w:val="18"/>
              </w:rPr>
              <w:t> criterion</w:t>
            </w:r>
          </w:p>
        </w:tc>
        <w:tc>
          <w:tcPr>
            <w:tcW w:w="885" w:type="dxa"/>
          </w:tcPr>
          <w:p>
            <w:pPr>
              <w:pStyle w:val="TableParagraph"/>
              <w:ind w:right="10"/>
              <w:jc w:val="right"/>
              <w:rPr>
                <w:sz w:val="18"/>
              </w:rPr>
            </w:pPr>
            <w:r>
              <w:rPr>
                <w:spacing w:val="-2"/>
                <w:sz w:val="18"/>
              </w:rPr>
              <w:t>8.170539</w:t>
            </w:r>
          </w:p>
        </w:tc>
      </w:tr>
      <w:tr>
        <w:trPr>
          <w:trHeight w:val="225" w:hRule="atLeast"/>
        </w:trPr>
        <w:tc>
          <w:tcPr>
            <w:tcW w:w="1910"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307" w:type="dxa"/>
          </w:tcPr>
          <w:p>
            <w:pPr>
              <w:pStyle w:val="TableParagraph"/>
              <w:ind w:right="105"/>
              <w:jc w:val="right"/>
              <w:rPr>
                <w:sz w:val="18"/>
              </w:rPr>
            </w:pPr>
            <w:r>
              <w:rPr>
                <w:spacing w:val="-2"/>
                <w:sz w:val="18"/>
              </w:rPr>
              <w:t>6050.873</w:t>
            </w:r>
          </w:p>
        </w:tc>
        <w:tc>
          <w:tcPr>
            <w:tcW w:w="1492" w:type="dxa"/>
          </w:tcPr>
          <w:p>
            <w:pPr>
              <w:pStyle w:val="TableParagraph"/>
              <w:ind w:left="105"/>
              <w:rPr>
                <w:sz w:val="18"/>
              </w:rPr>
            </w:pPr>
            <w:r>
              <w:rPr>
                <w:sz w:val="18"/>
              </w:rPr>
              <w:t>Schwarz</w:t>
            </w:r>
            <w:r>
              <w:rPr>
                <w:spacing w:val="-4"/>
                <w:sz w:val="18"/>
              </w:rPr>
              <w:t> </w:t>
            </w:r>
            <w:r>
              <w:rPr>
                <w:spacing w:val="-2"/>
                <w:sz w:val="18"/>
              </w:rPr>
              <w:t>criterion</w:t>
            </w:r>
          </w:p>
        </w:tc>
        <w:tc>
          <w:tcPr>
            <w:tcW w:w="941" w:type="dxa"/>
          </w:tcPr>
          <w:p>
            <w:pPr>
              <w:pStyle w:val="TableParagraph"/>
              <w:spacing w:line="240" w:lineRule="auto" w:before="0"/>
              <w:rPr>
                <w:rFonts w:ascii="Times New Roman"/>
                <w:sz w:val="16"/>
              </w:rPr>
            </w:pPr>
          </w:p>
        </w:tc>
        <w:tc>
          <w:tcPr>
            <w:tcW w:w="885" w:type="dxa"/>
          </w:tcPr>
          <w:p>
            <w:pPr>
              <w:pStyle w:val="TableParagraph"/>
              <w:ind w:right="10"/>
              <w:jc w:val="right"/>
              <w:rPr>
                <w:sz w:val="18"/>
              </w:rPr>
            </w:pPr>
            <w:r>
              <w:rPr>
                <w:spacing w:val="-2"/>
                <w:sz w:val="18"/>
              </w:rPr>
              <w:t>8.261237</w:t>
            </w:r>
          </w:p>
        </w:tc>
      </w:tr>
      <w:tr>
        <w:trPr>
          <w:trHeight w:val="224" w:hRule="atLeast"/>
        </w:trPr>
        <w:tc>
          <w:tcPr>
            <w:tcW w:w="1910" w:type="dxa"/>
          </w:tcPr>
          <w:p>
            <w:pPr>
              <w:pStyle w:val="TableParagraph"/>
              <w:spacing w:line="198" w:lineRule="exact"/>
              <w:rPr>
                <w:sz w:val="18"/>
              </w:rPr>
            </w:pPr>
            <w:r>
              <w:rPr>
                <w:sz w:val="18"/>
              </w:rPr>
              <w:t>Log</w:t>
            </w:r>
            <w:r>
              <w:rPr>
                <w:spacing w:val="-3"/>
                <w:sz w:val="18"/>
              </w:rPr>
              <w:t> </w:t>
            </w:r>
            <w:r>
              <w:rPr>
                <w:spacing w:val="-2"/>
                <w:sz w:val="18"/>
              </w:rPr>
              <w:t>likelihood</w:t>
            </w:r>
          </w:p>
        </w:tc>
        <w:tc>
          <w:tcPr>
            <w:tcW w:w="1307" w:type="dxa"/>
          </w:tcPr>
          <w:p>
            <w:pPr>
              <w:pStyle w:val="TableParagraph"/>
              <w:spacing w:line="198" w:lineRule="exact"/>
              <w:ind w:right="105"/>
              <w:jc w:val="right"/>
              <w:rPr>
                <w:sz w:val="18"/>
              </w:rPr>
            </w:pPr>
            <w:r>
              <w:rPr>
                <w:spacing w:val="-2"/>
                <w:sz w:val="18"/>
              </w:rPr>
              <w:t>-132.8139</w:t>
            </w:r>
          </w:p>
        </w:tc>
        <w:tc>
          <w:tcPr>
            <w:tcW w:w="2433" w:type="dxa"/>
            <w:gridSpan w:val="2"/>
          </w:tcPr>
          <w:p>
            <w:pPr>
              <w:pStyle w:val="TableParagraph"/>
              <w:spacing w:line="198" w:lineRule="exact"/>
              <w:ind w:left="105"/>
              <w:rPr>
                <w:sz w:val="18"/>
              </w:rPr>
            </w:pPr>
            <w:r>
              <w:rPr>
                <w:spacing w:val="-2"/>
                <w:sz w:val="18"/>
              </w:rPr>
              <w:t>Hannan-Quinn</w:t>
            </w:r>
            <w:r>
              <w:rPr>
                <w:spacing w:val="11"/>
                <w:sz w:val="18"/>
              </w:rPr>
              <w:t> </w:t>
            </w:r>
            <w:r>
              <w:rPr>
                <w:spacing w:val="-2"/>
                <w:sz w:val="18"/>
              </w:rPr>
              <w:t>criter.</w:t>
            </w:r>
          </w:p>
        </w:tc>
        <w:tc>
          <w:tcPr>
            <w:tcW w:w="885" w:type="dxa"/>
          </w:tcPr>
          <w:p>
            <w:pPr>
              <w:pStyle w:val="TableParagraph"/>
              <w:spacing w:line="198" w:lineRule="exact"/>
              <w:ind w:right="10"/>
              <w:jc w:val="right"/>
              <w:rPr>
                <w:sz w:val="18"/>
              </w:rPr>
            </w:pPr>
            <w:r>
              <w:rPr>
                <w:spacing w:val="-2"/>
                <w:sz w:val="18"/>
              </w:rPr>
              <w:t>8.201056</w:t>
            </w:r>
          </w:p>
        </w:tc>
      </w:tr>
      <w:tr>
        <w:trPr>
          <w:trHeight w:val="224" w:hRule="atLeast"/>
        </w:trPr>
        <w:tc>
          <w:tcPr>
            <w:tcW w:w="1910" w:type="dxa"/>
          </w:tcPr>
          <w:p>
            <w:pPr>
              <w:pStyle w:val="TableParagraph"/>
              <w:spacing w:before="5"/>
              <w:rPr>
                <w:sz w:val="18"/>
              </w:rPr>
            </w:pPr>
            <w:r>
              <w:rPr>
                <w:spacing w:val="-2"/>
                <w:sz w:val="18"/>
              </w:rPr>
              <w:t>F-statistic</w:t>
            </w:r>
          </w:p>
        </w:tc>
        <w:tc>
          <w:tcPr>
            <w:tcW w:w="1307" w:type="dxa"/>
          </w:tcPr>
          <w:p>
            <w:pPr>
              <w:pStyle w:val="TableParagraph"/>
              <w:spacing w:before="5"/>
              <w:ind w:right="105"/>
              <w:jc w:val="right"/>
              <w:rPr>
                <w:sz w:val="18"/>
              </w:rPr>
            </w:pPr>
            <w:r>
              <w:rPr>
                <w:spacing w:val="-2"/>
                <w:sz w:val="18"/>
              </w:rPr>
              <w:t>23.43401</w:t>
            </w:r>
          </w:p>
        </w:tc>
        <w:tc>
          <w:tcPr>
            <w:tcW w:w="2433" w:type="dxa"/>
            <w:gridSpan w:val="2"/>
          </w:tcPr>
          <w:p>
            <w:pPr>
              <w:pStyle w:val="TableParagraph"/>
              <w:spacing w:before="5"/>
              <w:ind w:left="105"/>
              <w:rPr>
                <w:sz w:val="18"/>
              </w:rPr>
            </w:pPr>
            <w:r>
              <w:rPr>
                <w:spacing w:val="-2"/>
                <w:sz w:val="18"/>
              </w:rPr>
              <w:t>Durbin-Watson</w:t>
            </w:r>
            <w:r>
              <w:rPr>
                <w:spacing w:val="13"/>
                <w:sz w:val="18"/>
              </w:rPr>
              <w:t> </w:t>
            </w:r>
            <w:r>
              <w:rPr>
                <w:spacing w:val="-4"/>
                <w:sz w:val="18"/>
              </w:rPr>
              <w:t>stat</w:t>
            </w:r>
          </w:p>
        </w:tc>
        <w:tc>
          <w:tcPr>
            <w:tcW w:w="885" w:type="dxa"/>
          </w:tcPr>
          <w:p>
            <w:pPr>
              <w:pStyle w:val="TableParagraph"/>
              <w:spacing w:before="5"/>
              <w:ind w:right="10"/>
              <w:jc w:val="right"/>
              <w:rPr>
                <w:sz w:val="18"/>
              </w:rPr>
            </w:pPr>
            <w:r>
              <w:rPr>
                <w:spacing w:val="-2"/>
                <w:sz w:val="18"/>
              </w:rPr>
              <w:t>1.973164</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0.000034</w:t>
            </w:r>
          </w:p>
        </w:tc>
        <w:tc>
          <w:tcPr>
            <w:tcW w:w="2433" w:type="dxa"/>
            <w:gridSpan w:val="2"/>
            <w:tcBorders>
              <w:bottom w:val="double" w:sz="6" w:space="0" w:color="000000"/>
            </w:tcBorders>
          </w:tcPr>
          <w:p>
            <w:pPr>
              <w:pStyle w:val="TableParagraph"/>
              <w:spacing w:line="240" w:lineRule="auto" w:before="0"/>
              <w:rPr>
                <w:rFonts w:ascii="Times New Roman"/>
                <w:sz w:val="18"/>
              </w:rPr>
            </w:pPr>
          </w:p>
        </w:tc>
        <w:tc>
          <w:tcPr>
            <w:tcW w:w="885"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26592">
                <wp:simplePos x="0" y="0"/>
                <wp:positionH relativeFrom="page">
                  <wp:posOffset>950112</wp:posOffset>
                </wp:positionH>
                <wp:positionV relativeFrom="page">
                  <wp:posOffset>5495962</wp:posOffset>
                </wp:positionV>
                <wp:extent cx="2223770" cy="2362200"/>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89888" id="docshape251"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27104">
                <wp:simplePos x="0" y="0"/>
                <wp:positionH relativeFrom="page">
                  <wp:posOffset>2872486</wp:posOffset>
                </wp:positionH>
                <wp:positionV relativeFrom="page">
                  <wp:posOffset>2197353</wp:posOffset>
                </wp:positionV>
                <wp:extent cx="3583304" cy="3612515"/>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89376" id="docshape252"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492"/>
        <w:gridCol w:w="941"/>
        <w:gridCol w:w="885"/>
      </w:tblGrid>
      <w:tr>
        <w:trPr>
          <w:trHeight w:val="213" w:hRule="atLeast"/>
        </w:trPr>
        <w:tc>
          <w:tcPr>
            <w:tcW w:w="6535" w:type="dxa"/>
            <w:gridSpan w:val="5"/>
          </w:tcPr>
          <w:p>
            <w:pPr>
              <w:pStyle w:val="TableParagraph"/>
              <w:spacing w:line="193" w:lineRule="exact" w:before="0"/>
              <w:rPr>
                <w:sz w:val="18"/>
              </w:rPr>
            </w:pPr>
            <w:r>
              <w:rPr>
                <w:sz w:val="18"/>
              </w:rPr>
              <w:t>Null</w:t>
            </w:r>
            <w:r>
              <w:rPr>
                <w:spacing w:val="-3"/>
                <w:sz w:val="18"/>
              </w:rPr>
              <w:t> </w:t>
            </w:r>
            <w:r>
              <w:rPr>
                <w:sz w:val="18"/>
              </w:rPr>
              <w:t>Hypothesis:</w:t>
            </w:r>
            <w:r>
              <w:rPr>
                <w:spacing w:val="-2"/>
                <w:sz w:val="18"/>
              </w:rPr>
              <w:t> </w:t>
            </w:r>
            <w:r>
              <w:rPr>
                <w:sz w:val="18"/>
              </w:rPr>
              <w:t>TOP</w:t>
            </w:r>
            <w:r>
              <w:rPr>
                <w:spacing w:val="-3"/>
                <w:sz w:val="18"/>
              </w:rPr>
              <w:t> </w:t>
            </w:r>
            <w:r>
              <w:rPr>
                <w:sz w:val="18"/>
              </w:rPr>
              <w:t>has</w:t>
            </w:r>
            <w:r>
              <w:rPr>
                <w:spacing w:val="-3"/>
                <w:sz w:val="18"/>
              </w:rPr>
              <w:t> </w:t>
            </w:r>
            <w:r>
              <w:rPr>
                <w:sz w:val="18"/>
              </w:rPr>
              <w:t>a</w:t>
            </w:r>
            <w:r>
              <w:rPr>
                <w:spacing w:val="-3"/>
                <w:sz w:val="18"/>
              </w:rPr>
              <w:t> </w:t>
            </w:r>
            <w:r>
              <w:rPr>
                <w:sz w:val="18"/>
              </w:rPr>
              <w:t>unit</w:t>
            </w:r>
            <w:r>
              <w:rPr>
                <w:spacing w:val="-2"/>
                <w:sz w:val="18"/>
              </w:rPr>
              <w:t> </w:t>
            </w:r>
            <w:r>
              <w:rPr>
                <w:spacing w:val="-4"/>
                <w:sz w:val="18"/>
              </w:rPr>
              <w:t>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Lag</w:t>
            </w:r>
            <w:r>
              <w:rPr>
                <w:spacing w:val="-4"/>
                <w:sz w:val="18"/>
              </w:rPr>
              <w:t> </w:t>
            </w:r>
            <w:r>
              <w:rPr>
                <w:sz w:val="18"/>
              </w:rPr>
              <w:t>Length:</w:t>
            </w:r>
            <w:r>
              <w:rPr>
                <w:spacing w:val="-2"/>
                <w:sz w:val="18"/>
              </w:rPr>
              <w:t> </w:t>
            </w:r>
            <w:r>
              <w:rPr>
                <w:sz w:val="18"/>
              </w:rPr>
              <w:t>3</w:t>
            </w:r>
            <w:r>
              <w:rPr>
                <w:spacing w:val="-2"/>
                <w:sz w:val="18"/>
              </w:rPr>
              <w:t> </w:t>
            </w:r>
            <w:r>
              <w:rPr>
                <w:sz w:val="18"/>
              </w:rPr>
              <w:t>(Automatic</w:t>
            </w:r>
            <w:r>
              <w:rPr>
                <w:spacing w:val="1"/>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3"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182"/>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5"/>
                <w:sz w:val="18"/>
              </w:rPr>
              <w:t> </w:t>
            </w:r>
            <w:r>
              <w:rPr>
                <w:spacing w:val="-2"/>
                <w:sz w:val="18"/>
              </w:rPr>
              <w:t>statistic</w:t>
            </w:r>
          </w:p>
        </w:tc>
        <w:tc>
          <w:tcPr>
            <w:tcW w:w="2433" w:type="dxa"/>
            <w:gridSpan w:val="2"/>
            <w:tcBorders>
              <w:top w:val="double" w:sz="6" w:space="0" w:color="000000"/>
              <w:bottom w:val="single" w:sz="6" w:space="0" w:color="000000"/>
            </w:tcBorders>
          </w:tcPr>
          <w:p>
            <w:pPr>
              <w:pStyle w:val="TableParagraph"/>
              <w:spacing w:line="187" w:lineRule="exact" w:before="108"/>
              <w:ind w:left="1305"/>
              <w:rPr>
                <w:sz w:val="18"/>
              </w:rPr>
            </w:pPr>
            <w:r>
              <w:rPr>
                <w:spacing w:val="-2"/>
                <w:sz w:val="18"/>
              </w:rPr>
              <w:t>-3.236628</w:t>
            </w:r>
          </w:p>
        </w:tc>
        <w:tc>
          <w:tcPr>
            <w:tcW w:w="885" w:type="dxa"/>
            <w:tcBorders>
              <w:top w:val="double" w:sz="6" w:space="0" w:color="000000"/>
              <w:bottom w:val="single" w:sz="6" w:space="0" w:color="000000"/>
            </w:tcBorders>
          </w:tcPr>
          <w:p>
            <w:pPr>
              <w:pStyle w:val="TableParagraph"/>
              <w:spacing w:line="187" w:lineRule="exact" w:before="108"/>
              <w:ind w:left="132"/>
              <w:rPr>
                <w:sz w:val="18"/>
              </w:rPr>
            </w:pPr>
            <w:r>
              <w:rPr>
                <w:spacing w:val="-2"/>
                <w:sz w:val="18"/>
              </w:rPr>
              <w:t>0.0272</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7"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33" w:type="dxa"/>
            <w:gridSpan w:val="2"/>
            <w:tcBorders>
              <w:top w:val="single" w:sz="6" w:space="0" w:color="000000"/>
            </w:tcBorders>
          </w:tcPr>
          <w:p>
            <w:pPr>
              <w:pStyle w:val="TableParagraph"/>
              <w:spacing w:before="18"/>
              <w:ind w:left="1305"/>
              <w:rPr>
                <w:sz w:val="18"/>
              </w:rPr>
            </w:pPr>
            <w:r>
              <w:rPr>
                <w:spacing w:val="-2"/>
                <w:sz w:val="18"/>
              </w:rPr>
              <w:t>-3.661661</w:t>
            </w:r>
          </w:p>
        </w:tc>
        <w:tc>
          <w:tcPr>
            <w:tcW w:w="885"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7" w:type="dxa"/>
          </w:tcPr>
          <w:p>
            <w:pPr>
              <w:pStyle w:val="TableParagraph"/>
              <w:ind w:left="317"/>
              <w:rPr>
                <w:sz w:val="18"/>
              </w:rPr>
            </w:pPr>
            <w:r>
              <w:rPr>
                <w:sz w:val="18"/>
              </w:rPr>
              <w:t>5%</w:t>
            </w:r>
            <w:r>
              <w:rPr>
                <w:spacing w:val="-3"/>
                <w:sz w:val="18"/>
              </w:rPr>
              <w:t> </w:t>
            </w:r>
            <w:r>
              <w:rPr>
                <w:spacing w:val="-2"/>
                <w:sz w:val="18"/>
              </w:rPr>
              <w:t>level</w:t>
            </w:r>
          </w:p>
        </w:tc>
        <w:tc>
          <w:tcPr>
            <w:tcW w:w="2433" w:type="dxa"/>
            <w:gridSpan w:val="2"/>
          </w:tcPr>
          <w:p>
            <w:pPr>
              <w:pStyle w:val="TableParagraph"/>
              <w:ind w:left="1305"/>
              <w:rPr>
                <w:sz w:val="18"/>
              </w:rPr>
            </w:pPr>
            <w:r>
              <w:rPr>
                <w:spacing w:val="-2"/>
                <w:sz w:val="18"/>
              </w:rPr>
              <w:t>-2.960411</w:t>
            </w:r>
          </w:p>
        </w:tc>
        <w:tc>
          <w:tcPr>
            <w:tcW w:w="885"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33" w:type="dxa"/>
            <w:gridSpan w:val="2"/>
            <w:tcBorders>
              <w:bottom w:val="double" w:sz="6" w:space="0" w:color="000000"/>
            </w:tcBorders>
          </w:tcPr>
          <w:p>
            <w:pPr>
              <w:pStyle w:val="TableParagraph"/>
              <w:spacing w:line="240" w:lineRule="auto"/>
              <w:ind w:left="1305"/>
              <w:rPr>
                <w:sz w:val="18"/>
              </w:rPr>
            </w:pPr>
            <w:r>
              <w:rPr>
                <w:spacing w:val="-2"/>
                <w:sz w:val="18"/>
              </w:rPr>
              <w:t>-2.619160</w:t>
            </w:r>
          </w:p>
        </w:tc>
        <w:tc>
          <w:tcPr>
            <w:tcW w:w="885"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5"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5"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5"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D(TOP)</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225" w:hRule="atLeast"/>
        </w:trPr>
        <w:tc>
          <w:tcPr>
            <w:tcW w:w="6535" w:type="dxa"/>
            <w:gridSpan w:val="5"/>
          </w:tcPr>
          <w:p>
            <w:pPr>
              <w:pStyle w:val="TableParagraph"/>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06:11</w:t>
            </w:r>
          </w:p>
        </w:tc>
      </w:tr>
      <w:tr>
        <w:trPr>
          <w:trHeight w:val="224" w:hRule="atLeast"/>
        </w:trPr>
        <w:tc>
          <w:tcPr>
            <w:tcW w:w="6535"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1990</w:t>
            </w:r>
            <w:r>
              <w:rPr>
                <w:spacing w:val="-4"/>
                <w:sz w:val="18"/>
              </w:rPr>
              <w:t> 2020</w:t>
            </w: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31</w:t>
            </w:r>
            <w:r>
              <w:rPr>
                <w:spacing w:val="-5"/>
                <w:sz w:val="18"/>
              </w:rPr>
              <w:t> </w:t>
            </w:r>
            <w:r>
              <w:rPr>
                <w:sz w:val="18"/>
              </w:rPr>
              <w:t>after</w:t>
            </w:r>
            <w:r>
              <w:rPr>
                <w:spacing w:val="-2"/>
                <w:sz w:val="18"/>
              </w:rPr>
              <w:t> 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41" w:type="dxa"/>
            <w:tcBorders>
              <w:top w:val="double" w:sz="6" w:space="0" w:color="000000"/>
              <w:bottom w:val="double" w:sz="6" w:space="0" w:color="000000"/>
            </w:tcBorders>
          </w:tcPr>
          <w:p>
            <w:pPr>
              <w:pStyle w:val="TableParagraph"/>
              <w:spacing w:line="240" w:lineRule="auto" w:before="108"/>
              <w:ind w:right="124"/>
              <w:jc w:val="right"/>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341"/>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681"/>
              <w:rPr>
                <w:sz w:val="18"/>
              </w:rPr>
            </w:pPr>
            <w:r>
              <w:rPr>
                <w:spacing w:val="-2"/>
                <w:sz w:val="18"/>
              </w:rPr>
              <w:t>TOP(-</w:t>
            </w:r>
            <w:r>
              <w:rPr>
                <w:spacing w:val="-5"/>
                <w:sz w:val="18"/>
              </w:rPr>
              <w:t>1)</w:t>
            </w:r>
          </w:p>
        </w:tc>
        <w:tc>
          <w:tcPr>
            <w:tcW w:w="1307" w:type="dxa"/>
            <w:tcBorders>
              <w:top w:val="double" w:sz="6" w:space="0" w:color="000000"/>
            </w:tcBorders>
          </w:tcPr>
          <w:p>
            <w:pPr>
              <w:pStyle w:val="TableParagraph"/>
              <w:spacing w:before="108"/>
              <w:ind w:right="105"/>
              <w:jc w:val="right"/>
              <w:rPr>
                <w:sz w:val="18"/>
              </w:rPr>
            </w:pPr>
            <w:r>
              <w:rPr>
                <w:spacing w:val="-2"/>
                <w:sz w:val="18"/>
              </w:rPr>
              <w:t>-0.423197</w:t>
            </w:r>
          </w:p>
        </w:tc>
        <w:tc>
          <w:tcPr>
            <w:tcW w:w="1492" w:type="dxa"/>
            <w:tcBorders>
              <w:top w:val="double" w:sz="6" w:space="0" w:color="000000"/>
            </w:tcBorders>
          </w:tcPr>
          <w:p>
            <w:pPr>
              <w:pStyle w:val="TableParagraph"/>
              <w:spacing w:before="108"/>
              <w:ind w:left="349"/>
              <w:rPr>
                <w:sz w:val="18"/>
              </w:rPr>
            </w:pPr>
            <w:r>
              <w:rPr>
                <w:spacing w:val="-2"/>
                <w:sz w:val="18"/>
              </w:rPr>
              <w:t>0.130753</w:t>
            </w:r>
          </w:p>
        </w:tc>
        <w:tc>
          <w:tcPr>
            <w:tcW w:w="941" w:type="dxa"/>
            <w:tcBorders>
              <w:top w:val="double" w:sz="6" w:space="0" w:color="000000"/>
            </w:tcBorders>
          </w:tcPr>
          <w:p>
            <w:pPr>
              <w:pStyle w:val="TableParagraph"/>
              <w:spacing w:before="108"/>
              <w:ind w:right="124"/>
              <w:jc w:val="right"/>
              <w:rPr>
                <w:sz w:val="18"/>
              </w:rPr>
            </w:pPr>
            <w:r>
              <w:rPr>
                <w:spacing w:val="-2"/>
                <w:sz w:val="18"/>
              </w:rPr>
              <w:t>-3.236628</w:t>
            </w:r>
          </w:p>
        </w:tc>
        <w:tc>
          <w:tcPr>
            <w:tcW w:w="885" w:type="dxa"/>
            <w:tcBorders>
              <w:top w:val="double" w:sz="6" w:space="0" w:color="000000"/>
            </w:tcBorders>
          </w:tcPr>
          <w:p>
            <w:pPr>
              <w:pStyle w:val="TableParagraph"/>
              <w:spacing w:before="108"/>
              <w:ind w:right="10"/>
              <w:jc w:val="right"/>
              <w:rPr>
                <w:sz w:val="18"/>
              </w:rPr>
            </w:pPr>
            <w:r>
              <w:rPr>
                <w:spacing w:val="-2"/>
                <w:sz w:val="18"/>
              </w:rPr>
              <w:t>0.0033</w:t>
            </w:r>
          </w:p>
        </w:tc>
      </w:tr>
      <w:tr>
        <w:trPr>
          <w:trHeight w:val="225" w:hRule="atLeast"/>
        </w:trPr>
        <w:tc>
          <w:tcPr>
            <w:tcW w:w="1910" w:type="dxa"/>
          </w:tcPr>
          <w:p>
            <w:pPr>
              <w:pStyle w:val="TableParagraph"/>
              <w:ind w:left="556"/>
              <w:rPr>
                <w:sz w:val="18"/>
              </w:rPr>
            </w:pPr>
            <w:r>
              <w:rPr>
                <w:spacing w:val="-2"/>
                <w:sz w:val="18"/>
              </w:rPr>
              <w:t>D(TOP(-</w:t>
            </w:r>
            <w:r>
              <w:rPr>
                <w:spacing w:val="-5"/>
                <w:sz w:val="18"/>
              </w:rPr>
              <w:t>1))</w:t>
            </w:r>
          </w:p>
        </w:tc>
        <w:tc>
          <w:tcPr>
            <w:tcW w:w="1307" w:type="dxa"/>
          </w:tcPr>
          <w:p>
            <w:pPr>
              <w:pStyle w:val="TableParagraph"/>
              <w:ind w:right="105"/>
              <w:jc w:val="right"/>
              <w:rPr>
                <w:sz w:val="18"/>
              </w:rPr>
            </w:pPr>
            <w:r>
              <w:rPr>
                <w:spacing w:val="-2"/>
                <w:sz w:val="18"/>
              </w:rPr>
              <w:t>0.276088</w:t>
            </w:r>
          </w:p>
        </w:tc>
        <w:tc>
          <w:tcPr>
            <w:tcW w:w="1492" w:type="dxa"/>
          </w:tcPr>
          <w:p>
            <w:pPr>
              <w:pStyle w:val="TableParagraph"/>
              <w:ind w:left="349"/>
              <w:rPr>
                <w:sz w:val="18"/>
              </w:rPr>
            </w:pPr>
            <w:r>
              <w:rPr>
                <w:spacing w:val="-2"/>
                <w:sz w:val="18"/>
              </w:rPr>
              <w:t>0.171834</w:t>
            </w:r>
          </w:p>
        </w:tc>
        <w:tc>
          <w:tcPr>
            <w:tcW w:w="941" w:type="dxa"/>
          </w:tcPr>
          <w:p>
            <w:pPr>
              <w:pStyle w:val="TableParagraph"/>
              <w:ind w:right="124"/>
              <w:jc w:val="right"/>
              <w:rPr>
                <w:sz w:val="18"/>
              </w:rPr>
            </w:pPr>
            <w:r>
              <w:rPr>
                <w:spacing w:val="-2"/>
                <w:sz w:val="18"/>
              </w:rPr>
              <w:t>1.606711</w:t>
            </w:r>
          </w:p>
        </w:tc>
        <w:tc>
          <w:tcPr>
            <w:tcW w:w="885" w:type="dxa"/>
          </w:tcPr>
          <w:p>
            <w:pPr>
              <w:pStyle w:val="TableParagraph"/>
              <w:ind w:right="10"/>
              <w:jc w:val="right"/>
              <w:rPr>
                <w:sz w:val="18"/>
              </w:rPr>
            </w:pPr>
            <w:r>
              <w:rPr>
                <w:spacing w:val="-2"/>
                <w:sz w:val="18"/>
              </w:rPr>
              <w:t>0.1202</w:t>
            </w:r>
          </w:p>
        </w:tc>
      </w:tr>
      <w:tr>
        <w:trPr>
          <w:trHeight w:val="225" w:hRule="atLeast"/>
        </w:trPr>
        <w:tc>
          <w:tcPr>
            <w:tcW w:w="1910" w:type="dxa"/>
          </w:tcPr>
          <w:p>
            <w:pPr>
              <w:pStyle w:val="TableParagraph"/>
              <w:ind w:left="556"/>
              <w:rPr>
                <w:sz w:val="18"/>
              </w:rPr>
            </w:pPr>
            <w:r>
              <w:rPr>
                <w:spacing w:val="-2"/>
                <w:sz w:val="18"/>
              </w:rPr>
              <w:t>D(TOP(-</w:t>
            </w:r>
            <w:r>
              <w:rPr>
                <w:spacing w:val="-5"/>
                <w:sz w:val="18"/>
              </w:rPr>
              <w:t>2))</w:t>
            </w:r>
          </w:p>
        </w:tc>
        <w:tc>
          <w:tcPr>
            <w:tcW w:w="1307" w:type="dxa"/>
          </w:tcPr>
          <w:p>
            <w:pPr>
              <w:pStyle w:val="TableParagraph"/>
              <w:ind w:right="105"/>
              <w:jc w:val="right"/>
              <w:rPr>
                <w:sz w:val="18"/>
              </w:rPr>
            </w:pPr>
            <w:r>
              <w:rPr>
                <w:spacing w:val="-2"/>
                <w:sz w:val="18"/>
              </w:rPr>
              <w:t>0.032477</w:t>
            </w:r>
          </w:p>
        </w:tc>
        <w:tc>
          <w:tcPr>
            <w:tcW w:w="1492" w:type="dxa"/>
          </w:tcPr>
          <w:p>
            <w:pPr>
              <w:pStyle w:val="TableParagraph"/>
              <w:ind w:left="349"/>
              <w:rPr>
                <w:sz w:val="18"/>
              </w:rPr>
            </w:pPr>
            <w:r>
              <w:rPr>
                <w:spacing w:val="-2"/>
                <w:sz w:val="18"/>
              </w:rPr>
              <w:t>0.158233</w:t>
            </w:r>
          </w:p>
        </w:tc>
        <w:tc>
          <w:tcPr>
            <w:tcW w:w="941" w:type="dxa"/>
          </w:tcPr>
          <w:p>
            <w:pPr>
              <w:pStyle w:val="TableParagraph"/>
              <w:ind w:right="124"/>
              <w:jc w:val="right"/>
              <w:rPr>
                <w:sz w:val="18"/>
              </w:rPr>
            </w:pPr>
            <w:r>
              <w:rPr>
                <w:spacing w:val="-2"/>
                <w:sz w:val="18"/>
              </w:rPr>
              <w:t>0.205247</w:t>
            </w:r>
          </w:p>
        </w:tc>
        <w:tc>
          <w:tcPr>
            <w:tcW w:w="885" w:type="dxa"/>
          </w:tcPr>
          <w:p>
            <w:pPr>
              <w:pStyle w:val="TableParagraph"/>
              <w:ind w:right="10"/>
              <w:jc w:val="right"/>
              <w:rPr>
                <w:sz w:val="18"/>
              </w:rPr>
            </w:pPr>
            <w:r>
              <w:rPr>
                <w:spacing w:val="-2"/>
                <w:sz w:val="18"/>
              </w:rPr>
              <w:t>0.8390</w:t>
            </w:r>
          </w:p>
        </w:tc>
      </w:tr>
      <w:tr>
        <w:trPr>
          <w:trHeight w:val="224" w:hRule="atLeast"/>
        </w:trPr>
        <w:tc>
          <w:tcPr>
            <w:tcW w:w="1910" w:type="dxa"/>
          </w:tcPr>
          <w:p>
            <w:pPr>
              <w:pStyle w:val="TableParagraph"/>
              <w:spacing w:line="198" w:lineRule="exact"/>
              <w:ind w:left="556"/>
              <w:rPr>
                <w:sz w:val="18"/>
              </w:rPr>
            </w:pPr>
            <w:r>
              <w:rPr>
                <w:spacing w:val="-2"/>
                <w:sz w:val="18"/>
              </w:rPr>
              <w:t>D(TOP(-</w:t>
            </w:r>
            <w:r>
              <w:rPr>
                <w:spacing w:val="-5"/>
                <w:sz w:val="18"/>
              </w:rPr>
              <w:t>3))</w:t>
            </w:r>
          </w:p>
        </w:tc>
        <w:tc>
          <w:tcPr>
            <w:tcW w:w="1307" w:type="dxa"/>
          </w:tcPr>
          <w:p>
            <w:pPr>
              <w:pStyle w:val="TableParagraph"/>
              <w:spacing w:line="198" w:lineRule="exact"/>
              <w:ind w:right="105"/>
              <w:jc w:val="right"/>
              <w:rPr>
                <w:sz w:val="18"/>
              </w:rPr>
            </w:pPr>
            <w:r>
              <w:rPr>
                <w:spacing w:val="-2"/>
                <w:sz w:val="18"/>
              </w:rPr>
              <w:t>0.436991</w:t>
            </w:r>
          </w:p>
        </w:tc>
        <w:tc>
          <w:tcPr>
            <w:tcW w:w="1492" w:type="dxa"/>
          </w:tcPr>
          <w:p>
            <w:pPr>
              <w:pStyle w:val="TableParagraph"/>
              <w:spacing w:line="198" w:lineRule="exact"/>
              <w:ind w:left="349"/>
              <w:rPr>
                <w:sz w:val="18"/>
              </w:rPr>
            </w:pPr>
            <w:r>
              <w:rPr>
                <w:spacing w:val="-2"/>
                <w:sz w:val="18"/>
              </w:rPr>
              <w:t>0.156262</w:t>
            </w:r>
          </w:p>
        </w:tc>
        <w:tc>
          <w:tcPr>
            <w:tcW w:w="941" w:type="dxa"/>
          </w:tcPr>
          <w:p>
            <w:pPr>
              <w:pStyle w:val="TableParagraph"/>
              <w:spacing w:line="198" w:lineRule="exact"/>
              <w:ind w:right="124"/>
              <w:jc w:val="right"/>
              <w:rPr>
                <w:sz w:val="18"/>
              </w:rPr>
            </w:pPr>
            <w:r>
              <w:rPr>
                <w:spacing w:val="-2"/>
                <w:sz w:val="18"/>
              </w:rPr>
              <w:t>2.796521</w:t>
            </w:r>
          </w:p>
        </w:tc>
        <w:tc>
          <w:tcPr>
            <w:tcW w:w="885" w:type="dxa"/>
          </w:tcPr>
          <w:p>
            <w:pPr>
              <w:pStyle w:val="TableParagraph"/>
              <w:spacing w:line="198" w:lineRule="exact"/>
              <w:ind w:right="10"/>
              <w:jc w:val="right"/>
              <w:rPr>
                <w:sz w:val="18"/>
              </w:rPr>
            </w:pPr>
            <w:r>
              <w:rPr>
                <w:spacing w:val="-2"/>
                <w:sz w:val="18"/>
              </w:rPr>
              <w:t>0.0096</w:t>
            </w:r>
          </w:p>
        </w:tc>
      </w:tr>
      <w:tr>
        <w:trPr>
          <w:trHeight w:val="302" w:hRule="atLeast"/>
        </w:trPr>
        <w:tc>
          <w:tcPr>
            <w:tcW w:w="1910" w:type="dxa"/>
            <w:tcBorders>
              <w:bottom w:val="double" w:sz="6" w:space="0" w:color="000000"/>
            </w:tcBorders>
          </w:tcPr>
          <w:p>
            <w:pPr>
              <w:pStyle w:val="TableParagraph"/>
              <w:spacing w:line="240" w:lineRule="auto" w:before="5"/>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before="5"/>
              <w:ind w:right="105"/>
              <w:jc w:val="right"/>
              <w:rPr>
                <w:sz w:val="18"/>
              </w:rPr>
            </w:pPr>
            <w:r>
              <w:rPr>
                <w:spacing w:val="-2"/>
                <w:sz w:val="18"/>
              </w:rPr>
              <w:t>29.45088</w:t>
            </w:r>
          </w:p>
        </w:tc>
        <w:tc>
          <w:tcPr>
            <w:tcW w:w="1492" w:type="dxa"/>
            <w:tcBorders>
              <w:bottom w:val="double" w:sz="6" w:space="0" w:color="000000"/>
            </w:tcBorders>
          </w:tcPr>
          <w:p>
            <w:pPr>
              <w:pStyle w:val="TableParagraph"/>
              <w:spacing w:line="240" w:lineRule="auto" w:before="5"/>
              <w:ind w:left="349"/>
              <w:rPr>
                <w:sz w:val="18"/>
              </w:rPr>
            </w:pPr>
            <w:r>
              <w:rPr>
                <w:spacing w:val="-2"/>
                <w:sz w:val="18"/>
              </w:rPr>
              <w:t>9.044007</w:t>
            </w:r>
          </w:p>
        </w:tc>
        <w:tc>
          <w:tcPr>
            <w:tcW w:w="941" w:type="dxa"/>
            <w:tcBorders>
              <w:bottom w:val="double" w:sz="6" w:space="0" w:color="000000"/>
            </w:tcBorders>
          </w:tcPr>
          <w:p>
            <w:pPr>
              <w:pStyle w:val="TableParagraph"/>
              <w:spacing w:line="240" w:lineRule="auto" w:before="5"/>
              <w:ind w:right="124"/>
              <w:jc w:val="right"/>
              <w:rPr>
                <w:sz w:val="18"/>
              </w:rPr>
            </w:pPr>
            <w:r>
              <w:rPr>
                <w:spacing w:val="-2"/>
                <w:sz w:val="18"/>
              </w:rPr>
              <w:t>3.256398</w:t>
            </w:r>
          </w:p>
        </w:tc>
        <w:tc>
          <w:tcPr>
            <w:tcW w:w="885" w:type="dxa"/>
            <w:tcBorders>
              <w:bottom w:val="double" w:sz="6" w:space="0" w:color="000000"/>
            </w:tcBorders>
          </w:tcPr>
          <w:p>
            <w:pPr>
              <w:pStyle w:val="TableParagraph"/>
              <w:spacing w:line="240" w:lineRule="auto" w:before="5"/>
              <w:ind w:right="10"/>
              <w:jc w:val="right"/>
              <w:rPr>
                <w:sz w:val="18"/>
              </w:rPr>
            </w:pPr>
            <w:r>
              <w:rPr>
                <w:spacing w:val="-2"/>
                <w:sz w:val="18"/>
              </w:rPr>
              <w:t>0.0031</w:t>
            </w:r>
          </w:p>
        </w:tc>
      </w:tr>
      <w:tr>
        <w:trPr>
          <w:trHeight w:val="328" w:hRule="atLeast"/>
        </w:trPr>
        <w:tc>
          <w:tcPr>
            <w:tcW w:w="1910" w:type="dxa"/>
            <w:tcBorders>
              <w:top w:val="double" w:sz="6" w:space="0" w:color="000000"/>
            </w:tcBorders>
          </w:tcPr>
          <w:p>
            <w:pPr>
              <w:pStyle w:val="TableParagraph"/>
              <w:spacing w:before="109"/>
              <w:rPr>
                <w:sz w:val="18"/>
              </w:rPr>
            </w:pPr>
            <w:r>
              <w:rPr>
                <w:spacing w:val="-2"/>
                <w:sz w:val="18"/>
              </w:rPr>
              <w:t>R-squared</w:t>
            </w:r>
          </w:p>
        </w:tc>
        <w:tc>
          <w:tcPr>
            <w:tcW w:w="1307" w:type="dxa"/>
            <w:tcBorders>
              <w:top w:val="double" w:sz="6" w:space="0" w:color="000000"/>
            </w:tcBorders>
          </w:tcPr>
          <w:p>
            <w:pPr>
              <w:pStyle w:val="TableParagraph"/>
              <w:spacing w:before="109"/>
              <w:ind w:right="105"/>
              <w:jc w:val="right"/>
              <w:rPr>
                <w:sz w:val="18"/>
              </w:rPr>
            </w:pPr>
            <w:r>
              <w:rPr>
                <w:spacing w:val="-2"/>
                <w:sz w:val="18"/>
              </w:rPr>
              <w:t>0.366198</w:t>
            </w:r>
          </w:p>
        </w:tc>
        <w:tc>
          <w:tcPr>
            <w:tcW w:w="2433" w:type="dxa"/>
            <w:gridSpan w:val="2"/>
            <w:tcBorders>
              <w:top w:val="double" w:sz="6" w:space="0" w:color="000000"/>
            </w:tcBorders>
          </w:tcPr>
          <w:p>
            <w:pPr>
              <w:pStyle w:val="TableParagraph"/>
              <w:spacing w:before="109"/>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885" w:type="dxa"/>
            <w:tcBorders>
              <w:top w:val="double" w:sz="6" w:space="0" w:color="000000"/>
            </w:tcBorders>
          </w:tcPr>
          <w:p>
            <w:pPr>
              <w:pStyle w:val="TableParagraph"/>
              <w:spacing w:before="109"/>
              <w:ind w:right="10"/>
              <w:jc w:val="right"/>
              <w:rPr>
                <w:sz w:val="18"/>
              </w:rPr>
            </w:pPr>
            <w:r>
              <w:rPr>
                <w:spacing w:val="-2"/>
                <w:sz w:val="18"/>
              </w:rPr>
              <w:t>0.538387</w:t>
            </w:r>
          </w:p>
        </w:tc>
      </w:tr>
      <w:tr>
        <w:trPr>
          <w:trHeight w:val="224" w:hRule="atLeast"/>
        </w:trPr>
        <w:tc>
          <w:tcPr>
            <w:tcW w:w="1910" w:type="dxa"/>
          </w:tcPr>
          <w:p>
            <w:pPr>
              <w:pStyle w:val="TableParagraph"/>
              <w:spacing w:line="198" w:lineRule="exact"/>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spacing w:line="198" w:lineRule="exact"/>
              <w:ind w:right="105"/>
              <w:jc w:val="right"/>
              <w:rPr>
                <w:sz w:val="18"/>
              </w:rPr>
            </w:pPr>
            <w:r>
              <w:rPr>
                <w:spacing w:val="-2"/>
                <w:sz w:val="18"/>
              </w:rPr>
              <w:t>0.268690</w:t>
            </w:r>
          </w:p>
        </w:tc>
        <w:tc>
          <w:tcPr>
            <w:tcW w:w="2433" w:type="dxa"/>
            <w:gridSpan w:val="2"/>
          </w:tcPr>
          <w:p>
            <w:pPr>
              <w:pStyle w:val="TableParagraph"/>
              <w:spacing w:line="198" w:lineRule="exact"/>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885" w:type="dxa"/>
          </w:tcPr>
          <w:p>
            <w:pPr>
              <w:pStyle w:val="TableParagraph"/>
              <w:spacing w:line="198" w:lineRule="exact"/>
              <w:ind w:right="10"/>
              <w:jc w:val="right"/>
              <w:rPr>
                <w:sz w:val="18"/>
              </w:rPr>
            </w:pPr>
            <w:r>
              <w:rPr>
                <w:spacing w:val="-2"/>
                <w:sz w:val="18"/>
              </w:rPr>
              <w:t>7.593081</w:t>
            </w:r>
          </w:p>
        </w:tc>
      </w:tr>
      <w:tr>
        <w:trPr>
          <w:trHeight w:val="224" w:hRule="atLeast"/>
        </w:trPr>
        <w:tc>
          <w:tcPr>
            <w:tcW w:w="1910" w:type="dxa"/>
          </w:tcPr>
          <w:p>
            <w:pPr>
              <w:pStyle w:val="TableParagraph"/>
              <w:spacing w:before="5"/>
              <w:rPr>
                <w:sz w:val="18"/>
              </w:rPr>
            </w:pPr>
            <w:r>
              <w:rPr>
                <w:sz w:val="18"/>
              </w:rPr>
              <w:t>S.E.</w:t>
            </w:r>
            <w:r>
              <w:rPr>
                <w:spacing w:val="-2"/>
                <w:sz w:val="18"/>
              </w:rPr>
              <w:t> </w:t>
            </w:r>
            <w:r>
              <w:rPr>
                <w:sz w:val="18"/>
              </w:rPr>
              <w:t>of </w:t>
            </w:r>
            <w:r>
              <w:rPr>
                <w:spacing w:val="-2"/>
                <w:sz w:val="18"/>
              </w:rPr>
              <w:t>regression</w:t>
            </w:r>
          </w:p>
        </w:tc>
        <w:tc>
          <w:tcPr>
            <w:tcW w:w="1307" w:type="dxa"/>
          </w:tcPr>
          <w:p>
            <w:pPr>
              <w:pStyle w:val="TableParagraph"/>
              <w:spacing w:before="5"/>
              <w:ind w:right="105"/>
              <w:jc w:val="right"/>
              <w:rPr>
                <w:sz w:val="18"/>
              </w:rPr>
            </w:pPr>
            <w:r>
              <w:rPr>
                <w:spacing w:val="-2"/>
                <w:sz w:val="18"/>
              </w:rPr>
              <w:t>6.493350</w:t>
            </w:r>
          </w:p>
        </w:tc>
        <w:tc>
          <w:tcPr>
            <w:tcW w:w="2433" w:type="dxa"/>
            <w:gridSpan w:val="2"/>
          </w:tcPr>
          <w:p>
            <w:pPr>
              <w:pStyle w:val="TableParagraph"/>
              <w:spacing w:before="5"/>
              <w:ind w:left="105"/>
              <w:rPr>
                <w:sz w:val="18"/>
              </w:rPr>
            </w:pPr>
            <w:r>
              <w:rPr>
                <w:sz w:val="18"/>
              </w:rPr>
              <w:t>Akaike</w:t>
            </w:r>
            <w:r>
              <w:rPr>
                <w:spacing w:val="-3"/>
                <w:sz w:val="18"/>
              </w:rPr>
              <w:t> </w:t>
            </w:r>
            <w:r>
              <w:rPr>
                <w:sz w:val="18"/>
              </w:rPr>
              <w:t>info</w:t>
            </w:r>
            <w:r>
              <w:rPr>
                <w:spacing w:val="-2"/>
                <w:sz w:val="18"/>
              </w:rPr>
              <w:t> criterion</w:t>
            </w:r>
          </w:p>
        </w:tc>
        <w:tc>
          <w:tcPr>
            <w:tcW w:w="885" w:type="dxa"/>
          </w:tcPr>
          <w:p>
            <w:pPr>
              <w:pStyle w:val="TableParagraph"/>
              <w:spacing w:before="5"/>
              <w:ind w:right="10"/>
              <w:jc w:val="right"/>
              <w:rPr>
                <w:sz w:val="18"/>
              </w:rPr>
            </w:pPr>
            <w:r>
              <w:rPr>
                <w:spacing w:val="-2"/>
                <w:sz w:val="18"/>
              </w:rPr>
              <w:t>6.726124</w:t>
            </w:r>
          </w:p>
        </w:tc>
      </w:tr>
      <w:tr>
        <w:trPr>
          <w:trHeight w:val="225" w:hRule="atLeast"/>
        </w:trPr>
        <w:tc>
          <w:tcPr>
            <w:tcW w:w="1910"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307" w:type="dxa"/>
          </w:tcPr>
          <w:p>
            <w:pPr>
              <w:pStyle w:val="TableParagraph"/>
              <w:ind w:right="105"/>
              <w:jc w:val="right"/>
              <w:rPr>
                <w:sz w:val="18"/>
              </w:rPr>
            </w:pPr>
            <w:r>
              <w:rPr>
                <w:spacing w:val="-2"/>
                <w:sz w:val="18"/>
              </w:rPr>
              <w:t>1096.253</w:t>
            </w:r>
          </w:p>
        </w:tc>
        <w:tc>
          <w:tcPr>
            <w:tcW w:w="1492" w:type="dxa"/>
          </w:tcPr>
          <w:p>
            <w:pPr>
              <w:pStyle w:val="TableParagraph"/>
              <w:ind w:left="105"/>
              <w:rPr>
                <w:sz w:val="18"/>
              </w:rPr>
            </w:pPr>
            <w:r>
              <w:rPr>
                <w:sz w:val="18"/>
              </w:rPr>
              <w:t>Schwarz</w:t>
            </w:r>
            <w:r>
              <w:rPr>
                <w:spacing w:val="-4"/>
                <w:sz w:val="18"/>
              </w:rPr>
              <w:t> </w:t>
            </w:r>
            <w:r>
              <w:rPr>
                <w:spacing w:val="-2"/>
                <w:sz w:val="18"/>
              </w:rPr>
              <w:t>criterion</w:t>
            </w:r>
          </w:p>
        </w:tc>
        <w:tc>
          <w:tcPr>
            <w:tcW w:w="941" w:type="dxa"/>
          </w:tcPr>
          <w:p>
            <w:pPr>
              <w:pStyle w:val="TableParagraph"/>
              <w:spacing w:line="240" w:lineRule="auto" w:before="0"/>
              <w:rPr>
                <w:rFonts w:ascii="Times New Roman"/>
                <w:sz w:val="16"/>
              </w:rPr>
            </w:pPr>
          </w:p>
        </w:tc>
        <w:tc>
          <w:tcPr>
            <w:tcW w:w="885" w:type="dxa"/>
          </w:tcPr>
          <w:p>
            <w:pPr>
              <w:pStyle w:val="TableParagraph"/>
              <w:ind w:right="10"/>
              <w:jc w:val="right"/>
              <w:rPr>
                <w:sz w:val="18"/>
              </w:rPr>
            </w:pPr>
            <w:r>
              <w:rPr>
                <w:spacing w:val="-2"/>
                <w:sz w:val="18"/>
              </w:rPr>
              <w:t>6.957412</w:t>
            </w:r>
          </w:p>
        </w:tc>
      </w:tr>
      <w:tr>
        <w:trPr>
          <w:trHeight w:val="225" w:hRule="atLeast"/>
        </w:trPr>
        <w:tc>
          <w:tcPr>
            <w:tcW w:w="1910" w:type="dxa"/>
          </w:tcPr>
          <w:p>
            <w:pPr>
              <w:pStyle w:val="TableParagraph"/>
              <w:rPr>
                <w:sz w:val="18"/>
              </w:rPr>
            </w:pPr>
            <w:r>
              <w:rPr>
                <w:sz w:val="18"/>
              </w:rPr>
              <w:t>Log</w:t>
            </w:r>
            <w:r>
              <w:rPr>
                <w:spacing w:val="-3"/>
                <w:sz w:val="18"/>
              </w:rPr>
              <w:t> </w:t>
            </w:r>
            <w:r>
              <w:rPr>
                <w:spacing w:val="-2"/>
                <w:sz w:val="18"/>
              </w:rPr>
              <w:t>likelihood</w:t>
            </w:r>
          </w:p>
        </w:tc>
        <w:tc>
          <w:tcPr>
            <w:tcW w:w="1307" w:type="dxa"/>
          </w:tcPr>
          <w:p>
            <w:pPr>
              <w:pStyle w:val="TableParagraph"/>
              <w:ind w:right="105"/>
              <w:jc w:val="right"/>
              <w:rPr>
                <w:sz w:val="18"/>
              </w:rPr>
            </w:pPr>
            <w:r>
              <w:rPr>
                <w:spacing w:val="-2"/>
                <w:sz w:val="18"/>
              </w:rPr>
              <w:t>-99.25493</w:t>
            </w:r>
          </w:p>
        </w:tc>
        <w:tc>
          <w:tcPr>
            <w:tcW w:w="2433" w:type="dxa"/>
            <w:gridSpan w:val="2"/>
          </w:tcPr>
          <w:p>
            <w:pPr>
              <w:pStyle w:val="TableParagraph"/>
              <w:ind w:left="105"/>
              <w:rPr>
                <w:sz w:val="18"/>
              </w:rPr>
            </w:pPr>
            <w:r>
              <w:rPr>
                <w:spacing w:val="-2"/>
                <w:sz w:val="18"/>
              </w:rPr>
              <w:t>Hannan-Quinn</w:t>
            </w:r>
            <w:r>
              <w:rPr>
                <w:spacing w:val="11"/>
                <w:sz w:val="18"/>
              </w:rPr>
              <w:t> </w:t>
            </w:r>
            <w:r>
              <w:rPr>
                <w:spacing w:val="-2"/>
                <w:sz w:val="18"/>
              </w:rPr>
              <w:t>criter.</w:t>
            </w:r>
          </w:p>
        </w:tc>
        <w:tc>
          <w:tcPr>
            <w:tcW w:w="885" w:type="dxa"/>
          </w:tcPr>
          <w:p>
            <w:pPr>
              <w:pStyle w:val="TableParagraph"/>
              <w:ind w:right="10"/>
              <w:jc w:val="right"/>
              <w:rPr>
                <w:sz w:val="18"/>
              </w:rPr>
            </w:pPr>
            <w:r>
              <w:rPr>
                <w:spacing w:val="-2"/>
                <w:sz w:val="18"/>
              </w:rPr>
              <w:t>6.801518</w:t>
            </w:r>
          </w:p>
        </w:tc>
      </w:tr>
      <w:tr>
        <w:trPr>
          <w:trHeight w:val="224" w:hRule="atLeast"/>
        </w:trPr>
        <w:tc>
          <w:tcPr>
            <w:tcW w:w="1910" w:type="dxa"/>
          </w:tcPr>
          <w:p>
            <w:pPr>
              <w:pStyle w:val="TableParagraph"/>
              <w:spacing w:line="198" w:lineRule="exact"/>
              <w:rPr>
                <w:sz w:val="18"/>
              </w:rPr>
            </w:pPr>
            <w:r>
              <w:rPr>
                <w:spacing w:val="-2"/>
                <w:sz w:val="18"/>
              </w:rPr>
              <w:t>F-statistic</w:t>
            </w:r>
          </w:p>
        </w:tc>
        <w:tc>
          <w:tcPr>
            <w:tcW w:w="1307" w:type="dxa"/>
          </w:tcPr>
          <w:p>
            <w:pPr>
              <w:pStyle w:val="TableParagraph"/>
              <w:spacing w:line="198" w:lineRule="exact"/>
              <w:ind w:right="105"/>
              <w:jc w:val="right"/>
              <w:rPr>
                <w:sz w:val="18"/>
              </w:rPr>
            </w:pPr>
            <w:r>
              <w:rPr>
                <w:spacing w:val="-2"/>
                <w:sz w:val="18"/>
              </w:rPr>
              <w:t>3.755567</w:t>
            </w:r>
          </w:p>
        </w:tc>
        <w:tc>
          <w:tcPr>
            <w:tcW w:w="2433" w:type="dxa"/>
            <w:gridSpan w:val="2"/>
          </w:tcPr>
          <w:p>
            <w:pPr>
              <w:pStyle w:val="TableParagraph"/>
              <w:spacing w:line="198" w:lineRule="exact"/>
              <w:ind w:left="105"/>
              <w:rPr>
                <w:sz w:val="18"/>
              </w:rPr>
            </w:pPr>
            <w:r>
              <w:rPr>
                <w:spacing w:val="-2"/>
                <w:sz w:val="18"/>
              </w:rPr>
              <w:t>Durbin-Watson</w:t>
            </w:r>
            <w:r>
              <w:rPr>
                <w:spacing w:val="13"/>
                <w:sz w:val="18"/>
              </w:rPr>
              <w:t> </w:t>
            </w:r>
            <w:r>
              <w:rPr>
                <w:spacing w:val="-4"/>
                <w:sz w:val="18"/>
              </w:rPr>
              <w:t>stat</w:t>
            </w:r>
          </w:p>
        </w:tc>
        <w:tc>
          <w:tcPr>
            <w:tcW w:w="885" w:type="dxa"/>
          </w:tcPr>
          <w:p>
            <w:pPr>
              <w:pStyle w:val="TableParagraph"/>
              <w:spacing w:line="198" w:lineRule="exact"/>
              <w:ind w:right="10"/>
              <w:jc w:val="right"/>
              <w:rPr>
                <w:sz w:val="18"/>
              </w:rPr>
            </w:pPr>
            <w:r>
              <w:rPr>
                <w:spacing w:val="-2"/>
                <w:sz w:val="18"/>
              </w:rPr>
              <w:t>1.802391</w:t>
            </w:r>
          </w:p>
        </w:tc>
      </w:tr>
      <w:tr>
        <w:trPr>
          <w:trHeight w:val="302" w:hRule="atLeast"/>
        </w:trPr>
        <w:tc>
          <w:tcPr>
            <w:tcW w:w="1910" w:type="dxa"/>
            <w:tcBorders>
              <w:bottom w:val="double" w:sz="6" w:space="0" w:color="000000"/>
            </w:tcBorders>
          </w:tcPr>
          <w:p>
            <w:pPr>
              <w:pStyle w:val="TableParagraph"/>
              <w:spacing w:line="240" w:lineRule="auto" w:before="5"/>
              <w:rPr>
                <w:sz w:val="18"/>
              </w:rPr>
            </w:pPr>
            <w:r>
              <w:rPr>
                <w:spacing w:val="-2"/>
                <w:sz w:val="18"/>
              </w:rPr>
              <w:t>Prob(F-statistic)</w:t>
            </w:r>
          </w:p>
        </w:tc>
        <w:tc>
          <w:tcPr>
            <w:tcW w:w="1307" w:type="dxa"/>
            <w:tcBorders>
              <w:bottom w:val="double" w:sz="6" w:space="0" w:color="000000"/>
            </w:tcBorders>
          </w:tcPr>
          <w:p>
            <w:pPr>
              <w:pStyle w:val="TableParagraph"/>
              <w:spacing w:line="240" w:lineRule="auto" w:before="5"/>
              <w:ind w:right="105"/>
              <w:jc w:val="right"/>
              <w:rPr>
                <w:sz w:val="18"/>
              </w:rPr>
            </w:pPr>
            <w:r>
              <w:rPr>
                <w:spacing w:val="-2"/>
                <w:sz w:val="18"/>
              </w:rPr>
              <w:t>0.015341</w:t>
            </w:r>
          </w:p>
        </w:tc>
        <w:tc>
          <w:tcPr>
            <w:tcW w:w="2433" w:type="dxa"/>
            <w:gridSpan w:val="2"/>
            <w:tcBorders>
              <w:bottom w:val="double" w:sz="6" w:space="0" w:color="000000"/>
            </w:tcBorders>
          </w:tcPr>
          <w:p>
            <w:pPr>
              <w:pStyle w:val="TableParagraph"/>
              <w:spacing w:line="240" w:lineRule="auto" w:before="0"/>
              <w:rPr>
                <w:rFonts w:ascii="Times New Roman"/>
                <w:sz w:val="18"/>
              </w:rPr>
            </w:pPr>
          </w:p>
        </w:tc>
        <w:tc>
          <w:tcPr>
            <w:tcW w:w="885"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27616">
                <wp:simplePos x="0" y="0"/>
                <wp:positionH relativeFrom="page">
                  <wp:posOffset>950112</wp:posOffset>
                </wp:positionH>
                <wp:positionV relativeFrom="page">
                  <wp:posOffset>5495962</wp:posOffset>
                </wp:positionV>
                <wp:extent cx="2223770" cy="2362200"/>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88864" id="docshape253"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28128">
                <wp:simplePos x="0" y="0"/>
                <wp:positionH relativeFrom="page">
                  <wp:posOffset>2872486</wp:posOffset>
                </wp:positionH>
                <wp:positionV relativeFrom="page">
                  <wp:posOffset>2197353</wp:posOffset>
                </wp:positionV>
                <wp:extent cx="3583304" cy="3612515"/>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88352" id="docshape254"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492"/>
        <w:gridCol w:w="940"/>
        <w:gridCol w:w="884"/>
      </w:tblGrid>
      <w:tr>
        <w:trPr>
          <w:trHeight w:val="213" w:hRule="atLeast"/>
        </w:trPr>
        <w:tc>
          <w:tcPr>
            <w:tcW w:w="6533" w:type="dxa"/>
            <w:gridSpan w:val="5"/>
          </w:tcPr>
          <w:p>
            <w:pPr>
              <w:pStyle w:val="TableParagraph"/>
              <w:spacing w:line="193" w:lineRule="exact" w:before="0"/>
              <w:rPr>
                <w:sz w:val="18"/>
              </w:rPr>
            </w:pPr>
            <w:r>
              <w:rPr>
                <w:sz w:val="18"/>
              </w:rPr>
              <w:t>Null</w:t>
            </w:r>
            <w:r>
              <w:rPr>
                <w:spacing w:val="-3"/>
                <w:sz w:val="18"/>
              </w:rPr>
              <w:t> </w:t>
            </w:r>
            <w:r>
              <w:rPr>
                <w:sz w:val="18"/>
              </w:rPr>
              <w:t>Hypothesis:</w:t>
            </w:r>
            <w:r>
              <w:rPr>
                <w:spacing w:val="-3"/>
                <w:sz w:val="18"/>
              </w:rPr>
              <w:t> </w:t>
            </w:r>
            <w:r>
              <w:rPr>
                <w:sz w:val="18"/>
              </w:rPr>
              <w:t>D(TOP)</w:t>
            </w:r>
            <w:r>
              <w:rPr>
                <w:spacing w:val="-2"/>
                <w:sz w:val="18"/>
              </w:rPr>
              <w:t> </w:t>
            </w:r>
            <w:r>
              <w:rPr>
                <w:sz w:val="18"/>
              </w:rPr>
              <w:t>has</w:t>
            </w:r>
            <w:r>
              <w:rPr>
                <w:spacing w:val="-4"/>
                <w:sz w:val="18"/>
              </w:rPr>
              <w:t> </w:t>
            </w:r>
            <w:r>
              <w:rPr>
                <w:sz w:val="18"/>
              </w:rPr>
              <w:t>a</w:t>
            </w:r>
            <w:r>
              <w:rPr>
                <w:spacing w:val="-3"/>
                <w:sz w:val="18"/>
              </w:rPr>
              <w:t> </w:t>
            </w:r>
            <w:r>
              <w:rPr>
                <w:sz w:val="18"/>
              </w:rPr>
              <w:t>unit</w:t>
            </w:r>
            <w:r>
              <w:rPr>
                <w:spacing w:val="-2"/>
                <w:sz w:val="18"/>
              </w:rPr>
              <w:t> </w:t>
            </w:r>
            <w:r>
              <w:rPr>
                <w:spacing w:val="-4"/>
                <w:sz w:val="18"/>
              </w:rPr>
              <w:t>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302" w:hRule="atLeast"/>
        </w:trPr>
        <w:tc>
          <w:tcPr>
            <w:tcW w:w="6533" w:type="dxa"/>
            <w:gridSpan w:val="5"/>
            <w:tcBorders>
              <w:bottom w:val="double" w:sz="6" w:space="0" w:color="000000"/>
            </w:tcBorders>
          </w:tcPr>
          <w:p>
            <w:pPr>
              <w:pStyle w:val="TableParagraph"/>
              <w:spacing w:line="240" w:lineRule="auto" w:before="5"/>
              <w:rPr>
                <w:sz w:val="18"/>
              </w:rPr>
            </w:pPr>
            <w:r>
              <w:rPr>
                <w:sz w:val="18"/>
              </w:rPr>
              <w:t>Lag</w:t>
            </w:r>
            <w:r>
              <w:rPr>
                <w:spacing w:val="-4"/>
                <w:sz w:val="18"/>
              </w:rPr>
              <w:t> </w:t>
            </w:r>
            <w:r>
              <w:rPr>
                <w:sz w:val="18"/>
              </w:rPr>
              <w:t>Length:</w:t>
            </w:r>
            <w:r>
              <w:rPr>
                <w:spacing w:val="-2"/>
                <w:sz w:val="18"/>
              </w:rPr>
              <w:t> </w:t>
            </w:r>
            <w:r>
              <w:rPr>
                <w:sz w:val="18"/>
              </w:rPr>
              <w:t>3</w:t>
            </w:r>
            <w:r>
              <w:rPr>
                <w:spacing w:val="-2"/>
                <w:sz w:val="18"/>
              </w:rPr>
              <w:t> </w:t>
            </w:r>
            <w:r>
              <w:rPr>
                <w:sz w:val="18"/>
              </w:rPr>
              <w:t>(Automatic</w:t>
            </w:r>
            <w:r>
              <w:rPr>
                <w:spacing w:val="1"/>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2"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8"/>
              <w:ind w:left="183"/>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32" w:type="dxa"/>
            <w:gridSpan w:val="2"/>
            <w:tcBorders>
              <w:top w:val="double" w:sz="6" w:space="0" w:color="000000"/>
              <w:bottom w:val="single" w:sz="6" w:space="0" w:color="000000"/>
            </w:tcBorders>
          </w:tcPr>
          <w:p>
            <w:pPr>
              <w:pStyle w:val="TableParagraph"/>
              <w:spacing w:line="187" w:lineRule="exact" w:before="108"/>
              <w:ind w:left="1305"/>
              <w:rPr>
                <w:sz w:val="18"/>
              </w:rPr>
            </w:pPr>
            <w:r>
              <w:rPr>
                <w:spacing w:val="-2"/>
                <w:sz w:val="18"/>
              </w:rPr>
              <w:t>-4.349859</w:t>
            </w:r>
          </w:p>
        </w:tc>
        <w:tc>
          <w:tcPr>
            <w:tcW w:w="884" w:type="dxa"/>
            <w:tcBorders>
              <w:top w:val="double" w:sz="6" w:space="0" w:color="000000"/>
              <w:bottom w:val="single" w:sz="6" w:space="0" w:color="000000"/>
            </w:tcBorders>
          </w:tcPr>
          <w:p>
            <w:pPr>
              <w:pStyle w:val="TableParagraph"/>
              <w:spacing w:line="187" w:lineRule="exact" w:before="108"/>
              <w:ind w:left="133"/>
              <w:rPr>
                <w:sz w:val="18"/>
              </w:rPr>
            </w:pPr>
            <w:r>
              <w:rPr>
                <w:spacing w:val="-2"/>
                <w:sz w:val="18"/>
              </w:rPr>
              <w:t>0.0013</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7"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32" w:type="dxa"/>
            <w:gridSpan w:val="2"/>
            <w:tcBorders>
              <w:top w:val="single" w:sz="6" w:space="0" w:color="000000"/>
            </w:tcBorders>
          </w:tcPr>
          <w:p>
            <w:pPr>
              <w:pStyle w:val="TableParagraph"/>
              <w:spacing w:before="18"/>
              <w:ind w:left="1305"/>
              <w:rPr>
                <w:sz w:val="18"/>
              </w:rPr>
            </w:pPr>
            <w:r>
              <w:rPr>
                <w:spacing w:val="-2"/>
                <w:sz w:val="18"/>
              </w:rPr>
              <w:t>-3.670170</w:t>
            </w:r>
          </w:p>
        </w:tc>
        <w:tc>
          <w:tcPr>
            <w:tcW w:w="884"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7" w:type="dxa"/>
          </w:tcPr>
          <w:p>
            <w:pPr>
              <w:pStyle w:val="TableParagraph"/>
              <w:ind w:left="317"/>
              <w:rPr>
                <w:sz w:val="18"/>
              </w:rPr>
            </w:pPr>
            <w:r>
              <w:rPr>
                <w:sz w:val="18"/>
              </w:rPr>
              <w:t>5%</w:t>
            </w:r>
            <w:r>
              <w:rPr>
                <w:spacing w:val="-3"/>
                <w:sz w:val="18"/>
              </w:rPr>
              <w:t> </w:t>
            </w:r>
            <w:r>
              <w:rPr>
                <w:spacing w:val="-2"/>
                <w:sz w:val="18"/>
              </w:rPr>
              <w:t>level</w:t>
            </w:r>
          </w:p>
        </w:tc>
        <w:tc>
          <w:tcPr>
            <w:tcW w:w="2432" w:type="dxa"/>
            <w:gridSpan w:val="2"/>
          </w:tcPr>
          <w:p>
            <w:pPr>
              <w:pStyle w:val="TableParagraph"/>
              <w:ind w:left="1305"/>
              <w:rPr>
                <w:sz w:val="18"/>
              </w:rPr>
            </w:pPr>
            <w:r>
              <w:rPr>
                <w:spacing w:val="-2"/>
                <w:sz w:val="18"/>
              </w:rPr>
              <w:t>-2.963972</w:t>
            </w:r>
          </w:p>
        </w:tc>
        <w:tc>
          <w:tcPr>
            <w:tcW w:w="884"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32" w:type="dxa"/>
            <w:gridSpan w:val="2"/>
            <w:tcBorders>
              <w:bottom w:val="double" w:sz="6" w:space="0" w:color="000000"/>
            </w:tcBorders>
          </w:tcPr>
          <w:p>
            <w:pPr>
              <w:pStyle w:val="TableParagraph"/>
              <w:spacing w:line="240" w:lineRule="auto"/>
              <w:ind w:left="1305"/>
              <w:rPr>
                <w:sz w:val="18"/>
              </w:rPr>
            </w:pPr>
            <w:r>
              <w:rPr>
                <w:spacing w:val="-2"/>
                <w:sz w:val="18"/>
              </w:rPr>
              <w:t>-2.621007</w:t>
            </w:r>
          </w:p>
        </w:tc>
        <w:tc>
          <w:tcPr>
            <w:tcW w:w="884"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3"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3"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3"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D(TOP,2)</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225" w:hRule="atLeast"/>
        </w:trPr>
        <w:tc>
          <w:tcPr>
            <w:tcW w:w="6533" w:type="dxa"/>
            <w:gridSpan w:val="5"/>
          </w:tcPr>
          <w:p>
            <w:pPr>
              <w:pStyle w:val="TableParagraph"/>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06:12</w:t>
            </w:r>
          </w:p>
        </w:tc>
      </w:tr>
      <w:tr>
        <w:trPr>
          <w:trHeight w:val="224" w:hRule="atLeast"/>
        </w:trPr>
        <w:tc>
          <w:tcPr>
            <w:tcW w:w="6533"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1991</w:t>
            </w:r>
            <w:r>
              <w:rPr>
                <w:spacing w:val="-4"/>
                <w:sz w:val="18"/>
              </w:rPr>
              <w:t> 2020</w:t>
            </w:r>
          </w:p>
        </w:tc>
      </w:tr>
      <w:tr>
        <w:trPr>
          <w:trHeight w:val="302" w:hRule="atLeast"/>
        </w:trPr>
        <w:tc>
          <w:tcPr>
            <w:tcW w:w="6533"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30</w:t>
            </w:r>
            <w:r>
              <w:rPr>
                <w:spacing w:val="-5"/>
                <w:sz w:val="18"/>
              </w:rPr>
              <w:t> </w:t>
            </w:r>
            <w:r>
              <w:rPr>
                <w:sz w:val="18"/>
              </w:rPr>
              <w:t>after</w:t>
            </w:r>
            <w:r>
              <w:rPr>
                <w:spacing w:val="-2"/>
                <w:sz w:val="18"/>
              </w:rPr>
              <w:t> 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40" w:type="dxa"/>
            <w:tcBorders>
              <w:top w:val="double" w:sz="6" w:space="0" w:color="000000"/>
              <w:bottom w:val="double" w:sz="6" w:space="0" w:color="000000"/>
            </w:tcBorders>
          </w:tcPr>
          <w:p>
            <w:pPr>
              <w:pStyle w:val="TableParagraph"/>
              <w:spacing w:line="240" w:lineRule="auto" w:before="108"/>
              <w:ind w:right="123"/>
              <w:jc w:val="right"/>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8"/>
              <w:ind w:left="342"/>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556"/>
              <w:rPr>
                <w:sz w:val="18"/>
              </w:rPr>
            </w:pPr>
            <w:r>
              <w:rPr>
                <w:spacing w:val="-2"/>
                <w:sz w:val="18"/>
              </w:rPr>
              <w:t>D(TOP(-</w:t>
            </w:r>
            <w:r>
              <w:rPr>
                <w:spacing w:val="-5"/>
                <w:sz w:val="18"/>
              </w:rPr>
              <w:t>1))</w:t>
            </w:r>
          </w:p>
        </w:tc>
        <w:tc>
          <w:tcPr>
            <w:tcW w:w="1307" w:type="dxa"/>
            <w:tcBorders>
              <w:top w:val="double" w:sz="6" w:space="0" w:color="000000"/>
            </w:tcBorders>
          </w:tcPr>
          <w:p>
            <w:pPr>
              <w:pStyle w:val="TableParagraph"/>
              <w:spacing w:before="108"/>
              <w:ind w:right="105"/>
              <w:jc w:val="right"/>
              <w:rPr>
                <w:sz w:val="18"/>
              </w:rPr>
            </w:pPr>
            <w:r>
              <w:rPr>
                <w:spacing w:val="-2"/>
                <w:sz w:val="18"/>
              </w:rPr>
              <w:t>-1.130311</w:t>
            </w:r>
          </w:p>
        </w:tc>
        <w:tc>
          <w:tcPr>
            <w:tcW w:w="1492" w:type="dxa"/>
            <w:tcBorders>
              <w:top w:val="double" w:sz="6" w:space="0" w:color="000000"/>
            </w:tcBorders>
          </w:tcPr>
          <w:p>
            <w:pPr>
              <w:pStyle w:val="TableParagraph"/>
              <w:spacing w:before="108"/>
              <w:ind w:left="349"/>
              <w:rPr>
                <w:sz w:val="18"/>
              </w:rPr>
            </w:pPr>
            <w:r>
              <w:rPr>
                <w:spacing w:val="-2"/>
                <w:sz w:val="18"/>
              </w:rPr>
              <w:t>0.337420</w:t>
            </w:r>
          </w:p>
        </w:tc>
        <w:tc>
          <w:tcPr>
            <w:tcW w:w="940" w:type="dxa"/>
            <w:tcBorders>
              <w:top w:val="double" w:sz="6" w:space="0" w:color="000000"/>
            </w:tcBorders>
          </w:tcPr>
          <w:p>
            <w:pPr>
              <w:pStyle w:val="TableParagraph"/>
              <w:spacing w:before="108"/>
              <w:ind w:right="123"/>
              <w:jc w:val="right"/>
              <w:rPr>
                <w:sz w:val="18"/>
              </w:rPr>
            </w:pPr>
            <w:r>
              <w:rPr>
                <w:spacing w:val="-2"/>
                <w:sz w:val="18"/>
              </w:rPr>
              <w:t>-3.349859</w:t>
            </w:r>
          </w:p>
        </w:tc>
        <w:tc>
          <w:tcPr>
            <w:tcW w:w="884" w:type="dxa"/>
            <w:tcBorders>
              <w:top w:val="double" w:sz="6" w:space="0" w:color="000000"/>
            </w:tcBorders>
          </w:tcPr>
          <w:p>
            <w:pPr>
              <w:pStyle w:val="TableParagraph"/>
              <w:spacing w:before="108"/>
              <w:ind w:right="8"/>
              <w:jc w:val="right"/>
              <w:rPr>
                <w:sz w:val="18"/>
              </w:rPr>
            </w:pPr>
            <w:r>
              <w:rPr>
                <w:spacing w:val="-2"/>
                <w:sz w:val="18"/>
              </w:rPr>
              <w:t>0.0026</w:t>
            </w:r>
          </w:p>
        </w:tc>
      </w:tr>
      <w:tr>
        <w:trPr>
          <w:trHeight w:val="225" w:hRule="atLeast"/>
        </w:trPr>
        <w:tc>
          <w:tcPr>
            <w:tcW w:w="1910" w:type="dxa"/>
          </w:tcPr>
          <w:p>
            <w:pPr>
              <w:pStyle w:val="TableParagraph"/>
              <w:ind w:left="482"/>
              <w:rPr>
                <w:sz w:val="18"/>
              </w:rPr>
            </w:pPr>
            <w:r>
              <w:rPr>
                <w:spacing w:val="-2"/>
                <w:sz w:val="18"/>
              </w:rPr>
              <w:t>D(TOP(-1),2)</w:t>
            </w:r>
          </w:p>
        </w:tc>
        <w:tc>
          <w:tcPr>
            <w:tcW w:w="1307" w:type="dxa"/>
          </w:tcPr>
          <w:p>
            <w:pPr>
              <w:pStyle w:val="TableParagraph"/>
              <w:ind w:right="105"/>
              <w:jc w:val="right"/>
              <w:rPr>
                <w:sz w:val="18"/>
              </w:rPr>
            </w:pPr>
            <w:r>
              <w:rPr>
                <w:spacing w:val="-2"/>
                <w:sz w:val="18"/>
              </w:rPr>
              <w:t>0.317971</w:t>
            </w:r>
          </w:p>
        </w:tc>
        <w:tc>
          <w:tcPr>
            <w:tcW w:w="1492" w:type="dxa"/>
          </w:tcPr>
          <w:p>
            <w:pPr>
              <w:pStyle w:val="TableParagraph"/>
              <w:ind w:left="349"/>
              <w:rPr>
                <w:sz w:val="18"/>
              </w:rPr>
            </w:pPr>
            <w:r>
              <w:rPr>
                <w:spacing w:val="-2"/>
                <w:sz w:val="18"/>
              </w:rPr>
              <w:t>0.307990</w:t>
            </w:r>
          </w:p>
        </w:tc>
        <w:tc>
          <w:tcPr>
            <w:tcW w:w="940" w:type="dxa"/>
          </w:tcPr>
          <w:p>
            <w:pPr>
              <w:pStyle w:val="TableParagraph"/>
              <w:ind w:right="123"/>
              <w:jc w:val="right"/>
              <w:rPr>
                <w:sz w:val="18"/>
              </w:rPr>
            </w:pPr>
            <w:r>
              <w:rPr>
                <w:spacing w:val="-2"/>
                <w:sz w:val="18"/>
              </w:rPr>
              <w:t>1.032405</w:t>
            </w:r>
          </w:p>
        </w:tc>
        <w:tc>
          <w:tcPr>
            <w:tcW w:w="884" w:type="dxa"/>
          </w:tcPr>
          <w:p>
            <w:pPr>
              <w:pStyle w:val="TableParagraph"/>
              <w:ind w:right="8"/>
              <w:jc w:val="right"/>
              <w:rPr>
                <w:sz w:val="18"/>
              </w:rPr>
            </w:pPr>
            <w:r>
              <w:rPr>
                <w:spacing w:val="-2"/>
                <w:sz w:val="18"/>
              </w:rPr>
              <w:t>0.3118</w:t>
            </w:r>
          </w:p>
        </w:tc>
      </w:tr>
      <w:tr>
        <w:trPr>
          <w:trHeight w:val="225" w:hRule="atLeast"/>
        </w:trPr>
        <w:tc>
          <w:tcPr>
            <w:tcW w:w="1910" w:type="dxa"/>
          </w:tcPr>
          <w:p>
            <w:pPr>
              <w:pStyle w:val="TableParagraph"/>
              <w:ind w:left="482"/>
              <w:rPr>
                <w:sz w:val="18"/>
              </w:rPr>
            </w:pPr>
            <w:r>
              <w:rPr>
                <w:spacing w:val="-2"/>
                <w:sz w:val="18"/>
              </w:rPr>
              <w:t>D(TOP(-2),2)</w:t>
            </w:r>
          </w:p>
        </w:tc>
        <w:tc>
          <w:tcPr>
            <w:tcW w:w="1307" w:type="dxa"/>
          </w:tcPr>
          <w:p>
            <w:pPr>
              <w:pStyle w:val="TableParagraph"/>
              <w:ind w:right="105"/>
              <w:jc w:val="right"/>
              <w:rPr>
                <w:sz w:val="18"/>
              </w:rPr>
            </w:pPr>
            <w:r>
              <w:rPr>
                <w:spacing w:val="-2"/>
                <w:sz w:val="18"/>
              </w:rPr>
              <w:t>0.107690</w:t>
            </w:r>
          </w:p>
        </w:tc>
        <w:tc>
          <w:tcPr>
            <w:tcW w:w="1492" w:type="dxa"/>
          </w:tcPr>
          <w:p>
            <w:pPr>
              <w:pStyle w:val="TableParagraph"/>
              <w:ind w:left="349"/>
              <w:rPr>
                <w:sz w:val="18"/>
              </w:rPr>
            </w:pPr>
            <w:r>
              <w:rPr>
                <w:spacing w:val="-2"/>
                <w:sz w:val="18"/>
              </w:rPr>
              <w:t>0.238023</w:t>
            </w:r>
          </w:p>
        </w:tc>
        <w:tc>
          <w:tcPr>
            <w:tcW w:w="940" w:type="dxa"/>
          </w:tcPr>
          <w:p>
            <w:pPr>
              <w:pStyle w:val="TableParagraph"/>
              <w:ind w:right="123"/>
              <w:jc w:val="right"/>
              <w:rPr>
                <w:sz w:val="18"/>
              </w:rPr>
            </w:pPr>
            <w:r>
              <w:rPr>
                <w:spacing w:val="-2"/>
                <w:sz w:val="18"/>
              </w:rPr>
              <w:t>0.452434</w:t>
            </w:r>
          </w:p>
        </w:tc>
        <w:tc>
          <w:tcPr>
            <w:tcW w:w="884" w:type="dxa"/>
          </w:tcPr>
          <w:p>
            <w:pPr>
              <w:pStyle w:val="TableParagraph"/>
              <w:ind w:right="8"/>
              <w:jc w:val="right"/>
              <w:rPr>
                <w:sz w:val="18"/>
              </w:rPr>
            </w:pPr>
            <w:r>
              <w:rPr>
                <w:spacing w:val="-2"/>
                <w:sz w:val="18"/>
              </w:rPr>
              <w:t>0.6549</w:t>
            </w:r>
          </w:p>
        </w:tc>
      </w:tr>
      <w:tr>
        <w:trPr>
          <w:trHeight w:val="224" w:hRule="atLeast"/>
        </w:trPr>
        <w:tc>
          <w:tcPr>
            <w:tcW w:w="1910" w:type="dxa"/>
          </w:tcPr>
          <w:p>
            <w:pPr>
              <w:pStyle w:val="TableParagraph"/>
              <w:spacing w:line="198" w:lineRule="exact"/>
              <w:ind w:left="482"/>
              <w:rPr>
                <w:sz w:val="18"/>
              </w:rPr>
            </w:pPr>
            <w:r>
              <w:rPr>
                <w:spacing w:val="-2"/>
                <w:sz w:val="18"/>
              </w:rPr>
              <w:t>D(TOP(-3),2)</w:t>
            </w:r>
          </w:p>
        </w:tc>
        <w:tc>
          <w:tcPr>
            <w:tcW w:w="1307" w:type="dxa"/>
          </w:tcPr>
          <w:p>
            <w:pPr>
              <w:pStyle w:val="TableParagraph"/>
              <w:spacing w:line="198" w:lineRule="exact"/>
              <w:ind w:right="105"/>
              <w:jc w:val="right"/>
              <w:rPr>
                <w:sz w:val="18"/>
              </w:rPr>
            </w:pPr>
            <w:r>
              <w:rPr>
                <w:spacing w:val="-2"/>
                <w:sz w:val="18"/>
              </w:rPr>
              <w:t>0.402098</w:t>
            </w:r>
          </w:p>
        </w:tc>
        <w:tc>
          <w:tcPr>
            <w:tcW w:w="1492" w:type="dxa"/>
          </w:tcPr>
          <w:p>
            <w:pPr>
              <w:pStyle w:val="TableParagraph"/>
              <w:spacing w:line="198" w:lineRule="exact"/>
              <w:ind w:left="349"/>
              <w:rPr>
                <w:sz w:val="18"/>
              </w:rPr>
            </w:pPr>
            <w:r>
              <w:rPr>
                <w:spacing w:val="-2"/>
                <w:sz w:val="18"/>
              </w:rPr>
              <w:t>0.169904</w:t>
            </w:r>
          </w:p>
        </w:tc>
        <w:tc>
          <w:tcPr>
            <w:tcW w:w="940" w:type="dxa"/>
          </w:tcPr>
          <w:p>
            <w:pPr>
              <w:pStyle w:val="TableParagraph"/>
              <w:spacing w:line="198" w:lineRule="exact"/>
              <w:ind w:right="123"/>
              <w:jc w:val="right"/>
              <w:rPr>
                <w:sz w:val="18"/>
              </w:rPr>
            </w:pPr>
            <w:r>
              <w:rPr>
                <w:spacing w:val="-2"/>
                <w:sz w:val="18"/>
              </w:rPr>
              <w:t>2.366621</w:t>
            </w:r>
          </w:p>
        </w:tc>
        <w:tc>
          <w:tcPr>
            <w:tcW w:w="884" w:type="dxa"/>
          </w:tcPr>
          <w:p>
            <w:pPr>
              <w:pStyle w:val="TableParagraph"/>
              <w:spacing w:line="198" w:lineRule="exact"/>
              <w:ind w:right="8"/>
              <w:jc w:val="right"/>
              <w:rPr>
                <w:sz w:val="18"/>
              </w:rPr>
            </w:pPr>
            <w:r>
              <w:rPr>
                <w:spacing w:val="-2"/>
                <w:sz w:val="18"/>
              </w:rPr>
              <w:t>0.0260</w:t>
            </w:r>
          </w:p>
        </w:tc>
      </w:tr>
      <w:tr>
        <w:trPr>
          <w:trHeight w:val="302" w:hRule="atLeast"/>
        </w:trPr>
        <w:tc>
          <w:tcPr>
            <w:tcW w:w="1910" w:type="dxa"/>
            <w:tcBorders>
              <w:bottom w:val="double" w:sz="6" w:space="0" w:color="000000"/>
            </w:tcBorders>
          </w:tcPr>
          <w:p>
            <w:pPr>
              <w:pStyle w:val="TableParagraph"/>
              <w:spacing w:line="240" w:lineRule="auto" w:before="5"/>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before="5"/>
              <w:ind w:right="105"/>
              <w:jc w:val="right"/>
              <w:rPr>
                <w:sz w:val="18"/>
              </w:rPr>
            </w:pPr>
            <w:r>
              <w:rPr>
                <w:spacing w:val="-2"/>
                <w:sz w:val="18"/>
              </w:rPr>
              <w:t>0.568863</w:t>
            </w:r>
          </w:p>
        </w:tc>
        <w:tc>
          <w:tcPr>
            <w:tcW w:w="1492" w:type="dxa"/>
            <w:tcBorders>
              <w:bottom w:val="double" w:sz="6" w:space="0" w:color="000000"/>
            </w:tcBorders>
          </w:tcPr>
          <w:p>
            <w:pPr>
              <w:pStyle w:val="TableParagraph"/>
              <w:spacing w:line="240" w:lineRule="auto" w:before="5"/>
              <w:ind w:left="349"/>
              <w:rPr>
                <w:sz w:val="18"/>
              </w:rPr>
            </w:pPr>
            <w:r>
              <w:rPr>
                <w:spacing w:val="-2"/>
                <w:sz w:val="18"/>
              </w:rPr>
              <w:t>1.312525</w:t>
            </w:r>
          </w:p>
        </w:tc>
        <w:tc>
          <w:tcPr>
            <w:tcW w:w="940" w:type="dxa"/>
            <w:tcBorders>
              <w:bottom w:val="double" w:sz="6" w:space="0" w:color="000000"/>
            </w:tcBorders>
          </w:tcPr>
          <w:p>
            <w:pPr>
              <w:pStyle w:val="TableParagraph"/>
              <w:spacing w:line="240" w:lineRule="auto" w:before="5"/>
              <w:ind w:right="123"/>
              <w:jc w:val="right"/>
              <w:rPr>
                <w:sz w:val="18"/>
              </w:rPr>
            </w:pPr>
            <w:r>
              <w:rPr>
                <w:spacing w:val="-2"/>
                <w:sz w:val="18"/>
              </w:rPr>
              <w:t>0.433411</w:t>
            </w:r>
          </w:p>
        </w:tc>
        <w:tc>
          <w:tcPr>
            <w:tcW w:w="884" w:type="dxa"/>
            <w:tcBorders>
              <w:bottom w:val="double" w:sz="6" w:space="0" w:color="000000"/>
            </w:tcBorders>
          </w:tcPr>
          <w:p>
            <w:pPr>
              <w:pStyle w:val="TableParagraph"/>
              <w:spacing w:line="240" w:lineRule="auto" w:before="5"/>
              <w:ind w:right="8"/>
              <w:jc w:val="right"/>
              <w:rPr>
                <w:sz w:val="18"/>
              </w:rPr>
            </w:pPr>
            <w:r>
              <w:rPr>
                <w:spacing w:val="-2"/>
                <w:sz w:val="18"/>
              </w:rPr>
              <w:t>0.6684</w:t>
            </w:r>
          </w:p>
        </w:tc>
      </w:tr>
      <w:tr>
        <w:trPr>
          <w:trHeight w:val="328" w:hRule="atLeast"/>
        </w:trPr>
        <w:tc>
          <w:tcPr>
            <w:tcW w:w="1910" w:type="dxa"/>
            <w:tcBorders>
              <w:top w:val="double" w:sz="6" w:space="0" w:color="000000"/>
            </w:tcBorders>
          </w:tcPr>
          <w:p>
            <w:pPr>
              <w:pStyle w:val="TableParagraph"/>
              <w:spacing w:before="109"/>
              <w:rPr>
                <w:sz w:val="18"/>
              </w:rPr>
            </w:pPr>
            <w:r>
              <w:rPr>
                <w:spacing w:val="-2"/>
                <w:sz w:val="18"/>
              </w:rPr>
              <w:t>R-squared</w:t>
            </w:r>
          </w:p>
        </w:tc>
        <w:tc>
          <w:tcPr>
            <w:tcW w:w="1307" w:type="dxa"/>
            <w:tcBorders>
              <w:top w:val="double" w:sz="6" w:space="0" w:color="000000"/>
            </w:tcBorders>
          </w:tcPr>
          <w:p>
            <w:pPr>
              <w:pStyle w:val="TableParagraph"/>
              <w:spacing w:before="109"/>
              <w:ind w:right="105"/>
              <w:jc w:val="right"/>
              <w:rPr>
                <w:sz w:val="18"/>
              </w:rPr>
            </w:pPr>
            <w:r>
              <w:rPr>
                <w:spacing w:val="-2"/>
                <w:sz w:val="18"/>
              </w:rPr>
              <w:t>0.634640</w:t>
            </w:r>
          </w:p>
        </w:tc>
        <w:tc>
          <w:tcPr>
            <w:tcW w:w="2432" w:type="dxa"/>
            <w:gridSpan w:val="2"/>
            <w:tcBorders>
              <w:top w:val="double" w:sz="6" w:space="0" w:color="000000"/>
            </w:tcBorders>
          </w:tcPr>
          <w:p>
            <w:pPr>
              <w:pStyle w:val="TableParagraph"/>
              <w:spacing w:before="109"/>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before="109"/>
              <w:ind w:right="8"/>
              <w:jc w:val="right"/>
              <w:rPr>
                <w:sz w:val="18"/>
              </w:rPr>
            </w:pPr>
            <w:r>
              <w:rPr>
                <w:spacing w:val="-2"/>
                <w:sz w:val="18"/>
              </w:rPr>
              <w:t>0.027000</w:t>
            </w:r>
          </w:p>
        </w:tc>
      </w:tr>
      <w:tr>
        <w:trPr>
          <w:trHeight w:val="224" w:hRule="atLeast"/>
        </w:trPr>
        <w:tc>
          <w:tcPr>
            <w:tcW w:w="1910" w:type="dxa"/>
          </w:tcPr>
          <w:p>
            <w:pPr>
              <w:pStyle w:val="TableParagraph"/>
              <w:spacing w:line="198" w:lineRule="exact"/>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spacing w:line="198" w:lineRule="exact"/>
              <w:ind w:right="105"/>
              <w:jc w:val="right"/>
              <w:rPr>
                <w:sz w:val="18"/>
              </w:rPr>
            </w:pPr>
            <w:r>
              <w:rPr>
                <w:spacing w:val="-2"/>
                <w:sz w:val="18"/>
              </w:rPr>
              <w:t>0.576182</w:t>
            </w:r>
          </w:p>
        </w:tc>
        <w:tc>
          <w:tcPr>
            <w:tcW w:w="2432" w:type="dxa"/>
            <w:gridSpan w:val="2"/>
          </w:tcPr>
          <w:p>
            <w:pPr>
              <w:pStyle w:val="TableParagraph"/>
              <w:spacing w:line="198" w:lineRule="exact"/>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spacing w:line="198" w:lineRule="exact"/>
              <w:ind w:right="8"/>
              <w:jc w:val="right"/>
              <w:rPr>
                <w:sz w:val="18"/>
              </w:rPr>
            </w:pPr>
            <w:r>
              <w:rPr>
                <w:spacing w:val="-2"/>
                <w:sz w:val="18"/>
              </w:rPr>
              <w:t>10.85845</w:t>
            </w:r>
          </w:p>
        </w:tc>
      </w:tr>
      <w:tr>
        <w:trPr>
          <w:trHeight w:val="224" w:hRule="atLeast"/>
        </w:trPr>
        <w:tc>
          <w:tcPr>
            <w:tcW w:w="1910" w:type="dxa"/>
          </w:tcPr>
          <w:p>
            <w:pPr>
              <w:pStyle w:val="TableParagraph"/>
              <w:spacing w:before="5"/>
              <w:rPr>
                <w:sz w:val="18"/>
              </w:rPr>
            </w:pPr>
            <w:r>
              <w:rPr>
                <w:sz w:val="18"/>
              </w:rPr>
              <w:t>S.E.</w:t>
            </w:r>
            <w:r>
              <w:rPr>
                <w:spacing w:val="-2"/>
                <w:sz w:val="18"/>
              </w:rPr>
              <w:t> </w:t>
            </w:r>
            <w:r>
              <w:rPr>
                <w:sz w:val="18"/>
              </w:rPr>
              <w:t>of </w:t>
            </w:r>
            <w:r>
              <w:rPr>
                <w:spacing w:val="-2"/>
                <w:sz w:val="18"/>
              </w:rPr>
              <w:t>regression</w:t>
            </w:r>
          </w:p>
        </w:tc>
        <w:tc>
          <w:tcPr>
            <w:tcW w:w="1307" w:type="dxa"/>
          </w:tcPr>
          <w:p>
            <w:pPr>
              <w:pStyle w:val="TableParagraph"/>
              <w:spacing w:before="5"/>
              <w:ind w:right="105"/>
              <w:jc w:val="right"/>
              <w:rPr>
                <w:sz w:val="18"/>
              </w:rPr>
            </w:pPr>
            <w:r>
              <w:rPr>
                <w:spacing w:val="-2"/>
                <w:sz w:val="18"/>
              </w:rPr>
              <w:t>7.068992</w:t>
            </w:r>
          </w:p>
        </w:tc>
        <w:tc>
          <w:tcPr>
            <w:tcW w:w="2432" w:type="dxa"/>
            <w:gridSpan w:val="2"/>
          </w:tcPr>
          <w:p>
            <w:pPr>
              <w:pStyle w:val="TableParagraph"/>
              <w:spacing w:before="5"/>
              <w:ind w:left="105"/>
              <w:rPr>
                <w:sz w:val="18"/>
              </w:rPr>
            </w:pPr>
            <w:r>
              <w:rPr>
                <w:sz w:val="18"/>
              </w:rPr>
              <w:t>Akaike</w:t>
            </w:r>
            <w:r>
              <w:rPr>
                <w:spacing w:val="-3"/>
                <w:sz w:val="18"/>
              </w:rPr>
              <w:t> </w:t>
            </w:r>
            <w:r>
              <w:rPr>
                <w:sz w:val="18"/>
              </w:rPr>
              <w:t>info</w:t>
            </w:r>
            <w:r>
              <w:rPr>
                <w:spacing w:val="-2"/>
                <w:sz w:val="18"/>
              </w:rPr>
              <w:t> criterion</w:t>
            </w:r>
          </w:p>
        </w:tc>
        <w:tc>
          <w:tcPr>
            <w:tcW w:w="884" w:type="dxa"/>
          </w:tcPr>
          <w:p>
            <w:pPr>
              <w:pStyle w:val="TableParagraph"/>
              <w:spacing w:before="5"/>
              <w:ind w:right="8"/>
              <w:jc w:val="right"/>
              <w:rPr>
                <w:sz w:val="18"/>
              </w:rPr>
            </w:pPr>
            <w:r>
              <w:rPr>
                <w:spacing w:val="-2"/>
                <w:sz w:val="18"/>
              </w:rPr>
              <w:t>6.900325</w:t>
            </w:r>
          </w:p>
        </w:tc>
      </w:tr>
      <w:tr>
        <w:trPr>
          <w:trHeight w:val="225" w:hRule="atLeast"/>
        </w:trPr>
        <w:tc>
          <w:tcPr>
            <w:tcW w:w="1910"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307" w:type="dxa"/>
          </w:tcPr>
          <w:p>
            <w:pPr>
              <w:pStyle w:val="TableParagraph"/>
              <w:ind w:right="105"/>
              <w:jc w:val="right"/>
              <w:rPr>
                <w:sz w:val="18"/>
              </w:rPr>
            </w:pPr>
            <w:r>
              <w:rPr>
                <w:spacing w:val="-2"/>
                <w:sz w:val="18"/>
              </w:rPr>
              <w:t>1249.266</w:t>
            </w:r>
          </w:p>
        </w:tc>
        <w:tc>
          <w:tcPr>
            <w:tcW w:w="1492" w:type="dxa"/>
          </w:tcPr>
          <w:p>
            <w:pPr>
              <w:pStyle w:val="TableParagraph"/>
              <w:ind w:left="105"/>
              <w:rPr>
                <w:sz w:val="18"/>
              </w:rPr>
            </w:pPr>
            <w:r>
              <w:rPr>
                <w:sz w:val="18"/>
              </w:rPr>
              <w:t>Schwarz</w:t>
            </w:r>
            <w:r>
              <w:rPr>
                <w:spacing w:val="-4"/>
                <w:sz w:val="18"/>
              </w:rPr>
              <w:t> </w:t>
            </w:r>
            <w:r>
              <w:rPr>
                <w:spacing w:val="-2"/>
                <w:sz w:val="18"/>
              </w:rPr>
              <w:t>criterion</w:t>
            </w:r>
          </w:p>
        </w:tc>
        <w:tc>
          <w:tcPr>
            <w:tcW w:w="940" w:type="dxa"/>
          </w:tcPr>
          <w:p>
            <w:pPr>
              <w:pStyle w:val="TableParagraph"/>
              <w:spacing w:line="240" w:lineRule="auto" w:before="0"/>
              <w:rPr>
                <w:rFonts w:ascii="Times New Roman"/>
                <w:sz w:val="16"/>
              </w:rPr>
            </w:pPr>
          </w:p>
        </w:tc>
        <w:tc>
          <w:tcPr>
            <w:tcW w:w="884" w:type="dxa"/>
          </w:tcPr>
          <w:p>
            <w:pPr>
              <w:pStyle w:val="TableParagraph"/>
              <w:ind w:right="8"/>
              <w:jc w:val="right"/>
              <w:rPr>
                <w:sz w:val="18"/>
              </w:rPr>
            </w:pPr>
            <w:r>
              <w:rPr>
                <w:spacing w:val="-2"/>
                <w:sz w:val="18"/>
              </w:rPr>
              <w:t>7.133857</w:t>
            </w:r>
          </w:p>
        </w:tc>
      </w:tr>
      <w:tr>
        <w:trPr>
          <w:trHeight w:val="225" w:hRule="atLeast"/>
        </w:trPr>
        <w:tc>
          <w:tcPr>
            <w:tcW w:w="1910" w:type="dxa"/>
          </w:tcPr>
          <w:p>
            <w:pPr>
              <w:pStyle w:val="TableParagraph"/>
              <w:rPr>
                <w:sz w:val="18"/>
              </w:rPr>
            </w:pPr>
            <w:r>
              <w:rPr>
                <w:sz w:val="18"/>
              </w:rPr>
              <w:t>Log</w:t>
            </w:r>
            <w:r>
              <w:rPr>
                <w:spacing w:val="-3"/>
                <w:sz w:val="18"/>
              </w:rPr>
              <w:t> </w:t>
            </w:r>
            <w:r>
              <w:rPr>
                <w:spacing w:val="-2"/>
                <w:sz w:val="18"/>
              </w:rPr>
              <w:t>likelihood</w:t>
            </w:r>
          </w:p>
        </w:tc>
        <w:tc>
          <w:tcPr>
            <w:tcW w:w="1307" w:type="dxa"/>
          </w:tcPr>
          <w:p>
            <w:pPr>
              <w:pStyle w:val="TableParagraph"/>
              <w:ind w:right="105"/>
              <w:jc w:val="right"/>
              <w:rPr>
                <w:sz w:val="18"/>
              </w:rPr>
            </w:pPr>
            <w:r>
              <w:rPr>
                <w:spacing w:val="-2"/>
                <w:sz w:val="18"/>
              </w:rPr>
              <w:t>-98.50487</w:t>
            </w:r>
          </w:p>
        </w:tc>
        <w:tc>
          <w:tcPr>
            <w:tcW w:w="2432" w:type="dxa"/>
            <w:gridSpan w:val="2"/>
          </w:tcPr>
          <w:p>
            <w:pPr>
              <w:pStyle w:val="TableParagraph"/>
              <w:ind w:left="105"/>
              <w:rPr>
                <w:sz w:val="18"/>
              </w:rPr>
            </w:pPr>
            <w:r>
              <w:rPr>
                <w:spacing w:val="-2"/>
                <w:sz w:val="18"/>
              </w:rPr>
              <w:t>Hannan-Quinn</w:t>
            </w:r>
            <w:r>
              <w:rPr>
                <w:spacing w:val="11"/>
                <w:sz w:val="18"/>
              </w:rPr>
              <w:t> </w:t>
            </w:r>
            <w:r>
              <w:rPr>
                <w:spacing w:val="-2"/>
                <w:sz w:val="18"/>
              </w:rPr>
              <w:t>criter.</w:t>
            </w:r>
          </w:p>
        </w:tc>
        <w:tc>
          <w:tcPr>
            <w:tcW w:w="884" w:type="dxa"/>
          </w:tcPr>
          <w:p>
            <w:pPr>
              <w:pStyle w:val="TableParagraph"/>
              <w:ind w:right="8"/>
              <w:jc w:val="right"/>
              <w:rPr>
                <w:sz w:val="18"/>
              </w:rPr>
            </w:pPr>
            <w:r>
              <w:rPr>
                <w:spacing w:val="-2"/>
                <w:sz w:val="18"/>
              </w:rPr>
              <w:t>6.975034</w:t>
            </w:r>
          </w:p>
        </w:tc>
      </w:tr>
      <w:tr>
        <w:trPr>
          <w:trHeight w:val="224" w:hRule="atLeast"/>
        </w:trPr>
        <w:tc>
          <w:tcPr>
            <w:tcW w:w="1910" w:type="dxa"/>
          </w:tcPr>
          <w:p>
            <w:pPr>
              <w:pStyle w:val="TableParagraph"/>
              <w:spacing w:line="198" w:lineRule="exact"/>
              <w:rPr>
                <w:sz w:val="18"/>
              </w:rPr>
            </w:pPr>
            <w:r>
              <w:rPr>
                <w:spacing w:val="-2"/>
                <w:sz w:val="18"/>
              </w:rPr>
              <w:t>F-statistic</w:t>
            </w:r>
          </w:p>
        </w:tc>
        <w:tc>
          <w:tcPr>
            <w:tcW w:w="1307" w:type="dxa"/>
          </w:tcPr>
          <w:p>
            <w:pPr>
              <w:pStyle w:val="TableParagraph"/>
              <w:spacing w:line="198" w:lineRule="exact"/>
              <w:ind w:right="105"/>
              <w:jc w:val="right"/>
              <w:rPr>
                <w:sz w:val="18"/>
              </w:rPr>
            </w:pPr>
            <w:r>
              <w:rPr>
                <w:spacing w:val="-2"/>
                <w:sz w:val="18"/>
              </w:rPr>
              <w:t>10.85639</w:t>
            </w:r>
          </w:p>
        </w:tc>
        <w:tc>
          <w:tcPr>
            <w:tcW w:w="2432" w:type="dxa"/>
            <w:gridSpan w:val="2"/>
          </w:tcPr>
          <w:p>
            <w:pPr>
              <w:pStyle w:val="TableParagraph"/>
              <w:spacing w:line="198" w:lineRule="exact"/>
              <w:ind w:left="105"/>
              <w:rPr>
                <w:sz w:val="18"/>
              </w:rPr>
            </w:pPr>
            <w:r>
              <w:rPr>
                <w:spacing w:val="-2"/>
                <w:sz w:val="18"/>
              </w:rPr>
              <w:t>Durbin-Watson</w:t>
            </w:r>
            <w:r>
              <w:rPr>
                <w:spacing w:val="13"/>
                <w:sz w:val="18"/>
              </w:rPr>
              <w:t> </w:t>
            </w:r>
            <w:r>
              <w:rPr>
                <w:spacing w:val="-4"/>
                <w:sz w:val="18"/>
              </w:rPr>
              <w:t>stat</w:t>
            </w:r>
          </w:p>
        </w:tc>
        <w:tc>
          <w:tcPr>
            <w:tcW w:w="884" w:type="dxa"/>
          </w:tcPr>
          <w:p>
            <w:pPr>
              <w:pStyle w:val="TableParagraph"/>
              <w:spacing w:line="198" w:lineRule="exact"/>
              <w:ind w:right="8"/>
              <w:jc w:val="right"/>
              <w:rPr>
                <w:sz w:val="18"/>
              </w:rPr>
            </w:pPr>
            <w:r>
              <w:rPr>
                <w:spacing w:val="-2"/>
                <w:sz w:val="18"/>
              </w:rPr>
              <w:t>1.831758</w:t>
            </w:r>
          </w:p>
        </w:tc>
      </w:tr>
      <w:tr>
        <w:trPr>
          <w:trHeight w:val="302" w:hRule="atLeast"/>
        </w:trPr>
        <w:tc>
          <w:tcPr>
            <w:tcW w:w="1910" w:type="dxa"/>
            <w:tcBorders>
              <w:bottom w:val="double" w:sz="6" w:space="0" w:color="000000"/>
            </w:tcBorders>
          </w:tcPr>
          <w:p>
            <w:pPr>
              <w:pStyle w:val="TableParagraph"/>
              <w:spacing w:line="240" w:lineRule="auto" w:before="5"/>
              <w:rPr>
                <w:sz w:val="18"/>
              </w:rPr>
            </w:pPr>
            <w:r>
              <w:rPr>
                <w:spacing w:val="-2"/>
                <w:sz w:val="18"/>
              </w:rPr>
              <w:t>Prob(F-statistic)</w:t>
            </w:r>
          </w:p>
        </w:tc>
        <w:tc>
          <w:tcPr>
            <w:tcW w:w="1307" w:type="dxa"/>
            <w:tcBorders>
              <w:bottom w:val="double" w:sz="6" w:space="0" w:color="000000"/>
            </w:tcBorders>
          </w:tcPr>
          <w:p>
            <w:pPr>
              <w:pStyle w:val="TableParagraph"/>
              <w:spacing w:line="240" w:lineRule="auto" w:before="5"/>
              <w:ind w:right="105"/>
              <w:jc w:val="right"/>
              <w:rPr>
                <w:sz w:val="18"/>
              </w:rPr>
            </w:pPr>
            <w:r>
              <w:rPr>
                <w:spacing w:val="-2"/>
                <w:sz w:val="18"/>
              </w:rPr>
              <w:t>0.000031</w:t>
            </w:r>
          </w:p>
        </w:tc>
        <w:tc>
          <w:tcPr>
            <w:tcW w:w="2432" w:type="dxa"/>
            <w:gridSpan w:val="2"/>
            <w:tcBorders>
              <w:bottom w:val="double" w:sz="6" w:space="0" w:color="000000"/>
            </w:tcBorders>
          </w:tcPr>
          <w:p>
            <w:pPr>
              <w:pStyle w:val="TableParagraph"/>
              <w:spacing w:line="240" w:lineRule="auto" w:before="0"/>
              <w:rPr>
                <w:rFonts w:ascii="Times New Roman"/>
                <w:sz w:val="18"/>
              </w:rPr>
            </w:pPr>
          </w:p>
        </w:tc>
        <w:tc>
          <w:tcPr>
            <w:tcW w:w="884"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28640">
                <wp:simplePos x="0" y="0"/>
                <wp:positionH relativeFrom="page">
                  <wp:posOffset>950112</wp:posOffset>
                </wp:positionH>
                <wp:positionV relativeFrom="page">
                  <wp:posOffset>5495962</wp:posOffset>
                </wp:positionV>
                <wp:extent cx="2223770" cy="2362200"/>
                <wp:effectExtent l="0" t="0" r="0" b="0"/>
                <wp:wrapNone/>
                <wp:docPr id="255" name="Graphic 255"/>
                <wp:cNvGraphicFramePr>
                  <a:graphicFrameLocks/>
                </wp:cNvGraphicFramePr>
                <a:graphic>
                  <a:graphicData uri="http://schemas.microsoft.com/office/word/2010/wordprocessingShape">
                    <wps:wsp>
                      <wps:cNvPr id="255" name="Graphic 255"/>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87840" id="docshape255"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29152">
                <wp:simplePos x="0" y="0"/>
                <wp:positionH relativeFrom="page">
                  <wp:posOffset>2872486</wp:posOffset>
                </wp:positionH>
                <wp:positionV relativeFrom="page">
                  <wp:posOffset>2197353</wp:posOffset>
                </wp:positionV>
                <wp:extent cx="3583304" cy="3612515"/>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87328" id="docshape256"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492"/>
        <w:gridCol w:w="941"/>
        <w:gridCol w:w="885"/>
      </w:tblGrid>
      <w:tr>
        <w:trPr>
          <w:trHeight w:val="213" w:hRule="atLeast"/>
        </w:trPr>
        <w:tc>
          <w:tcPr>
            <w:tcW w:w="6535" w:type="dxa"/>
            <w:gridSpan w:val="5"/>
          </w:tcPr>
          <w:p>
            <w:pPr>
              <w:pStyle w:val="TableParagraph"/>
              <w:spacing w:line="193" w:lineRule="exact" w:before="0"/>
              <w:rPr>
                <w:sz w:val="18"/>
              </w:rPr>
            </w:pPr>
            <w:r>
              <w:rPr>
                <w:sz w:val="18"/>
              </w:rPr>
              <w:t>Null</w:t>
            </w:r>
            <w:r>
              <w:rPr>
                <w:spacing w:val="-5"/>
                <w:sz w:val="18"/>
              </w:rPr>
              <w:t> </w:t>
            </w:r>
            <w:r>
              <w:rPr>
                <w:sz w:val="18"/>
              </w:rPr>
              <w:t>Hypothesis:</w:t>
            </w:r>
            <w:r>
              <w:rPr>
                <w:spacing w:val="-5"/>
                <w:sz w:val="18"/>
              </w:rPr>
              <w:t> </w:t>
            </w:r>
            <w:r>
              <w:rPr>
                <w:sz w:val="18"/>
              </w:rPr>
              <w:t>REM</w:t>
            </w:r>
            <w:r>
              <w:rPr>
                <w:spacing w:val="-4"/>
                <w:sz w:val="18"/>
              </w:rPr>
              <w:t> </w:t>
            </w:r>
            <w:r>
              <w:rPr>
                <w:sz w:val="18"/>
              </w:rPr>
              <w:t>has</w:t>
            </w:r>
            <w:r>
              <w:rPr>
                <w:spacing w:val="-5"/>
                <w:sz w:val="18"/>
              </w:rPr>
              <w:t> </w:t>
            </w:r>
            <w:r>
              <w:rPr>
                <w:sz w:val="18"/>
              </w:rPr>
              <w:t>a</w:t>
            </w:r>
            <w:r>
              <w:rPr>
                <w:spacing w:val="-7"/>
                <w:sz w:val="18"/>
              </w:rPr>
              <w:t> </w:t>
            </w:r>
            <w:r>
              <w:rPr>
                <w:sz w:val="18"/>
              </w:rPr>
              <w:t>unit</w:t>
            </w:r>
            <w:r>
              <w:rPr>
                <w:spacing w:val="-5"/>
                <w:sz w:val="18"/>
              </w:rPr>
              <w:t> </w:t>
            </w:r>
            <w:r>
              <w:rPr>
                <w:spacing w:val="-4"/>
                <w:sz w:val="18"/>
              </w:rPr>
              <w:t>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Lag</w:t>
            </w:r>
            <w:r>
              <w:rPr>
                <w:spacing w:val="-2"/>
                <w:sz w:val="18"/>
              </w:rPr>
              <w:t> </w:t>
            </w:r>
            <w:r>
              <w:rPr>
                <w:sz w:val="18"/>
              </w:rPr>
              <w:t>Length:</w:t>
            </w:r>
            <w:r>
              <w:rPr>
                <w:spacing w:val="-2"/>
                <w:sz w:val="18"/>
              </w:rPr>
              <w:t> </w:t>
            </w:r>
            <w:r>
              <w:rPr>
                <w:sz w:val="18"/>
              </w:rPr>
              <w:t>0</w:t>
            </w:r>
            <w:r>
              <w:rPr>
                <w:spacing w:val="-2"/>
                <w:sz w:val="18"/>
              </w:rPr>
              <w:t> </w:t>
            </w:r>
            <w:r>
              <w:rPr>
                <w:sz w:val="18"/>
              </w:rPr>
              <w:t>(Automatic -</w:t>
            </w:r>
            <w:r>
              <w:rPr>
                <w:spacing w:val="-4"/>
                <w:sz w:val="18"/>
              </w:rPr>
              <w:t> </w:t>
            </w:r>
            <w:r>
              <w:rPr>
                <w:sz w:val="18"/>
              </w:rPr>
              <w:t>based</w:t>
            </w:r>
            <w:r>
              <w:rPr>
                <w:spacing w:val="-4"/>
                <w:sz w:val="18"/>
              </w:rPr>
              <w:t> </w:t>
            </w:r>
            <w:r>
              <w:rPr>
                <w:sz w:val="18"/>
              </w:rPr>
              <w:t>on</w:t>
            </w:r>
            <w:r>
              <w:rPr>
                <w:spacing w:val="-2"/>
                <w:sz w:val="18"/>
              </w:rPr>
              <w:t> </w:t>
            </w:r>
            <w:r>
              <w:rPr>
                <w:sz w:val="18"/>
              </w:rPr>
              <w:t>SIC,</w:t>
            </w:r>
            <w:r>
              <w:rPr>
                <w:spacing w:val="-4"/>
                <w:sz w:val="18"/>
              </w:rPr>
              <w:t> </w:t>
            </w:r>
            <w:r>
              <w:rPr>
                <w:spacing w:val="-2"/>
                <w:sz w:val="18"/>
              </w:rPr>
              <w:t>maxlag=8)</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3"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182"/>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33" w:type="dxa"/>
            <w:gridSpan w:val="2"/>
            <w:tcBorders>
              <w:top w:val="double" w:sz="6" w:space="0" w:color="000000"/>
              <w:bottom w:val="single" w:sz="6" w:space="0" w:color="000000"/>
            </w:tcBorders>
          </w:tcPr>
          <w:p>
            <w:pPr>
              <w:pStyle w:val="TableParagraph"/>
              <w:spacing w:line="187" w:lineRule="exact" w:before="108"/>
              <w:ind w:left="1305"/>
              <w:rPr>
                <w:sz w:val="18"/>
              </w:rPr>
            </w:pPr>
            <w:r>
              <w:rPr>
                <w:spacing w:val="-2"/>
                <w:sz w:val="18"/>
              </w:rPr>
              <w:t>-2.748581</w:t>
            </w:r>
          </w:p>
        </w:tc>
        <w:tc>
          <w:tcPr>
            <w:tcW w:w="885" w:type="dxa"/>
            <w:tcBorders>
              <w:top w:val="double" w:sz="6" w:space="0" w:color="000000"/>
              <w:bottom w:val="single" w:sz="6" w:space="0" w:color="000000"/>
            </w:tcBorders>
          </w:tcPr>
          <w:p>
            <w:pPr>
              <w:pStyle w:val="TableParagraph"/>
              <w:spacing w:line="187" w:lineRule="exact" w:before="108"/>
              <w:ind w:left="132"/>
              <w:rPr>
                <w:sz w:val="18"/>
              </w:rPr>
            </w:pPr>
            <w:r>
              <w:rPr>
                <w:spacing w:val="-2"/>
                <w:sz w:val="18"/>
              </w:rPr>
              <w:t>0.0765</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7"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33" w:type="dxa"/>
            <w:gridSpan w:val="2"/>
            <w:tcBorders>
              <w:top w:val="single" w:sz="6" w:space="0" w:color="000000"/>
            </w:tcBorders>
          </w:tcPr>
          <w:p>
            <w:pPr>
              <w:pStyle w:val="TableParagraph"/>
              <w:spacing w:before="18"/>
              <w:ind w:left="1305"/>
              <w:rPr>
                <w:sz w:val="18"/>
              </w:rPr>
            </w:pPr>
            <w:r>
              <w:rPr>
                <w:spacing w:val="-2"/>
                <w:sz w:val="18"/>
              </w:rPr>
              <w:t>-3.639407</w:t>
            </w:r>
          </w:p>
        </w:tc>
        <w:tc>
          <w:tcPr>
            <w:tcW w:w="885"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7" w:type="dxa"/>
          </w:tcPr>
          <w:p>
            <w:pPr>
              <w:pStyle w:val="TableParagraph"/>
              <w:ind w:left="317"/>
              <w:rPr>
                <w:sz w:val="18"/>
              </w:rPr>
            </w:pPr>
            <w:r>
              <w:rPr>
                <w:sz w:val="18"/>
              </w:rPr>
              <w:t>5%</w:t>
            </w:r>
            <w:r>
              <w:rPr>
                <w:spacing w:val="-3"/>
                <w:sz w:val="18"/>
              </w:rPr>
              <w:t> </w:t>
            </w:r>
            <w:r>
              <w:rPr>
                <w:spacing w:val="-2"/>
                <w:sz w:val="18"/>
              </w:rPr>
              <w:t>level</w:t>
            </w:r>
          </w:p>
        </w:tc>
        <w:tc>
          <w:tcPr>
            <w:tcW w:w="2433" w:type="dxa"/>
            <w:gridSpan w:val="2"/>
          </w:tcPr>
          <w:p>
            <w:pPr>
              <w:pStyle w:val="TableParagraph"/>
              <w:ind w:left="1305"/>
              <w:rPr>
                <w:sz w:val="18"/>
              </w:rPr>
            </w:pPr>
            <w:r>
              <w:rPr>
                <w:spacing w:val="-2"/>
                <w:sz w:val="18"/>
              </w:rPr>
              <w:t>-2.951125</w:t>
            </w:r>
          </w:p>
        </w:tc>
        <w:tc>
          <w:tcPr>
            <w:tcW w:w="885"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33" w:type="dxa"/>
            <w:gridSpan w:val="2"/>
            <w:tcBorders>
              <w:bottom w:val="double" w:sz="6" w:space="0" w:color="000000"/>
            </w:tcBorders>
          </w:tcPr>
          <w:p>
            <w:pPr>
              <w:pStyle w:val="TableParagraph"/>
              <w:spacing w:line="240" w:lineRule="auto"/>
              <w:ind w:left="1305"/>
              <w:rPr>
                <w:sz w:val="18"/>
              </w:rPr>
            </w:pPr>
            <w:r>
              <w:rPr>
                <w:spacing w:val="-2"/>
                <w:sz w:val="18"/>
              </w:rPr>
              <w:t>-2.614300</w:t>
            </w:r>
          </w:p>
        </w:tc>
        <w:tc>
          <w:tcPr>
            <w:tcW w:w="885"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5"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5"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5"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D(REM)</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225" w:hRule="atLeast"/>
        </w:trPr>
        <w:tc>
          <w:tcPr>
            <w:tcW w:w="6535" w:type="dxa"/>
            <w:gridSpan w:val="5"/>
          </w:tcPr>
          <w:p>
            <w:pPr>
              <w:pStyle w:val="TableParagraph"/>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06:12</w:t>
            </w:r>
          </w:p>
        </w:tc>
      </w:tr>
      <w:tr>
        <w:trPr>
          <w:trHeight w:val="224" w:hRule="atLeast"/>
        </w:trPr>
        <w:tc>
          <w:tcPr>
            <w:tcW w:w="6535"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1987</w:t>
            </w:r>
            <w:r>
              <w:rPr>
                <w:spacing w:val="-4"/>
                <w:sz w:val="18"/>
              </w:rPr>
              <w:t> 2020</w:t>
            </w: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34</w:t>
            </w:r>
            <w:r>
              <w:rPr>
                <w:spacing w:val="-5"/>
                <w:sz w:val="18"/>
              </w:rPr>
              <w:t> </w:t>
            </w:r>
            <w:r>
              <w:rPr>
                <w:sz w:val="18"/>
              </w:rPr>
              <w:t>after</w:t>
            </w:r>
            <w:r>
              <w:rPr>
                <w:spacing w:val="1"/>
                <w:sz w:val="18"/>
              </w:rPr>
              <w:t> </w:t>
            </w:r>
            <w:r>
              <w:rPr>
                <w:spacing w:val="-2"/>
                <w:sz w:val="18"/>
              </w:rPr>
              <w:t>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41" w:type="dxa"/>
            <w:tcBorders>
              <w:top w:val="double" w:sz="6" w:space="0" w:color="000000"/>
              <w:bottom w:val="double" w:sz="6" w:space="0" w:color="000000"/>
            </w:tcBorders>
          </w:tcPr>
          <w:p>
            <w:pPr>
              <w:pStyle w:val="TableParagraph"/>
              <w:spacing w:line="240" w:lineRule="auto" w:before="108"/>
              <w:ind w:right="124"/>
              <w:jc w:val="right"/>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341"/>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667"/>
              <w:rPr>
                <w:sz w:val="18"/>
              </w:rPr>
            </w:pPr>
            <w:r>
              <w:rPr>
                <w:spacing w:val="-2"/>
                <w:sz w:val="18"/>
              </w:rPr>
              <w:t>REM(-</w:t>
            </w:r>
            <w:r>
              <w:rPr>
                <w:spacing w:val="-5"/>
                <w:sz w:val="18"/>
              </w:rPr>
              <w:t>1)</w:t>
            </w:r>
          </w:p>
        </w:tc>
        <w:tc>
          <w:tcPr>
            <w:tcW w:w="1307" w:type="dxa"/>
            <w:tcBorders>
              <w:top w:val="double" w:sz="6" w:space="0" w:color="000000"/>
            </w:tcBorders>
          </w:tcPr>
          <w:p>
            <w:pPr>
              <w:pStyle w:val="TableParagraph"/>
              <w:spacing w:before="108"/>
              <w:ind w:right="105"/>
              <w:jc w:val="right"/>
              <w:rPr>
                <w:sz w:val="18"/>
              </w:rPr>
            </w:pPr>
            <w:r>
              <w:rPr>
                <w:spacing w:val="-2"/>
                <w:sz w:val="18"/>
              </w:rPr>
              <w:t>-0.380143</w:t>
            </w:r>
          </w:p>
        </w:tc>
        <w:tc>
          <w:tcPr>
            <w:tcW w:w="1492" w:type="dxa"/>
            <w:tcBorders>
              <w:top w:val="double" w:sz="6" w:space="0" w:color="000000"/>
            </w:tcBorders>
          </w:tcPr>
          <w:p>
            <w:pPr>
              <w:pStyle w:val="TableParagraph"/>
              <w:spacing w:before="108"/>
              <w:ind w:left="349"/>
              <w:rPr>
                <w:sz w:val="18"/>
              </w:rPr>
            </w:pPr>
            <w:r>
              <w:rPr>
                <w:spacing w:val="-2"/>
                <w:sz w:val="18"/>
              </w:rPr>
              <w:t>0.138305</w:t>
            </w:r>
          </w:p>
        </w:tc>
        <w:tc>
          <w:tcPr>
            <w:tcW w:w="941" w:type="dxa"/>
            <w:tcBorders>
              <w:top w:val="double" w:sz="6" w:space="0" w:color="000000"/>
            </w:tcBorders>
          </w:tcPr>
          <w:p>
            <w:pPr>
              <w:pStyle w:val="TableParagraph"/>
              <w:spacing w:before="108"/>
              <w:ind w:right="124"/>
              <w:jc w:val="right"/>
              <w:rPr>
                <w:sz w:val="18"/>
              </w:rPr>
            </w:pPr>
            <w:r>
              <w:rPr>
                <w:spacing w:val="-2"/>
                <w:sz w:val="18"/>
              </w:rPr>
              <w:t>-2.748581</w:t>
            </w:r>
          </w:p>
        </w:tc>
        <w:tc>
          <w:tcPr>
            <w:tcW w:w="885" w:type="dxa"/>
            <w:tcBorders>
              <w:top w:val="double" w:sz="6" w:space="0" w:color="000000"/>
            </w:tcBorders>
          </w:tcPr>
          <w:p>
            <w:pPr>
              <w:pStyle w:val="TableParagraph"/>
              <w:spacing w:before="108"/>
              <w:ind w:right="10"/>
              <w:jc w:val="right"/>
              <w:rPr>
                <w:sz w:val="18"/>
              </w:rPr>
            </w:pPr>
            <w:r>
              <w:rPr>
                <w:spacing w:val="-2"/>
                <w:sz w:val="18"/>
              </w:rPr>
              <w:t>0.0098</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101.0467</w:t>
            </w:r>
          </w:p>
        </w:tc>
        <w:tc>
          <w:tcPr>
            <w:tcW w:w="1492" w:type="dxa"/>
            <w:tcBorders>
              <w:bottom w:val="double" w:sz="6" w:space="0" w:color="000000"/>
            </w:tcBorders>
          </w:tcPr>
          <w:p>
            <w:pPr>
              <w:pStyle w:val="TableParagraph"/>
              <w:spacing w:line="240" w:lineRule="auto"/>
              <w:ind w:left="349"/>
              <w:rPr>
                <w:sz w:val="18"/>
              </w:rPr>
            </w:pPr>
            <w:r>
              <w:rPr>
                <w:spacing w:val="-2"/>
                <w:sz w:val="18"/>
              </w:rPr>
              <w:t>48.27729</w:t>
            </w:r>
          </w:p>
        </w:tc>
        <w:tc>
          <w:tcPr>
            <w:tcW w:w="941" w:type="dxa"/>
            <w:tcBorders>
              <w:bottom w:val="double" w:sz="6" w:space="0" w:color="000000"/>
            </w:tcBorders>
          </w:tcPr>
          <w:p>
            <w:pPr>
              <w:pStyle w:val="TableParagraph"/>
              <w:spacing w:line="240" w:lineRule="auto"/>
              <w:ind w:right="124"/>
              <w:jc w:val="right"/>
              <w:rPr>
                <w:sz w:val="18"/>
              </w:rPr>
            </w:pPr>
            <w:r>
              <w:rPr>
                <w:spacing w:val="-2"/>
                <w:sz w:val="18"/>
              </w:rPr>
              <w:t>2.093049</w:t>
            </w:r>
          </w:p>
        </w:tc>
        <w:tc>
          <w:tcPr>
            <w:tcW w:w="885" w:type="dxa"/>
            <w:tcBorders>
              <w:bottom w:val="double" w:sz="6" w:space="0" w:color="000000"/>
            </w:tcBorders>
          </w:tcPr>
          <w:p>
            <w:pPr>
              <w:pStyle w:val="TableParagraph"/>
              <w:spacing w:line="240" w:lineRule="auto"/>
              <w:ind w:right="10"/>
              <w:jc w:val="right"/>
              <w:rPr>
                <w:sz w:val="18"/>
              </w:rPr>
            </w:pPr>
            <w:r>
              <w:rPr>
                <w:spacing w:val="-2"/>
                <w:sz w:val="18"/>
              </w:rPr>
              <w:t>0.0444</w:t>
            </w:r>
          </w:p>
        </w:tc>
      </w:tr>
      <w:tr>
        <w:trPr>
          <w:trHeight w:val="326" w:hRule="atLeast"/>
        </w:trPr>
        <w:tc>
          <w:tcPr>
            <w:tcW w:w="1910" w:type="dxa"/>
            <w:tcBorders>
              <w:top w:val="double" w:sz="6" w:space="0" w:color="000000"/>
            </w:tcBorders>
          </w:tcPr>
          <w:p>
            <w:pPr>
              <w:pStyle w:val="TableParagraph"/>
              <w:spacing w:line="198" w:lineRule="exact" w:before="108"/>
              <w:rPr>
                <w:sz w:val="18"/>
              </w:rPr>
            </w:pPr>
            <w:r>
              <w:rPr>
                <w:spacing w:val="-2"/>
                <w:sz w:val="18"/>
              </w:rPr>
              <w:t>R-squared</w:t>
            </w:r>
          </w:p>
        </w:tc>
        <w:tc>
          <w:tcPr>
            <w:tcW w:w="1307" w:type="dxa"/>
            <w:tcBorders>
              <w:top w:val="double" w:sz="6" w:space="0" w:color="000000"/>
            </w:tcBorders>
          </w:tcPr>
          <w:p>
            <w:pPr>
              <w:pStyle w:val="TableParagraph"/>
              <w:spacing w:line="198" w:lineRule="exact" w:before="108"/>
              <w:ind w:right="105"/>
              <w:jc w:val="right"/>
              <w:rPr>
                <w:sz w:val="18"/>
              </w:rPr>
            </w:pPr>
            <w:r>
              <w:rPr>
                <w:spacing w:val="-2"/>
                <w:sz w:val="18"/>
              </w:rPr>
              <w:t>0.190994</w:t>
            </w:r>
          </w:p>
        </w:tc>
        <w:tc>
          <w:tcPr>
            <w:tcW w:w="2433" w:type="dxa"/>
            <w:gridSpan w:val="2"/>
            <w:tcBorders>
              <w:top w:val="double" w:sz="6" w:space="0" w:color="000000"/>
            </w:tcBorders>
          </w:tcPr>
          <w:p>
            <w:pPr>
              <w:pStyle w:val="TableParagraph"/>
              <w:spacing w:line="198" w:lineRule="exact" w:before="108"/>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885" w:type="dxa"/>
            <w:tcBorders>
              <w:top w:val="double" w:sz="6" w:space="0" w:color="000000"/>
            </w:tcBorders>
          </w:tcPr>
          <w:p>
            <w:pPr>
              <w:pStyle w:val="TableParagraph"/>
              <w:spacing w:line="198" w:lineRule="exact" w:before="108"/>
              <w:ind w:right="10"/>
              <w:jc w:val="right"/>
              <w:rPr>
                <w:sz w:val="18"/>
              </w:rPr>
            </w:pPr>
            <w:r>
              <w:rPr>
                <w:spacing w:val="-2"/>
                <w:sz w:val="18"/>
              </w:rPr>
              <w:t>12.68706</w:t>
            </w:r>
          </w:p>
        </w:tc>
      </w:tr>
      <w:tr>
        <w:trPr>
          <w:trHeight w:val="224" w:hRule="atLeast"/>
        </w:trPr>
        <w:tc>
          <w:tcPr>
            <w:tcW w:w="1910"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spacing w:before="5"/>
              <w:ind w:right="105"/>
              <w:jc w:val="right"/>
              <w:rPr>
                <w:sz w:val="18"/>
              </w:rPr>
            </w:pPr>
            <w:r>
              <w:rPr>
                <w:spacing w:val="-2"/>
                <w:sz w:val="18"/>
              </w:rPr>
              <w:t>0.165712</w:t>
            </w:r>
          </w:p>
        </w:tc>
        <w:tc>
          <w:tcPr>
            <w:tcW w:w="2433" w:type="dxa"/>
            <w:gridSpan w:val="2"/>
          </w:tcPr>
          <w:p>
            <w:pPr>
              <w:pStyle w:val="TableParagraph"/>
              <w:spacing w:before="5"/>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885" w:type="dxa"/>
          </w:tcPr>
          <w:p>
            <w:pPr>
              <w:pStyle w:val="TableParagraph"/>
              <w:spacing w:before="5"/>
              <w:ind w:right="10"/>
              <w:jc w:val="right"/>
              <w:rPr>
                <w:sz w:val="18"/>
              </w:rPr>
            </w:pPr>
            <w:r>
              <w:rPr>
                <w:spacing w:val="-2"/>
                <w:sz w:val="18"/>
              </w:rPr>
              <w:t>229.9282</w:t>
            </w:r>
          </w:p>
        </w:tc>
      </w:tr>
      <w:tr>
        <w:trPr>
          <w:trHeight w:val="225" w:hRule="atLeast"/>
        </w:trPr>
        <w:tc>
          <w:tcPr>
            <w:tcW w:w="1910" w:type="dxa"/>
          </w:tcPr>
          <w:p>
            <w:pPr>
              <w:pStyle w:val="TableParagraph"/>
              <w:rPr>
                <w:sz w:val="18"/>
              </w:rPr>
            </w:pPr>
            <w:r>
              <w:rPr>
                <w:sz w:val="18"/>
              </w:rPr>
              <w:t>S.E.</w:t>
            </w:r>
            <w:r>
              <w:rPr>
                <w:spacing w:val="-2"/>
                <w:sz w:val="18"/>
              </w:rPr>
              <w:t> </w:t>
            </w:r>
            <w:r>
              <w:rPr>
                <w:sz w:val="18"/>
              </w:rPr>
              <w:t>of </w:t>
            </w:r>
            <w:r>
              <w:rPr>
                <w:spacing w:val="-2"/>
                <w:sz w:val="18"/>
              </w:rPr>
              <w:t>regression</w:t>
            </w:r>
          </w:p>
        </w:tc>
        <w:tc>
          <w:tcPr>
            <w:tcW w:w="1307" w:type="dxa"/>
          </w:tcPr>
          <w:p>
            <w:pPr>
              <w:pStyle w:val="TableParagraph"/>
              <w:ind w:right="105"/>
              <w:jc w:val="right"/>
              <w:rPr>
                <w:sz w:val="18"/>
              </w:rPr>
            </w:pPr>
            <w:r>
              <w:rPr>
                <w:spacing w:val="-2"/>
                <w:sz w:val="18"/>
              </w:rPr>
              <w:t>210.0149</w:t>
            </w:r>
          </w:p>
        </w:tc>
        <w:tc>
          <w:tcPr>
            <w:tcW w:w="2433" w:type="dxa"/>
            <w:gridSpan w:val="2"/>
          </w:tcPr>
          <w:p>
            <w:pPr>
              <w:pStyle w:val="TableParagraph"/>
              <w:ind w:left="105"/>
              <w:rPr>
                <w:sz w:val="18"/>
              </w:rPr>
            </w:pPr>
            <w:r>
              <w:rPr>
                <w:sz w:val="18"/>
              </w:rPr>
              <w:t>Akaike</w:t>
            </w:r>
            <w:r>
              <w:rPr>
                <w:spacing w:val="-3"/>
                <w:sz w:val="18"/>
              </w:rPr>
              <w:t> </w:t>
            </w:r>
            <w:r>
              <w:rPr>
                <w:sz w:val="18"/>
              </w:rPr>
              <w:t>info</w:t>
            </w:r>
            <w:r>
              <w:rPr>
                <w:spacing w:val="-2"/>
                <w:sz w:val="18"/>
              </w:rPr>
              <w:t> criterion</w:t>
            </w:r>
          </w:p>
        </w:tc>
        <w:tc>
          <w:tcPr>
            <w:tcW w:w="885" w:type="dxa"/>
          </w:tcPr>
          <w:p>
            <w:pPr>
              <w:pStyle w:val="TableParagraph"/>
              <w:ind w:right="10"/>
              <w:jc w:val="right"/>
              <w:rPr>
                <w:sz w:val="18"/>
              </w:rPr>
            </w:pPr>
            <w:r>
              <w:rPr>
                <w:spacing w:val="-2"/>
                <w:sz w:val="18"/>
              </w:rPr>
              <w:t>13.58926</w:t>
            </w:r>
          </w:p>
        </w:tc>
      </w:tr>
      <w:tr>
        <w:trPr>
          <w:trHeight w:val="225" w:hRule="atLeast"/>
        </w:trPr>
        <w:tc>
          <w:tcPr>
            <w:tcW w:w="1910"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307" w:type="dxa"/>
          </w:tcPr>
          <w:p>
            <w:pPr>
              <w:pStyle w:val="TableParagraph"/>
              <w:ind w:right="105"/>
              <w:jc w:val="right"/>
              <w:rPr>
                <w:sz w:val="18"/>
              </w:rPr>
            </w:pPr>
            <w:r>
              <w:rPr>
                <w:spacing w:val="-2"/>
                <w:sz w:val="18"/>
              </w:rPr>
              <w:t>1411400.</w:t>
            </w:r>
          </w:p>
        </w:tc>
        <w:tc>
          <w:tcPr>
            <w:tcW w:w="1492" w:type="dxa"/>
          </w:tcPr>
          <w:p>
            <w:pPr>
              <w:pStyle w:val="TableParagraph"/>
              <w:ind w:left="105"/>
              <w:rPr>
                <w:sz w:val="18"/>
              </w:rPr>
            </w:pPr>
            <w:r>
              <w:rPr>
                <w:sz w:val="18"/>
              </w:rPr>
              <w:t>Schwarz</w:t>
            </w:r>
            <w:r>
              <w:rPr>
                <w:spacing w:val="-4"/>
                <w:sz w:val="18"/>
              </w:rPr>
              <w:t> </w:t>
            </w:r>
            <w:r>
              <w:rPr>
                <w:spacing w:val="-2"/>
                <w:sz w:val="18"/>
              </w:rPr>
              <w:t>criterion</w:t>
            </w:r>
          </w:p>
        </w:tc>
        <w:tc>
          <w:tcPr>
            <w:tcW w:w="941" w:type="dxa"/>
          </w:tcPr>
          <w:p>
            <w:pPr>
              <w:pStyle w:val="TableParagraph"/>
              <w:spacing w:line="240" w:lineRule="auto" w:before="0"/>
              <w:rPr>
                <w:rFonts w:ascii="Times New Roman"/>
                <w:sz w:val="16"/>
              </w:rPr>
            </w:pPr>
          </w:p>
        </w:tc>
        <w:tc>
          <w:tcPr>
            <w:tcW w:w="885" w:type="dxa"/>
          </w:tcPr>
          <w:p>
            <w:pPr>
              <w:pStyle w:val="TableParagraph"/>
              <w:ind w:right="10"/>
              <w:jc w:val="right"/>
              <w:rPr>
                <w:sz w:val="18"/>
              </w:rPr>
            </w:pPr>
            <w:r>
              <w:rPr>
                <w:spacing w:val="-2"/>
                <w:sz w:val="18"/>
              </w:rPr>
              <w:t>13.67904</w:t>
            </w:r>
          </w:p>
        </w:tc>
      </w:tr>
      <w:tr>
        <w:trPr>
          <w:trHeight w:val="224" w:hRule="atLeast"/>
        </w:trPr>
        <w:tc>
          <w:tcPr>
            <w:tcW w:w="1910" w:type="dxa"/>
          </w:tcPr>
          <w:p>
            <w:pPr>
              <w:pStyle w:val="TableParagraph"/>
              <w:spacing w:line="198" w:lineRule="exact"/>
              <w:rPr>
                <w:sz w:val="18"/>
              </w:rPr>
            </w:pPr>
            <w:r>
              <w:rPr>
                <w:sz w:val="18"/>
              </w:rPr>
              <w:t>Log</w:t>
            </w:r>
            <w:r>
              <w:rPr>
                <w:spacing w:val="-3"/>
                <w:sz w:val="18"/>
              </w:rPr>
              <w:t> </w:t>
            </w:r>
            <w:r>
              <w:rPr>
                <w:spacing w:val="-2"/>
                <w:sz w:val="18"/>
              </w:rPr>
              <w:t>likelihood</w:t>
            </w:r>
          </w:p>
        </w:tc>
        <w:tc>
          <w:tcPr>
            <w:tcW w:w="1307" w:type="dxa"/>
          </w:tcPr>
          <w:p>
            <w:pPr>
              <w:pStyle w:val="TableParagraph"/>
              <w:spacing w:line="198" w:lineRule="exact"/>
              <w:ind w:right="105"/>
              <w:jc w:val="right"/>
              <w:rPr>
                <w:sz w:val="18"/>
              </w:rPr>
            </w:pPr>
            <w:r>
              <w:rPr>
                <w:spacing w:val="-2"/>
                <w:sz w:val="18"/>
              </w:rPr>
              <w:t>-229.0174</w:t>
            </w:r>
          </w:p>
        </w:tc>
        <w:tc>
          <w:tcPr>
            <w:tcW w:w="2433" w:type="dxa"/>
            <w:gridSpan w:val="2"/>
          </w:tcPr>
          <w:p>
            <w:pPr>
              <w:pStyle w:val="TableParagraph"/>
              <w:spacing w:line="198" w:lineRule="exact"/>
              <w:ind w:left="105"/>
              <w:rPr>
                <w:sz w:val="18"/>
              </w:rPr>
            </w:pPr>
            <w:r>
              <w:rPr>
                <w:spacing w:val="-2"/>
                <w:sz w:val="18"/>
              </w:rPr>
              <w:t>Hannan-Quinn</w:t>
            </w:r>
            <w:r>
              <w:rPr>
                <w:spacing w:val="11"/>
                <w:sz w:val="18"/>
              </w:rPr>
              <w:t> </w:t>
            </w:r>
            <w:r>
              <w:rPr>
                <w:spacing w:val="-2"/>
                <w:sz w:val="18"/>
              </w:rPr>
              <w:t>criter.</w:t>
            </w:r>
          </w:p>
        </w:tc>
        <w:tc>
          <w:tcPr>
            <w:tcW w:w="885" w:type="dxa"/>
          </w:tcPr>
          <w:p>
            <w:pPr>
              <w:pStyle w:val="TableParagraph"/>
              <w:spacing w:line="198" w:lineRule="exact"/>
              <w:ind w:right="10"/>
              <w:jc w:val="right"/>
              <w:rPr>
                <w:sz w:val="18"/>
              </w:rPr>
            </w:pPr>
            <w:r>
              <w:rPr>
                <w:spacing w:val="-2"/>
                <w:sz w:val="18"/>
              </w:rPr>
              <w:t>13.61988</w:t>
            </w:r>
          </w:p>
        </w:tc>
      </w:tr>
      <w:tr>
        <w:trPr>
          <w:trHeight w:val="224" w:hRule="atLeast"/>
        </w:trPr>
        <w:tc>
          <w:tcPr>
            <w:tcW w:w="1910" w:type="dxa"/>
          </w:tcPr>
          <w:p>
            <w:pPr>
              <w:pStyle w:val="TableParagraph"/>
              <w:spacing w:before="5"/>
              <w:rPr>
                <w:sz w:val="18"/>
              </w:rPr>
            </w:pPr>
            <w:r>
              <w:rPr>
                <w:spacing w:val="-2"/>
                <w:sz w:val="18"/>
              </w:rPr>
              <w:t>F-statistic</w:t>
            </w:r>
          </w:p>
        </w:tc>
        <w:tc>
          <w:tcPr>
            <w:tcW w:w="1307" w:type="dxa"/>
          </w:tcPr>
          <w:p>
            <w:pPr>
              <w:pStyle w:val="TableParagraph"/>
              <w:spacing w:before="5"/>
              <w:ind w:right="105"/>
              <w:jc w:val="right"/>
              <w:rPr>
                <w:sz w:val="18"/>
              </w:rPr>
            </w:pPr>
            <w:r>
              <w:rPr>
                <w:spacing w:val="-2"/>
                <w:sz w:val="18"/>
              </w:rPr>
              <w:t>7.554698</w:t>
            </w:r>
          </w:p>
        </w:tc>
        <w:tc>
          <w:tcPr>
            <w:tcW w:w="2433" w:type="dxa"/>
            <w:gridSpan w:val="2"/>
          </w:tcPr>
          <w:p>
            <w:pPr>
              <w:pStyle w:val="TableParagraph"/>
              <w:spacing w:before="5"/>
              <w:ind w:left="105"/>
              <w:rPr>
                <w:sz w:val="18"/>
              </w:rPr>
            </w:pPr>
            <w:r>
              <w:rPr>
                <w:spacing w:val="-2"/>
                <w:sz w:val="18"/>
              </w:rPr>
              <w:t>Durbin-Watson</w:t>
            </w:r>
            <w:r>
              <w:rPr>
                <w:spacing w:val="13"/>
                <w:sz w:val="18"/>
              </w:rPr>
              <w:t> </w:t>
            </w:r>
            <w:r>
              <w:rPr>
                <w:spacing w:val="-4"/>
                <w:sz w:val="18"/>
              </w:rPr>
              <w:t>stat</w:t>
            </w:r>
          </w:p>
        </w:tc>
        <w:tc>
          <w:tcPr>
            <w:tcW w:w="885" w:type="dxa"/>
          </w:tcPr>
          <w:p>
            <w:pPr>
              <w:pStyle w:val="TableParagraph"/>
              <w:spacing w:before="5"/>
              <w:ind w:right="10"/>
              <w:jc w:val="right"/>
              <w:rPr>
                <w:sz w:val="18"/>
              </w:rPr>
            </w:pPr>
            <w:r>
              <w:rPr>
                <w:spacing w:val="-2"/>
                <w:sz w:val="18"/>
              </w:rPr>
              <w:t>2.223099</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0.009755</w:t>
            </w:r>
          </w:p>
        </w:tc>
        <w:tc>
          <w:tcPr>
            <w:tcW w:w="2433" w:type="dxa"/>
            <w:gridSpan w:val="2"/>
            <w:tcBorders>
              <w:bottom w:val="double" w:sz="6" w:space="0" w:color="000000"/>
            </w:tcBorders>
          </w:tcPr>
          <w:p>
            <w:pPr>
              <w:pStyle w:val="TableParagraph"/>
              <w:spacing w:line="240" w:lineRule="auto" w:before="0"/>
              <w:rPr>
                <w:rFonts w:ascii="Times New Roman"/>
                <w:sz w:val="18"/>
              </w:rPr>
            </w:pPr>
          </w:p>
        </w:tc>
        <w:tc>
          <w:tcPr>
            <w:tcW w:w="885"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29664">
                <wp:simplePos x="0" y="0"/>
                <wp:positionH relativeFrom="page">
                  <wp:posOffset>950112</wp:posOffset>
                </wp:positionH>
                <wp:positionV relativeFrom="page">
                  <wp:posOffset>5495962</wp:posOffset>
                </wp:positionV>
                <wp:extent cx="2223770" cy="2362200"/>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86816" id="docshape257"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30176">
                <wp:simplePos x="0" y="0"/>
                <wp:positionH relativeFrom="page">
                  <wp:posOffset>2872486</wp:posOffset>
                </wp:positionH>
                <wp:positionV relativeFrom="page">
                  <wp:posOffset>2197353</wp:posOffset>
                </wp:positionV>
                <wp:extent cx="3583304" cy="3612515"/>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86304" id="docshape258"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492"/>
        <w:gridCol w:w="941"/>
        <w:gridCol w:w="885"/>
      </w:tblGrid>
      <w:tr>
        <w:trPr>
          <w:trHeight w:val="213" w:hRule="atLeast"/>
        </w:trPr>
        <w:tc>
          <w:tcPr>
            <w:tcW w:w="6535" w:type="dxa"/>
            <w:gridSpan w:val="5"/>
          </w:tcPr>
          <w:p>
            <w:pPr>
              <w:pStyle w:val="TableParagraph"/>
              <w:spacing w:line="193" w:lineRule="exact" w:before="0"/>
              <w:rPr>
                <w:sz w:val="18"/>
              </w:rPr>
            </w:pPr>
            <w:r>
              <w:rPr>
                <w:sz w:val="18"/>
              </w:rPr>
              <w:t>Null</w:t>
            </w:r>
            <w:r>
              <w:rPr>
                <w:spacing w:val="-4"/>
                <w:sz w:val="18"/>
              </w:rPr>
              <w:t> </w:t>
            </w:r>
            <w:r>
              <w:rPr>
                <w:sz w:val="18"/>
              </w:rPr>
              <w:t>Hypothesis:</w:t>
            </w:r>
            <w:r>
              <w:rPr>
                <w:spacing w:val="-3"/>
                <w:sz w:val="18"/>
              </w:rPr>
              <w:t> </w:t>
            </w:r>
            <w:r>
              <w:rPr>
                <w:sz w:val="18"/>
              </w:rPr>
              <w:t>D(REM)</w:t>
            </w:r>
            <w:r>
              <w:rPr>
                <w:spacing w:val="-5"/>
                <w:sz w:val="18"/>
              </w:rPr>
              <w:t> </w:t>
            </w:r>
            <w:r>
              <w:rPr>
                <w:sz w:val="18"/>
              </w:rPr>
              <w:t>has</w:t>
            </w:r>
            <w:r>
              <w:rPr>
                <w:spacing w:val="-4"/>
                <w:sz w:val="18"/>
              </w:rPr>
              <w:t> </w:t>
            </w:r>
            <w:r>
              <w:rPr>
                <w:sz w:val="18"/>
              </w:rPr>
              <w:t>a</w:t>
            </w:r>
            <w:r>
              <w:rPr>
                <w:spacing w:val="-4"/>
                <w:sz w:val="18"/>
              </w:rPr>
              <w:t> </w:t>
            </w:r>
            <w:r>
              <w:rPr>
                <w:sz w:val="18"/>
              </w:rPr>
              <w:t>unit</w:t>
            </w:r>
            <w:r>
              <w:rPr>
                <w:spacing w:val="-3"/>
                <w:sz w:val="18"/>
              </w:rPr>
              <w:t> </w:t>
            </w:r>
            <w:r>
              <w:rPr>
                <w:spacing w:val="-4"/>
                <w:sz w:val="18"/>
              </w:rPr>
              <w:t>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Lag</w:t>
            </w:r>
            <w:r>
              <w:rPr>
                <w:spacing w:val="-4"/>
                <w:sz w:val="18"/>
              </w:rPr>
              <w:t> </w:t>
            </w:r>
            <w:r>
              <w:rPr>
                <w:sz w:val="18"/>
              </w:rPr>
              <w:t>Length:</w:t>
            </w:r>
            <w:r>
              <w:rPr>
                <w:spacing w:val="-2"/>
                <w:sz w:val="18"/>
              </w:rPr>
              <w:t> </w:t>
            </w:r>
            <w:r>
              <w:rPr>
                <w:sz w:val="18"/>
              </w:rPr>
              <w:t>0</w:t>
            </w:r>
            <w:r>
              <w:rPr>
                <w:spacing w:val="-2"/>
                <w:sz w:val="18"/>
              </w:rPr>
              <w:t> </w:t>
            </w:r>
            <w:r>
              <w:rPr>
                <w:sz w:val="18"/>
              </w:rPr>
              <w:t>(Automatic</w:t>
            </w:r>
            <w:r>
              <w:rPr>
                <w:spacing w:val="1"/>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3"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182"/>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33" w:type="dxa"/>
            <w:gridSpan w:val="2"/>
            <w:tcBorders>
              <w:top w:val="double" w:sz="6" w:space="0" w:color="000000"/>
              <w:bottom w:val="single" w:sz="6" w:space="0" w:color="000000"/>
            </w:tcBorders>
          </w:tcPr>
          <w:p>
            <w:pPr>
              <w:pStyle w:val="TableParagraph"/>
              <w:spacing w:line="187" w:lineRule="exact" w:before="108"/>
              <w:ind w:left="1305"/>
              <w:rPr>
                <w:sz w:val="18"/>
              </w:rPr>
            </w:pPr>
            <w:r>
              <w:rPr>
                <w:spacing w:val="-2"/>
                <w:sz w:val="18"/>
              </w:rPr>
              <w:t>-7.879545</w:t>
            </w:r>
          </w:p>
        </w:tc>
        <w:tc>
          <w:tcPr>
            <w:tcW w:w="885" w:type="dxa"/>
            <w:tcBorders>
              <w:top w:val="double" w:sz="6" w:space="0" w:color="000000"/>
              <w:bottom w:val="single" w:sz="6" w:space="0" w:color="000000"/>
            </w:tcBorders>
          </w:tcPr>
          <w:p>
            <w:pPr>
              <w:pStyle w:val="TableParagraph"/>
              <w:spacing w:line="187" w:lineRule="exact" w:before="108"/>
              <w:ind w:left="132"/>
              <w:rPr>
                <w:sz w:val="18"/>
              </w:rPr>
            </w:pPr>
            <w:r>
              <w:rPr>
                <w:spacing w:val="-2"/>
                <w:sz w:val="18"/>
              </w:rPr>
              <w:t>0.0000</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7"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33" w:type="dxa"/>
            <w:gridSpan w:val="2"/>
            <w:tcBorders>
              <w:top w:val="single" w:sz="6" w:space="0" w:color="000000"/>
            </w:tcBorders>
          </w:tcPr>
          <w:p>
            <w:pPr>
              <w:pStyle w:val="TableParagraph"/>
              <w:spacing w:before="18"/>
              <w:ind w:left="1305"/>
              <w:rPr>
                <w:sz w:val="18"/>
              </w:rPr>
            </w:pPr>
            <w:r>
              <w:rPr>
                <w:spacing w:val="-2"/>
                <w:sz w:val="18"/>
              </w:rPr>
              <w:t>-3.646342</w:t>
            </w:r>
          </w:p>
        </w:tc>
        <w:tc>
          <w:tcPr>
            <w:tcW w:w="885"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7" w:type="dxa"/>
          </w:tcPr>
          <w:p>
            <w:pPr>
              <w:pStyle w:val="TableParagraph"/>
              <w:ind w:left="317"/>
              <w:rPr>
                <w:sz w:val="18"/>
              </w:rPr>
            </w:pPr>
            <w:r>
              <w:rPr>
                <w:sz w:val="18"/>
              </w:rPr>
              <w:t>5%</w:t>
            </w:r>
            <w:r>
              <w:rPr>
                <w:spacing w:val="-3"/>
                <w:sz w:val="18"/>
              </w:rPr>
              <w:t> </w:t>
            </w:r>
            <w:r>
              <w:rPr>
                <w:spacing w:val="-2"/>
                <w:sz w:val="18"/>
              </w:rPr>
              <w:t>level</w:t>
            </w:r>
          </w:p>
        </w:tc>
        <w:tc>
          <w:tcPr>
            <w:tcW w:w="2433" w:type="dxa"/>
            <w:gridSpan w:val="2"/>
          </w:tcPr>
          <w:p>
            <w:pPr>
              <w:pStyle w:val="TableParagraph"/>
              <w:ind w:left="1305"/>
              <w:rPr>
                <w:sz w:val="18"/>
              </w:rPr>
            </w:pPr>
            <w:r>
              <w:rPr>
                <w:spacing w:val="-2"/>
                <w:sz w:val="18"/>
              </w:rPr>
              <w:t>-2.954021</w:t>
            </w:r>
          </w:p>
        </w:tc>
        <w:tc>
          <w:tcPr>
            <w:tcW w:w="885"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33" w:type="dxa"/>
            <w:gridSpan w:val="2"/>
            <w:tcBorders>
              <w:bottom w:val="double" w:sz="6" w:space="0" w:color="000000"/>
            </w:tcBorders>
          </w:tcPr>
          <w:p>
            <w:pPr>
              <w:pStyle w:val="TableParagraph"/>
              <w:spacing w:line="240" w:lineRule="auto"/>
              <w:ind w:left="1305"/>
              <w:rPr>
                <w:sz w:val="18"/>
              </w:rPr>
            </w:pPr>
            <w:r>
              <w:rPr>
                <w:spacing w:val="-2"/>
                <w:sz w:val="18"/>
              </w:rPr>
              <w:t>-2.615817</w:t>
            </w:r>
          </w:p>
        </w:tc>
        <w:tc>
          <w:tcPr>
            <w:tcW w:w="885"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5"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5"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5"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D(REM,2)</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225" w:hRule="atLeast"/>
        </w:trPr>
        <w:tc>
          <w:tcPr>
            <w:tcW w:w="6535" w:type="dxa"/>
            <w:gridSpan w:val="5"/>
          </w:tcPr>
          <w:p>
            <w:pPr>
              <w:pStyle w:val="TableParagraph"/>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06:12</w:t>
            </w:r>
          </w:p>
        </w:tc>
      </w:tr>
      <w:tr>
        <w:trPr>
          <w:trHeight w:val="224" w:hRule="atLeast"/>
        </w:trPr>
        <w:tc>
          <w:tcPr>
            <w:tcW w:w="6535"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1988</w:t>
            </w:r>
            <w:r>
              <w:rPr>
                <w:spacing w:val="-4"/>
                <w:sz w:val="18"/>
              </w:rPr>
              <w:t> 2020</w:t>
            </w: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33</w:t>
            </w:r>
            <w:r>
              <w:rPr>
                <w:spacing w:val="-5"/>
                <w:sz w:val="18"/>
              </w:rPr>
              <w:t> </w:t>
            </w:r>
            <w:r>
              <w:rPr>
                <w:sz w:val="18"/>
              </w:rPr>
              <w:t>after</w:t>
            </w:r>
            <w:r>
              <w:rPr>
                <w:spacing w:val="-2"/>
                <w:sz w:val="18"/>
              </w:rPr>
              <w:t> 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41" w:type="dxa"/>
            <w:tcBorders>
              <w:top w:val="double" w:sz="6" w:space="0" w:color="000000"/>
              <w:bottom w:val="double" w:sz="6" w:space="0" w:color="000000"/>
            </w:tcBorders>
          </w:tcPr>
          <w:p>
            <w:pPr>
              <w:pStyle w:val="TableParagraph"/>
              <w:spacing w:line="240" w:lineRule="auto" w:before="108"/>
              <w:ind w:right="124"/>
              <w:jc w:val="right"/>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341"/>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542"/>
              <w:rPr>
                <w:sz w:val="18"/>
              </w:rPr>
            </w:pPr>
            <w:r>
              <w:rPr>
                <w:spacing w:val="-2"/>
                <w:sz w:val="18"/>
              </w:rPr>
              <w:t>D(REM(-</w:t>
            </w:r>
            <w:r>
              <w:rPr>
                <w:spacing w:val="-5"/>
                <w:sz w:val="18"/>
              </w:rPr>
              <w:t>1))</w:t>
            </w:r>
          </w:p>
        </w:tc>
        <w:tc>
          <w:tcPr>
            <w:tcW w:w="1307" w:type="dxa"/>
            <w:tcBorders>
              <w:top w:val="double" w:sz="6" w:space="0" w:color="000000"/>
            </w:tcBorders>
          </w:tcPr>
          <w:p>
            <w:pPr>
              <w:pStyle w:val="TableParagraph"/>
              <w:spacing w:before="108"/>
              <w:ind w:right="105"/>
              <w:jc w:val="right"/>
              <w:rPr>
                <w:sz w:val="18"/>
              </w:rPr>
            </w:pPr>
            <w:r>
              <w:rPr>
                <w:spacing w:val="-2"/>
                <w:sz w:val="18"/>
              </w:rPr>
              <w:t>-1.334613</w:t>
            </w:r>
          </w:p>
        </w:tc>
        <w:tc>
          <w:tcPr>
            <w:tcW w:w="1492" w:type="dxa"/>
            <w:tcBorders>
              <w:top w:val="double" w:sz="6" w:space="0" w:color="000000"/>
            </w:tcBorders>
          </w:tcPr>
          <w:p>
            <w:pPr>
              <w:pStyle w:val="TableParagraph"/>
              <w:spacing w:before="108"/>
              <w:ind w:left="349"/>
              <w:rPr>
                <w:sz w:val="18"/>
              </w:rPr>
            </w:pPr>
            <w:r>
              <w:rPr>
                <w:spacing w:val="-2"/>
                <w:sz w:val="18"/>
              </w:rPr>
              <w:t>0.169377</w:t>
            </w:r>
          </w:p>
        </w:tc>
        <w:tc>
          <w:tcPr>
            <w:tcW w:w="941" w:type="dxa"/>
            <w:tcBorders>
              <w:top w:val="double" w:sz="6" w:space="0" w:color="000000"/>
            </w:tcBorders>
          </w:tcPr>
          <w:p>
            <w:pPr>
              <w:pStyle w:val="TableParagraph"/>
              <w:spacing w:before="108"/>
              <w:ind w:right="124"/>
              <w:jc w:val="right"/>
              <w:rPr>
                <w:sz w:val="18"/>
              </w:rPr>
            </w:pPr>
            <w:r>
              <w:rPr>
                <w:spacing w:val="-2"/>
                <w:sz w:val="18"/>
              </w:rPr>
              <w:t>-7.879545</w:t>
            </w:r>
          </w:p>
        </w:tc>
        <w:tc>
          <w:tcPr>
            <w:tcW w:w="885" w:type="dxa"/>
            <w:tcBorders>
              <w:top w:val="double" w:sz="6" w:space="0" w:color="000000"/>
            </w:tcBorders>
          </w:tcPr>
          <w:p>
            <w:pPr>
              <w:pStyle w:val="TableParagraph"/>
              <w:spacing w:before="108"/>
              <w:ind w:right="10"/>
              <w:jc w:val="right"/>
              <w:rPr>
                <w:sz w:val="18"/>
              </w:rPr>
            </w:pPr>
            <w:r>
              <w:rPr>
                <w:spacing w:val="-2"/>
                <w:sz w:val="18"/>
              </w:rPr>
              <w:t>0.0000</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16.87361</w:t>
            </w:r>
          </w:p>
        </w:tc>
        <w:tc>
          <w:tcPr>
            <w:tcW w:w="1492" w:type="dxa"/>
            <w:tcBorders>
              <w:bottom w:val="double" w:sz="6" w:space="0" w:color="000000"/>
            </w:tcBorders>
          </w:tcPr>
          <w:p>
            <w:pPr>
              <w:pStyle w:val="TableParagraph"/>
              <w:spacing w:line="240" w:lineRule="auto"/>
              <w:ind w:left="349"/>
              <w:rPr>
                <w:sz w:val="18"/>
              </w:rPr>
            </w:pPr>
            <w:r>
              <w:rPr>
                <w:spacing w:val="-2"/>
                <w:sz w:val="18"/>
              </w:rPr>
              <w:t>38.96276</w:t>
            </w:r>
          </w:p>
        </w:tc>
        <w:tc>
          <w:tcPr>
            <w:tcW w:w="941" w:type="dxa"/>
            <w:tcBorders>
              <w:bottom w:val="double" w:sz="6" w:space="0" w:color="000000"/>
            </w:tcBorders>
          </w:tcPr>
          <w:p>
            <w:pPr>
              <w:pStyle w:val="TableParagraph"/>
              <w:spacing w:line="240" w:lineRule="auto"/>
              <w:ind w:right="124"/>
              <w:jc w:val="right"/>
              <w:rPr>
                <w:sz w:val="18"/>
              </w:rPr>
            </w:pPr>
            <w:r>
              <w:rPr>
                <w:spacing w:val="-2"/>
                <w:sz w:val="18"/>
              </w:rPr>
              <w:t>0.433070</w:t>
            </w:r>
          </w:p>
        </w:tc>
        <w:tc>
          <w:tcPr>
            <w:tcW w:w="885" w:type="dxa"/>
            <w:tcBorders>
              <w:bottom w:val="double" w:sz="6" w:space="0" w:color="000000"/>
            </w:tcBorders>
          </w:tcPr>
          <w:p>
            <w:pPr>
              <w:pStyle w:val="TableParagraph"/>
              <w:spacing w:line="240" w:lineRule="auto"/>
              <w:ind w:right="10"/>
              <w:jc w:val="right"/>
              <w:rPr>
                <w:sz w:val="18"/>
              </w:rPr>
            </w:pPr>
            <w:r>
              <w:rPr>
                <w:spacing w:val="-2"/>
                <w:sz w:val="18"/>
              </w:rPr>
              <w:t>0.6680</w:t>
            </w:r>
          </w:p>
        </w:tc>
      </w:tr>
      <w:tr>
        <w:trPr>
          <w:trHeight w:val="326" w:hRule="atLeast"/>
        </w:trPr>
        <w:tc>
          <w:tcPr>
            <w:tcW w:w="1910" w:type="dxa"/>
            <w:tcBorders>
              <w:top w:val="double" w:sz="6" w:space="0" w:color="000000"/>
            </w:tcBorders>
          </w:tcPr>
          <w:p>
            <w:pPr>
              <w:pStyle w:val="TableParagraph"/>
              <w:spacing w:line="198" w:lineRule="exact" w:before="108"/>
              <w:rPr>
                <w:sz w:val="18"/>
              </w:rPr>
            </w:pPr>
            <w:r>
              <w:rPr>
                <w:spacing w:val="-2"/>
                <w:sz w:val="18"/>
              </w:rPr>
              <w:t>R-squared</w:t>
            </w:r>
          </w:p>
        </w:tc>
        <w:tc>
          <w:tcPr>
            <w:tcW w:w="1307" w:type="dxa"/>
            <w:tcBorders>
              <w:top w:val="double" w:sz="6" w:space="0" w:color="000000"/>
            </w:tcBorders>
          </w:tcPr>
          <w:p>
            <w:pPr>
              <w:pStyle w:val="TableParagraph"/>
              <w:spacing w:line="198" w:lineRule="exact" w:before="108"/>
              <w:ind w:right="105"/>
              <w:jc w:val="right"/>
              <w:rPr>
                <w:sz w:val="18"/>
              </w:rPr>
            </w:pPr>
            <w:r>
              <w:rPr>
                <w:spacing w:val="-2"/>
                <w:sz w:val="18"/>
              </w:rPr>
              <w:t>0.666979</w:t>
            </w:r>
          </w:p>
        </w:tc>
        <w:tc>
          <w:tcPr>
            <w:tcW w:w="2433" w:type="dxa"/>
            <w:gridSpan w:val="2"/>
            <w:tcBorders>
              <w:top w:val="double" w:sz="6" w:space="0" w:color="000000"/>
            </w:tcBorders>
          </w:tcPr>
          <w:p>
            <w:pPr>
              <w:pStyle w:val="TableParagraph"/>
              <w:spacing w:line="198" w:lineRule="exact" w:before="108"/>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885" w:type="dxa"/>
            <w:tcBorders>
              <w:top w:val="double" w:sz="6" w:space="0" w:color="000000"/>
            </w:tcBorders>
          </w:tcPr>
          <w:p>
            <w:pPr>
              <w:pStyle w:val="TableParagraph"/>
              <w:spacing w:line="198" w:lineRule="exact" w:before="108"/>
              <w:ind w:right="10"/>
              <w:jc w:val="right"/>
              <w:rPr>
                <w:sz w:val="18"/>
              </w:rPr>
            </w:pPr>
            <w:r>
              <w:rPr>
                <w:spacing w:val="-2"/>
                <w:sz w:val="18"/>
              </w:rPr>
              <w:t>1.933636</w:t>
            </w:r>
          </w:p>
        </w:tc>
      </w:tr>
      <w:tr>
        <w:trPr>
          <w:trHeight w:val="224" w:hRule="atLeast"/>
        </w:trPr>
        <w:tc>
          <w:tcPr>
            <w:tcW w:w="1910"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spacing w:before="5"/>
              <w:ind w:right="105"/>
              <w:jc w:val="right"/>
              <w:rPr>
                <w:sz w:val="18"/>
              </w:rPr>
            </w:pPr>
            <w:r>
              <w:rPr>
                <w:spacing w:val="-2"/>
                <w:sz w:val="18"/>
              </w:rPr>
              <w:t>0.656236</w:t>
            </w:r>
          </w:p>
        </w:tc>
        <w:tc>
          <w:tcPr>
            <w:tcW w:w="2433" w:type="dxa"/>
            <w:gridSpan w:val="2"/>
          </w:tcPr>
          <w:p>
            <w:pPr>
              <w:pStyle w:val="TableParagraph"/>
              <w:spacing w:before="5"/>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885" w:type="dxa"/>
          </w:tcPr>
          <w:p>
            <w:pPr>
              <w:pStyle w:val="TableParagraph"/>
              <w:spacing w:before="5"/>
              <w:ind w:right="10"/>
              <w:jc w:val="right"/>
              <w:rPr>
                <w:sz w:val="18"/>
              </w:rPr>
            </w:pPr>
            <w:r>
              <w:rPr>
                <w:spacing w:val="-2"/>
                <w:sz w:val="18"/>
              </w:rPr>
              <w:t>381.2957</w:t>
            </w:r>
          </w:p>
        </w:tc>
      </w:tr>
      <w:tr>
        <w:trPr>
          <w:trHeight w:val="225" w:hRule="atLeast"/>
        </w:trPr>
        <w:tc>
          <w:tcPr>
            <w:tcW w:w="1910" w:type="dxa"/>
          </w:tcPr>
          <w:p>
            <w:pPr>
              <w:pStyle w:val="TableParagraph"/>
              <w:rPr>
                <w:sz w:val="18"/>
              </w:rPr>
            </w:pPr>
            <w:r>
              <w:rPr>
                <w:sz w:val="18"/>
              </w:rPr>
              <w:t>S.E.</w:t>
            </w:r>
            <w:r>
              <w:rPr>
                <w:spacing w:val="-2"/>
                <w:sz w:val="18"/>
              </w:rPr>
              <w:t> </w:t>
            </w:r>
            <w:r>
              <w:rPr>
                <w:sz w:val="18"/>
              </w:rPr>
              <w:t>of</w:t>
            </w:r>
            <w:r>
              <w:rPr>
                <w:spacing w:val="1"/>
                <w:sz w:val="18"/>
              </w:rPr>
              <w:t> </w:t>
            </w:r>
            <w:r>
              <w:rPr>
                <w:spacing w:val="-2"/>
                <w:sz w:val="18"/>
              </w:rPr>
              <w:t>regression</w:t>
            </w:r>
          </w:p>
        </w:tc>
        <w:tc>
          <w:tcPr>
            <w:tcW w:w="1307" w:type="dxa"/>
          </w:tcPr>
          <w:p>
            <w:pPr>
              <w:pStyle w:val="TableParagraph"/>
              <w:ind w:right="105"/>
              <w:jc w:val="right"/>
              <w:rPr>
                <w:sz w:val="18"/>
              </w:rPr>
            </w:pPr>
            <w:r>
              <w:rPr>
                <w:spacing w:val="-2"/>
                <w:sz w:val="18"/>
              </w:rPr>
              <w:t>223.5589</w:t>
            </w:r>
          </w:p>
        </w:tc>
        <w:tc>
          <w:tcPr>
            <w:tcW w:w="2433" w:type="dxa"/>
            <w:gridSpan w:val="2"/>
          </w:tcPr>
          <w:p>
            <w:pPr>
              <w:pStyle w:val="TableParagraph"/>
              <w:ind w:left="105"/>
              <w:rPr>
                <w:sz w:val="18"/>
              </w:rPr>
            </w:pPr>
            <w:r>
              <w:rPr>
                <w:sz w:val="18"/>
              </w:rPr>
              <w:t>Akaike</w:t>
            </w:r>
            <w:r>
              <w:rPr>
                <w:spacing w:val="-3"/>
                <w:sz w:val="18"/>
              </w:rPr>
              <w:t> </w:t>
            </w:r>
            <w:r>
              <w:rPr>
                <w:sz w:val="18"/>
              </w:rPr>
              <w:t>info</w:t>
            </w:r>
            <w:r>
              <w:rPr>
                <w:spacing w:val="-2"/>
                <w:sz w:val="18"/>
              </w:rPr>
              <w:t> criterion</w:t>
            </w:r>
          </w:p>
        </w:tc>
        <w:tc>
          <w:tcPr>
            <w:tcW w:w="885" w:type="dxa"/>
          </w:tcPr>
          <w:p>
            <w:pPr>
              <w:pStyle w:val="TableParagraph"/>
              <w:ind w:right="10"/>
              <w:jc w:val="right"/>
              <w:rPr>
                <w:sz w:val="18"/>
              </w:rPr>
            </w:pPr>
            <w:r>
              <w:rPr>
                <w:spacing w:val="-2"/>
                <w:sz w:val="18"/>
              </w:rPr>
              <w:t>13.71592</w:t>
            </w:r>
          </w:p>
        </w:tc>
      </w:tr>
      <w:tr>
        <w:trPr>
          <w:trHeight w:val="225" w:hRule="atLeast"/>
        </w:trPr>
        <w:tc>
          <w:tcPr>
            <w:tcW w:w="1910"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307" w:type="dxa"/>
          </w:tcPr>
          <w:p>
            <w:pPr>
              <w:pStyle w:val="TableParagraph"/>
              <w:ind w:right="105"/>
              <w:jc w:val="right"/>
              <w:rPr>
                <w:sz w:val="18"/>
              </w:rPr>
            </w:pPr>
            <w:r>
              <w:rPr>
                <w:spacing w:val="-2"/>
                <w:sz w:val="18"/>
              </w:rPr>
              <w:t>1549335.</w:t>
            </w:r>
          </w:p>
        </w:tc>
        <w:tc>
          <w:tcPr>
            <w:tcW w:w="1492" w:type="dxa"/>
          </w:tcPr>
          <w:p>
            <w:pPr>
              <w:pStyle w:val="TableParagraph"/>
              <w:ind w:left="105"/>
              <w:rPr>
                <w:sz w:val="18"/>
              </w:rPr>
            </w:pPr>
            <w:r>
              <w:rPr>
                <w:sz w:val="18"/>
              </w:rPr>
              <w:t>Schwarz</w:t>
            </w:r>
            <w:r>
              <w:rPr>
                <w:spacing w:val="-4"/>
                <w:sz w:val="18"/>
              </w:rPr>
              <w:t> </w:t>
            </w:r>
            <w:r>
              <w:rPr>
                <w:spacing w:val="-2"/>
                <w:sz w:val="18"/>
              </w:rPr>
              <w:t>criterion</w:t>
            </w:r>
          </w:p>
        </w:tc>
        <w:tc>
          <w:tcPr>
            <w:tcW w:w="941" w:type="dxa"/>
          </w:tcPr>
          <w:p>
            <w:pPr>
              <w:pStyle w:val="TableParagraph"/>
              <w:spacing w:line="240" w:lineRule="auto" w:before="0"/>
              <w:rPr>
                <w:rFonts w:ascii="Times New Roman"/>
                <w:sz w:val="16"/>
              </w:rPr>
            </w:pPr>
          </w:p>
        </w:tc>
        <w:tc>
          <w:tcPr>
            <w:tcW w:w="885" w:type="dxa"/>
          </w:tcPr>
          <w:p>
            <w:pPr>
              <w:pStyle w:val="TableParagraph"/>
              <w:ind w:right="10"/>
              <w:jc w:val="right"/>
              <w:rPr>
                <w:sz w:val="18"/>
              </w:rPr>
            </w:pPr>
            <w:r>
              <w:rPr>
                <w:spacing w:val="-2"/>
                <w:sz w:val="18"/>
              </w:rPr>
              <w:t>13.80662</w:t>
            </w:r>
          </w:p>
        </w:tc>
      </w:tr>
      <w:tr>
        <w:trPr>
          <w:trHeight w:val="224" w:hRule="atLeast"/>
        </w:trPr>
        <w:tc>
          <w:tcPr>
            <w:tcW w:w="1910" w:type="dxa"/>
          </w:tcPr>
          <w:p>
            <w:pPr>
              <w:pStyle w:val="TableParagraph"/>
              <w:spacing w:line="198" w:lineRule="exact"/>
              <w:rPr>
                <w:sz w:val="18"/>
              </w:rPr>
            </w:pPr>
            <w:r>
              <w:rPr>
                <w:sz w:val="18"/>
              </w:rPr>
              <w:t>Log</w:t>
            </w:r>
            <w:r>
              <w:rPr>
                <w:spacing w:val="-3"/>
                <w:sz w:val="18"/>
              </w:rPr>
              <w:t> </w:t>
            </w:r>
            <w:r>
              <w:rPr>
                <w:spacing w:val="-2"/>
                <w:sz w:val="18"/>
              </w:rPr>
              <w:t>likelihood</w:t>
            </w:r>
          </w:p>
        </w:tc>
        <w:tc>
          <w:tcPr>
            <w:tcW w:w="1307" w:type="dxa"/>
          </w:tcPr>
          <w:p>
            <w:pPr>
              <w:pStyle w:val="TableParagraph"/>
              <w:spacing w:line="198" w:lineRule="exact"/>
              <w:ind w:right="105"/>
              <w:jc w:val="right"/>
              <w:rPr>
                <w:sz w:val="18"/>
              </w:rPr>
            </w:pPr>
            <w:r>
              <w:rPr>
                <w:spacing w:val="-2"/>
                <w:sz w:val="18"/>
              </w:rPr>
              <w:t>-224.3127</w:t>
            </w:r>
          </w:p>
        </w:tc>
        <w:tc>
          <w:tcPr>
            <w:tcW w:w="2433" w:type="dxa"/>
            <w:gridSpan w:val="2"/>
          </w:tcPr>
          <w:p>
            <w:pPr>
              <w:pStyle w:val="TableParagraph"/>
              <w:spacing w:line="198" w:lineRule="exact"/>
              <w:ind w:left="105"/>
              <w:rPr>
                <w:sz w:val="18"/>
              </w:rPr>
            </w:pPr>
            <w:r>
              <w:rPr>
                <w:spacing w:val="-2"/>
                <w:sz w:val="18"/>
              </w:rPr>
              <w:t>Hannan-Quinn</w:t>
            </w:r>
            <w:r>
              <w:rPr>
                <w:spacing w:val="11"/>
                <w:sz w:val="18"/>
              </w:rPr>
              <w:t> </w:t>
            </w:r>
            <w:r>
              <w:rPr>
                <w:spacing w:val="-2"/>
                <w:sz w:val="18"/>
              </w:rPr>
              <w:t>criter.</w:t>
            </w:r>
          </w:p>
        </w:tc>
        <w:tc>
          <w:tcPr>
            <w:tcW w:w="885" w:type="dxa"/>
          </w:tcPr>
          <w:p>
            <w:pPr>
              <w:pStyle w:val="TableParagraph"/>
              <w:spacing w:line="198" w:lineRule="exact"/>
              <w:ind w:right="10"/>
              <w:jc w:val="right"/>
              <w:rPr>
                <w:sz w:val="18"/>
              </w:rPr>
            </w:pPr>
            <w:r>
              <w:rPr>
                <w:spacing w:val="-2"/>
                <w:sz w:val="18"/>
              </w:rPr>
              <w:t>13.74644</w:t>
            </w:r>
          </w:p>
        </w:tc>
      </w:tr>
      <w:tr>
        <w:trPr>
          <w:trHeight w:val="224" w:hRule="atLeast"/>
        </w:trPr>
        <w:tc>
          <w:tcPr>
            <w:tcW w:w="1910" w:type="dxa"/>
          </w:tcPr>
          <w:p>
            <w:pPr>
              <w:pStyle w:val="TableParagraph"/>
              <w:spacing w:before="5"/>
              <w:rPr>
                <w:sz w:val="18"/>
              </w:rPr>
            </w:pPr>
            <w:r>
              <w:rPr>
                <w:spacing w:val="-2"/>
                <w:sz w:val="18"/>
              </w:rPr>
              <w:t>F-statistic</w:t>
            </w:r>
          </w:p>
        </w:tc>
        <w:tc>
          <w:tcPr>
            <w:tcW w:w="1307" w:type="dxa"/>
          </w:tcPr>
          <w:p>
            <w:pPr>
              <w:pStyle w:val="TableParagraph"/>
              <w:spacing w:before="5"/>
              <w:ind w:right="105"/>
              <w:jc w:val="right"/>
              <w:rPr>
                <w:sz w:val="18"/>
              </w:rPr>
            </w:pPr>
            <w:r>
              <w:rPr>
                <w:spacing w:val="-2"/>
                <w:sz w:val="18"/>
              </w:rPr>
              <w:t>62.08722</w:t>
            </w:r>
          </w:p>
        </w:tc>
        <w:tc>
          <w:tcPr>
            <w:tcW w:w="2433" w:type="dxa"/>
            <w:gridSpan w:val="2"/>
          </w:tcPr>
          <w:p>
            <w:pPr>
              <w:pStyle w:val="TableParagraph"/>
              <w:spacing w:before="5"/>
              <w:ind w:left="105"/>
              <w:rPr>
                <w:sz w:val="18"/>
              </w:rPr>
            </w:pPr>
            <w:r>
              <w:rPr>
                <w:spacing w:val="-2"/>
                <w:sz w:val="18"/>
              </w:rPr>
              <w:t>Durbin-Watson</w:t>
            </w:r>
            <w:r>
              <w:rPr>
                <w:spacing w:val="13"/>
                <w:sz w:val="18"/>
              </w:rPr>
              <w:t> </w:t>
            </w:r>
            <w:r>
              <w:rPr>
                <w:spacing w:val="-4"/>
                <w:sz w:val="18"/>
              </w:rPr>
              <w:t>stat</w:t>
            </w:r>
          </w:p>
        </w:tc>
        <w:tc>
          <w:tcPr>
            <w:tcW w:w="885" w:type="dxa"/>
          </w:tcPr>
          <w:p>
            <w:pPr>
              <w:pStyle w:val="TableParagraph"/>
              <w:spacing w:before="5"/>
              <w:ind w:right="10"/>
              <w:jc w:val="right"/>
              <w:rPr>
                <w:sz w:val="18"/>
              </w:rPr>
            </w:pPr>
            <w:r>
              <w:rPr>
                <w:spacing w:val="-2"/>
                <w:sz w:val="18"/>
              </w:rPr>
              <w:t>2.075944</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0.000000</w:t>
            </w:r>
          </w:p>
        </w:tc>
        <w:tc>
          <w:tcPr>
            <w:tcW w:w="2433" w:type="dxa"/>
            <w:gridSpan w:val="2"/>
            <w:tcBorders>
              <w:bottom w:val="double" w:sz="6" w:space="0" w:color="000000"/>
            </w:tcBorders>
          </w:tcPr>
          <w:p>
            <w:pPr>
              <w:pStyle w:val="TableParagraph"/>
              <w:spacing w:line="240" w:lineRule="auto" w:before="0"/>
              <w:rPr>
                <w:rFonts w:ascii="Times New Roman"/>
                <w:sz w:val="18"/>
              </w:rPr>
            </w:pPr>
          </w:p>
        </w:tc>
        <w:tc>
          <w:tcPr>
            <w:tcW w:w="885"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30688">
                <wp:simplePos x="0" y="0"/>
                <wp:positionH relativeFrom="page">
                  <wp:posOffset>950112</wp:posOffset>
                </wp:positionH>
                <wp:positionV relativeFrom="page">
                  <wp:posOffset>5495962</wp:posOffset>
                </wp:positionV>
                <wp:extent cx="2223770" cy="2362200"/>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85792" id="docshape259"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31200">
                <wp:simplePos x="0" y="0"/>
                <wp:positionH relativeFrom="page">
                  <wp:posOffset>2872486</wp:posOffset>
                </wp:positionH>
                <wp:positionV relativeFrom="page">
                  <wp:posOffset>2197353</wp:posOffset>
                </wp:positionV>
                <wp:extent cx="3583304" cy="3612515"/>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85280" id="docshape260"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522"/>
        <w:gridCol w:w="911"/>
        <w:gridCol w:w="885"/>
      </w:tblGrid>
      <w:tr>
        <w:trPr>
          <w:trHeight w:val="213" w:hRule="atLeast"/>
        </w:trPr>
        <w:tc>
          <w:tcPr>
            <w:tcW w:w="6535" w:type="dxa"/>
            <w:gridSpan w:val="5"/>
          </w:tcPr>
          <w:p>
            <w:pPr>
              <w:pStyle w:val="TableParagraph"/>
              <w:spacing w:line="193" w:lineRule="exact" w:before="0"/>
              <w:rPr>
                <w:sz w:val="18"/>
              </w:rPr>
            </w:pPr>
            <w:r>
              <w:rPr>
                <w:sz w:val="18"/>
              </w:rPr>
              <w:t>Null</w:t>
            </w:r>
            <w:r>
              <w:rPr>
                <w:spacing w:val="-4"/>
                <w:sz w:val="18"/>
              </w:rPr>
              <w:t> </w:t>
            </w:r>
            <w:r>
              <w:rPr>
                <w:sz w:val="18"/>
              </w:rPr>
              <w:t>Hypothesis:</w:t>
            </w:r>
            <w:r>
              <w:rPr>
                <w:spacing w:val="-3"/>
                <w:sz w:val="18"/>
              </w:rPr>
              <w:t> </w:t>
            </w:r>
            <w:r>
              <w:rPr>
                <w:sz w:val="18"/>
              </w:rPr>
              <w:t>ODA</w:t>
            </w:r>
            <w:r>
              <w:rPr>
                <w:spacing w:val="-3"/>
                <w:sz w:val="18"/>
              </w:rPr>
              <w:t> </w:t>
            </w:r>
            <w:r>
              <w:rPr>
                <w:sz w:val="18"/>
              </w:rPr>
              <w:t>has</w:t>
            </w:r>
            <w:r>
              <w:rPr>
                <w:spacing w:val="-2"/>
                <w:sz w:val="18"/>
              </w:rPr>
              <w:t> </w:t>
            </w:r>
            <w:r>
              <w:rPr>
                <w:sz w:val="18"/>
              </w:rPr>
              <w:t>a</w:t>
            </w:r>
            <w:r>
              <w:rPr>
                <w:spacing w:val="-5"/>
                <w:sz w:val="18"/>
              </w:rPr>
              <w:t> </w:t>
            </w:r>
            <w:r>
              <w:rPr>
                <w:sz w:val="18"/>
              </w:rPr>
              <w:t>unit</w:t>
            </w:r>
            <w:r>
              <w:rPr>
                <w:spacing w:val="-3"/>
                <w:sz w:val="18"/>
              </w:rPr>
              <w:t> </w:t>
            </w:r>
            <w:r>
              <w:rPr>
                <w:spacing w:val="-4"/>
                <w:sz w:val="18"/>
              </w:rPr>
              <w:t>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7" w:type="dxa"/>
          </w:tcPr>
          <w:p>
            <w:pPr>
              <w:pStyle w:val="TableParagraph"/>
              <w:spacing w:line="240" w:lineRule="auto" w:before="0"/>
              <w:rPr>
                <w:rFonts w:ascii="Times New Roman"/>
                <w:sz w:val="16"/>
              </w:rPr>
            </w:pPr>
          </w:p>
        </w:tc>
        <w:tc>
          <w:tcPr>
            <w:tcW w:w="1522" w:type="dxa"/>
          </w:tcPr>
          <w:p>
            <w:pPr>
              <w:pStyle w:val="TableParagraph"/>
              <w:spacing w:line="240" w:lineRule="auto" w:before="0"/>
              <w:rPr>
                <w:rFonts w:ascii="Times New Roman"/>
                <w:sz w:val="16"/>
              </w:rPr>
            </w:pPr>
          </w:p>
        </w:tc>
        <w:tc>
          <w:tcPr>
            <w:tcW w:w="91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Lag</w:t>
            </w:r>
            <w:r>
              <w:rPr>
                <w:spacing w:val="-4"/>
                <w:sz w:val="18"/>
              </w:rPr>
              <w:t> </w:t>
            </w:r>
            <w:r>
              <w:rPr>
                <w:sz w:val="18"/>
              </w:rPr>
              <w:t>Length:</w:t>
            </w:r>
            <w:r>
              <w:rPr>
                <w:spacing w:val="-2"/>
                <w:sz w:val="18"/>
              </w:rPr>
              <w:t> </w:t>
            </w:r>
            <w:r>
              <w:rPr>
                <w:sz w:val="18"/>
              </w:rPr>
              <w:t>0</w:t>
            </w:r>
            <w:r>
              <w:rPr>
                <w:spacing w:val="-2"/>
                <w:sz w:val="18"/>
              </w:rPr>
              <w:t> </w:t>
            </w:r>
            <w:r>
              <w:rPr>
                <w:sz w:val="18"/>
              </w:rPr>
              <w:t>(Automatic</w:t>
            </w:r>
            <w:r>
              <w:rPr>
                <w:spacing w:val="1"/>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3"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182"/>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5"/>
                <w:sz w:val="18"/>
              </w:rPr>
              <w:t> </w:t>
            </w:r>
            <w:r>
              <w:rPr>
                <w:spacing w:val="-2"/>
                <w:sz w:val="18"/>
              </w:rPr>
              <w:t>statistic</w:t>
            </w:r>
          </w:p>
        </w:tc>
        <w:tc>
          <w:tcPr>
            <w:tcW w:w="2433" w:type="dxa"/>
            <w:gridSpan w:val="2"/>
            <w:tcBorders>
              <w:top w:val="double" w:sz="6" w:space="0" w:color="000000"/>
              <w:bottom w:val="single" w:sz="6" w:space="0" w:color="000000"/>
            </w:tcBorders>
          </w:tcPr>
          <w:p>
            <w:pPr>
              <w:pStyle w:val="TableParagraph"/>
              <w:spacing w:line="187" w:lineRule="exact" w:before="108"/>
              <w:ind w:left="1360"/>
              <w:rPr>
                <w:sz w:val="18"/>
              </w:rPr>
            </w:pPr>
            <w:r>
              <w:rPr>
                <w:spacing w:val="-2"/>
                <w:sz w:val="18"/>
              </w:rPr>
              <w:t>0.360654</w:t>
            </w:r>
          </w:p>
        </w:tc>
        <w:tc>
          <w:tcPr>
            <w:tcW w:w="885" w:type="dxa"/>
            <w:tcBorders>
              <w:top w:val="double" w:sz="6" w:space="0" w:color="000000"/>
              <w:bottom w:val="single" w:sz="6" w:space="0" w:color="000000"/>
            </w:tcBorders>
          </w:tcPr>
          <w:p>
            <w:pPr>
              <w:pStyle w:val="TableParagraph"/>
              <w:spacing w:line="187" w:lineRule="exact" w:before="108"/>
              <w:ind w:left="132"/>
              <w:rPr>
                <w:sz w:val="18"/>
              </w:rPr>
            </w:pPr>
            <w:r>
              <w:rPr>
                <w:spacing w:val="-2"/>
                <w:sz w:val="18"/>
              </w:rPr>
              <w:t>0.9781</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7"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33" w:type="dxa"/>
            <w:gridSpan w:val="2"/>
            <w:tcBorders>
              <w:top w:val="single" w:sz="6" w:space="0" w:color="000000"/>
            </w:tcBorders>
          </w:tcPr>
          <w:p>
            <w:pPr>
              <w:pStyle w:val="TableParagraph"/>
              <w:spacing w:before="18"/>
              <w:ind w:left="1305"/>
              <w:rPr>
                <w:sz w:val="18"/>
              </w:rPr>
            </w:pPr>
            <w:r>
              <w:rPr>
                <w:spacing w:val="-2"/>
                <w:sz w:val="18"/>
              </w:rPr>
              <w:t>-3.639407</w:t>
            </w:r>
          </w:p>
        </w:tc>
        <w:tc>
          <w:tcPr>
            <w:tcW w:w="885"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7" w:type="dxa"/>
          </w:tcPr>
          <w:p>
            <w:pPr>
              <w:pStyle w:val="TableParagraph"/>
              <w:ind w:left="317"/>
              <w:rPr>
                <w:sz w:val="18"/>
              </w:rPr>
            </w:pPr>
            <w:r>
              <w:rPr>
                <w:sz w:val="18"/>
              </w:rPr>
              <w:t>5%</w:t>
            </w:r>
            <w:r>
              <w:rPr>
                <w:spacing w:val="-3"/>
                <w:sz w:val="18"/>
              </w:rPr>
              <w:t> </w:t>
            </w:r>
            <w:r>
              <w:rPr>
                <w:spacing w:val="-2"/>
                <w:sz w:val="18"/>
              </w:rPr>
              <w:t>level</w:t>
            </w:r>
          </w:p>
        </w:tc>
        <w:tc>
          <w:tcPr>
            <w:tcW w:w="2433" w:type="dxa"/>
            <w:gridSpan w:val="2"/>
          </w:tcPr>
          <w:p>
            <w:pPr>
              <w:pStyle w:val="TableParagraph"/>
              <w:ind w:left="1305"/>
              <w:rPr>
                <w:sz w:val="18"/>
              </w:rPr>
            </w:pPr>
            <w:r>
              <w:rPr>
                <w:spacing w:val="-2"/>
                <w:sz w:val="18"/>
              </w:rPr>
              <w:t>-2.951125</w:t>
            </w:r>
          </w:p>
        </w:tc>
        <w:tc>
          <w:tcPr>
            <w:tcW w:w="885"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33" w:type="dxa"/>
            <w:gridSpan w:val="2"/>
            <w:tcBorders>
              <w:bottom w:val="double" w:sz="6" w:space="0" w:color="000000"/>
            </w:tcBorders>
          </w:tcPr>
          <w:p>
            <w:pPr>
              <w:pStyle w:val="TableParagraph"/>
              <w:spacing w:line="240" w:lineRule="auto"/>
              <w:ind w:left="1305"/>
              <w:rPr>
                <w:sz w:val="18"/>
              </w:rPr>
            </w:pPr>
            <w:r>
              <w:rPr>
                <w:spacing w:val="-2"/>
                <w:sz w:val="18"/>
              </w:rPr>
              <w:t>-2.614300</w:t>
            </w:r>
          </w:p>
        </w:tc>
        <w:tc>
          <w:tcPr>
            <w:tcW w:w="885"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5"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5"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5"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D(ODA)</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522" w:type="dxa"/>
          </w:tcPr>
          <w:p>
            <w:pPr>
              <w:pStyle w:val="TableParagraph"/>
              <w:spacing w:line="240" w:lineRule="auto" w:before="0"/>
              <w:rPr>
                <w:rFonts w:ascii="Times New Roman"/>
                <w:sz w:val="16"/>
              </w:rPr>
            </w:pPr>
          </w:p>
        </w:tc>
        <w:tc>
          <w:tcPr>
            <w:tcW w:w="91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225" w:hRule="atLeast"/>
        </w:trPr>
        <w:tc>
          <w:tcPr>
            <w:tcW w:w="6535" w:type="dxa"/>
            <w:gridSpan w:val="5"/>
          </w:tcPr>
          <w:p>
            <w:pPr>
              <w:pStyle w:val="TableParagraph"/>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06:13</w:t>
            </w:r>
          </w:p>
        </w:tc>
      </w:tr>
      <w:tr>
        <w:trPr>
          <w:trHeight w:val="224" w:hRule="atLeast"/>
        </w:trPr>
        <w:tc>
          <w:tcPr>
            <w:tcW w:w="6535"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1987</w:t>
            </w:r>
            <w:r>
              <w:rPr>
                <w:spacing w:val="-4"/>
                <w:sz w:val="18"/>
              </w:rPr>
              <w:t> 2020</w:t>
            </w: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34</w:t>
            </w:r>
            <w:r>
              <w:rPr>
                <w:spacing w:val="-5"/>
                <w:sz w:val="18"/>
              </w:rPr>
              <w:t> </w:t>
            </w:r>
            <w:r>
              <w:rPr>
                <w:sz w:val="18"/>
              </w:rPr>
              <w:t>after</w:t>
            </w:r>
            <w:r>
              <w:rPr>
                <w:spacing w:val="-2"/>
                <w:sz w:val="18"/>
              </w:rPr>
              <w:t> 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52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11" w:type="dxa"/>
            <w:tcBorders>
              <w:top w:val="double" w:sz="6" w:space="0" w:color="000000"/>
              <w:bottom w:val="double" w:sz="6" w:space="0" w:color="000000"/>
            </w:tcBorders>
          </w:tcPr>
          <w:p>
            <w:pPr>
              <w:pStyle w:val="TableParagraph"/>
              <w:spacing w:line="240" w:lineRule="auto" w:before="108"/>
              <w:ind w:left="44"/>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341"/>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671"/>
              <w:rPr>
                <w:sz w:val="18"/>
              </w:rPr>
            </w:pPr>
            <w:r>
              <w:rPr>
                <w:spacing w:val="-2"/>
                <w:sz w:val="18"/>
              </w:rPr>
              <w:t>ODA(-</w:t>
            </w:r>
            <w:r>
              <w:rPr>
                <w:spacing w:val="-5"/>
                <w:sz w:val="18"/>
              </w:rPr>
              <w:t>1)</w:t>
            </w:r>
          </w:p>
        </w:tc>
        <w:tc>
          <w:tcPr>
            <w:tcW w:w="1307" w:type="dxa"/>
            <w:tcBorders>
              <w:top w:val="double" w:sz="6" w:space="0" w:color="000000"/>
            </w:tcBorders>
          </w:tcPr>
          <w:p>
            <w:pPr>
              <w:pStyle w:val="TableParagraph"/>
              <w:spacing w:before="108"/>
              <w:ind w:right="105"/>
              <w:jc w:val="right"/>
              <w:rPr>
                <w:sz w:val="18"/>
              </w:rPr>
            </w:pPr>
            <w:r>
              <w:rPr>
                <w:spacing w:val="-2"/>
                <w:sz w:val="18"/>
              </w:rPr>
              <w:t>0.025348</w:t>
            </w:r>
          </w:p>
        </w:tc>
        <w:tc>
          <w:tcPr>
            <w:tcW w:w="1522" w:type="dxa"/>
            <w:tcBorders>
              <w:top w:val="double" w:sz="6" w:space="0" w:color="000000"/>
            </w:tcBorders>
          </w:tcPr>
          <w:p>
            <w:pPr>
              <w:pStyle w:val="TableParagraph"/>
              <w:spacing w:before="108"/>
              <w:ind w:left="349"/>
              <w:rPr>
                <w:sz w:val="18"/>
              </w:rPr>
            </w:pPr>
            <w:r>
              <w:rPr>
                <w:spacing w:val="-2"/>
                <w:sz w:val="18"/>
              </w:rPr>
              <w:t>0.070285</w:t>
            </w:r>
          </w:p>
        </w:tc>
        <w:tc>
          <w:tcPr>
            <w:tcW w:w="911" w:type="dxa"/>
            <w:tcBorders>
              <w:top w:val="double" w:sz="6" w:space="0" w:color="000000"/>
            </w:tcBorders>
          </w:tcPr>
          <w:p>
            <w:pPr>
              <w:pStyle w:val="TableParagraph"/>
              <w:spacing w:before="108"/>
              <w:ind w:left="32"/>
              <w:rPr>
                <w:sz w:val="18"/>
              </w:rPr>
            </w:pPr>
            <w:r>
              <w:rPr>
                <w:spacing w:val="-2"/>
                <w:sz w:val="18"/>
              </w:rPr>
              <w:t>0.360654</w:t>
            </w:r>
          </w:p>
        </w:tc>
        <w:tc>
          <w:tcPr>
            <w:tcW w:w="885" w:type="dxa"/>
            <w:tcBorders>
              <w:top w:val="double" w:sz="6" w:space="0" w:color="000000"/>
            </w:tcBorders>
          </w:tcPr>
          <w:p>
            <w:pPr>
              <w:pStyle w:val="TableParagraph"/>
              <w:spacing w:before="108"/>
              <w:ind w:right="10"/>
              <w:jc w:val="right"/>
              <w:rPr>
                <w:sz w:val="18"/>
              </w:rPr>
            </w:pPr>
            <w:r>
              <w:rPr>
                <w:spacing w:val="-2"/>
                <w:sz w:val="18"/>
              </w:rPr>
              <w:t>0.7207</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417.7644</w:t>
            </w:r>
          </w:p>
        </w:tc>
        <w:tc>
          <w:tcPr>
            <w:tcW w:w="1522" w:type="dxa"/>
            <w:tcBorders>
              <w:bottom w:val="double" w:sz="6" w:space="0" w:color="000000"/>
            </w:tcBorders>
          </w:tcPr>
          <w:p>
            <w:pPr>
              <w:pStyle w:val="TableParagraph"/>
              <w:spacing w:line="240" w:lineRule="auto"/>
              <w:ind w:left="349"/>
              <w:rPr>
                <w:sz w:val="18"/>
              </w:rPr>
            </w:pPr>
            <w:r>
              <w:rPr>
                <w:spacing w:val="-2"/>
                <w:sz w:val="18"/>
              </w:rPr>
              <w:t>407.7519</w:t>
            </w:r>
          </w:p>
        </w:tc>
        <w:tc>
          <w:tcPr>
            <w:tcW w:w="911" w:type="dxa"/>
            <w:tcBorders>
              <w:bottom w:val="double" w:sz="6" w:space="0" w:color="000000"/>
            </w:tcBorders>
          </w:tcPr>
          <w:p>
            <w:pPr>
              <w:pStyle w:val="TableParagraph"/>
              <w:spacing w:line="240" w:lineRule="auto"/>
              <w:ind w:left="32"/>
              <w:rPr>
                <w:sz w:val="18"/>
              </w:rPr>
            </w:pPr>
            <w:r>
              <w:rPr>
                <w:spacing w:val="-2"/>
                <w:sz w:val="18"/>
              </w:rPr>
              <w:t>1.024555</w:t>
            </w:r>
          </w:p>
        </w:tc>
        <w:tc>
          <w:tcPr>
            <w:tcW w:w="885" w:type="dxa"/>
            <w:tcBorders>
              <w:bottom w:val="double" w:sz="6" w:space="0" w:color="000000"/>
            </w:tcBorders>
          </w:tcPr>
          <w:p>
            <w:pPr>
              <w:pStyle w:val="TableParagraph"/>
              <w:spacing w:line="240" w:lineRule="auto"/>
              <w:ind w:right="10"/>
              <w:jc w:val="right"/>
              <w:rPr>
                <w:sz w:val="18"/>
              </w:rPr>
            </w:pPr>
            <w:r>
              <w:rPr>
                <w:spacing w:val="-2"/>
                <w:sz w:val="18"/>
              </w:rPr>
              <w:t>0.3133</w:t>
            </w:r>
          </w:p>
        </w:tc>
      </w:tr>
      <w:tr>
        <w:trPr>
          <w:trHeight w:val="326" w:hRule="atLeast"/>
        </w:trPr>
        <w:tc>
          <w:tcPr>
            <w:tcW w:w="1910" w:type="dxa"/>
            <w:tcBorders>
              <w:top w:val="double" w:sz="6" w:space="0" w:color="000000"/>
            </w:tcBorders>
          </w:tcPr>
          <w:p>
            <w:pPr>
              <w:pStyle w:val="TableParagraph"/>
              <w:spacing w:line="198" w:lineRule="exact" w:before="108"/>
              <w:rPr>
                <w:sz w:val="18"/>
              </w:rPr>
            </w:pPr>
            <w:r>
              <w:rPr>
                <w:spacing w:val="-2"/>
                <w:sz w:val="18"/>
              </w:rPr>
              <w:t>R-squared</w:t>
            </w:r>
          </w:p>
        </w:tc>
        <w:tc>
          <w:tcPr>
            <w:tcW w:w="1307" w:type="dxa"/>
            <w:tcBorders>
              <w:top w:val="double" w:sz="6" w:space="0" w:color="000000"/>
            </w:tcBorders>
          </w:tcPr>
          <w:p>
            <w:pPr>
              <w:pStyle w:val="TableParagraph"/>
              <w:spacing w:line="198" w:lineRule="exact" w:before="108"/>
              <w:ind w:right="105"/>
              <w:jc w:val="right"/>
              <w:rPr>
                <w:sz w:val="18"/>
              </w:rPr>
            </w:pPr>
            <w:r>
              <w:rPr>
                <w:spacing w:val="-2"/>
                <w:sz w:val="18"/>
              </w:rPr>
              <w:t>0.004048</w:t>
            </w:r>
          </w:p>
        </w:tc>
        <w:tc>
          <w:tcPr>
            <w:tcW w:w="2433" w:type="dxa"/>
            <w:gridSpan w:val="2"/>
            <w:tcBorders>
              <w:top w:val="double" w:sz="6" w:space="0" w:color="000000"/>
            </w:tcBorders>
          </w:tcPr>
          <w:p>
            <w:pPr>
              <w:pStyle w:val="TableParagraph"/>
              <w:spacing w:line="198" w:lineRule="exact" w:before="108"/>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885" w:type="dxa"/>
            <w:tcBorders>
              <w:top w:val="double" w:sz="6" w:space="0" w:color="000000"/>
            </w:tcBorders>
          </w:tcPr>
          <w:p>
            <w:pPr>
              <w:pStyle w:val="TableParagraph"/>
              <w:spacing w:line="198" w:lineRule="exact" w:before="108"/>
              <w:ind w:right="10"/>
              <w:jc w:val="right"/>
              <w:rPr>
                <w:sz w:val="18"/>
              </w:rPr>
            </w:pPr>
            <w:r>
              <w:rPr>
                <w:spacing w:val="-2"/>
                <w:sz w:val="18"/>
              </w:rPr>
              <w:t>492.3441</w:t>
            </w:r>
          </w:p>
        </w:tc>
      </w:tr>
      <w:tr>
        <w:trPr>
          <w:trHeight w:val="224" w:hRule="atLeast"/>
        </w:trPr>
        <w:tc>
          <w:tcPr>
            <w:tcW w:w="1910"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spacing w:before="5"/>
              <w:ind w:right="105"/>
              <w:jc w:val="right"/>
              <w:rPr>
                <w:sz w:val="18"/>
              </w:rPr>
            </w:pPr>
            <w:r>
              <w:rPr>
                <w:spacing w:val="-2"/>
                <w:sz w:val="18"/>
              </w:rPr>
              <w:t>-0.027075</w:t>
            </w:r>
          </w:p>
        </w:tc>
        <w:tc>
          <w:tcPr>
            <w:tcW w:w="2433" w:type="dxa"/>
            <w:gridSpan w:val="2"/>
          </w:tcPr>
          <w:p>
            <w:pPr>
              <w:pStyle w:val="TableParagraph"/>
              <w:spacing w:before="5"/>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885" w:type="dxa"/>
          </w:tcPr>
          <w:p>
            <w:pPr>
              <w:pStyle w:val="TableParagraph"/>
              <w:spacing w:before="5"/>
              <w:ind w:right="10"/>
              <w:jc w:val="right"/>
              <w:rPr>
                <w:sz w:val="18"/>
              </w:rPr>
            </w:pPr>
            <w:r>
              <w:rPr>
                <w:spacing w:val="-2"/>
                <w:sz w:val="18"/>
              </w:rPr>
              <w:t>2021.952</w:t>
            </w:r>
          </w:p>
        </w:tc>
      </w:tr>
      <w:tr>
        <w:trPr>
          <w:trHeight w:val="225" w:hRule="atLeast"/>
        </w:trPr>
        <w:tc>
          <w:tcPr>
            <w:tcW w:w="1910" w:type="dxa"/>
          </w:tcPr>
          <w:p>
            <w:pPr>
              <w:pStyle w:val="TableParagraph"/>
              <w:rPr>
                <w:sz w:val="18"/>
              </w:rPr>
            </w:pPr>
            <w:r>
              <w:rPr>
                <w:sz w:val="18"/>
              </w:rPr>
              <w:t>S.E.</w:t>
            </w:r>
            <w:r>
              <w:rPr>
                <w:spacing w:val="-2"/>
                <w:sz w:val="18"/>
              </w:rPr>
              <w:t> </w:t>
            </w:r>
            <w:r>
              <w:rPr>
                <w:sz w:val="18"/>
              </w:rPr>
              <w:t>of </w:t>
            </w:r>
            <w:r>
              <w:rPr>
                <w:spacing w:val="-2"/>
                <w:sz w:val="18"/>
              </w:rPr>
              <w:t>regression</w:t>
            </w:r>
          </w:p>
        </w:tc>
        <w:tc>
          <w:tcPr>
            <w:tcW w:w="1307" w:type="dxa"/>
          </w:tcPr>
          <w:p>
            <w:pPr>
              <w:pStyle w:val="TableParagraph"/>
              <w:ind w:right="105"/>
              <w:jc w:val="right"/>
              <w:rPr>
                <w:sz w:val="18"/>
              </w:rPr>
            </w:pPr>
            <w:r>
              <w:rPr>
                <w:spacing w:val="-2"/>
                <w:sz w:val="18"/>
              </w:rPr>
              <w:t>2049.141</w:t>
            </w:r>
          </w:p>
        </w:tc>
        <w:tc>
          <w:tcPr>
            <w:tcW w:w="2433" w:type="dxa"/>
            <w:gridSpan w:val="2"/>
          </w:tcPr>
          <w:p>
            <w:pPr>
              <w:pStyle w:val="TableParagraph"/>
              <w:ind w:left="105"/>
              <w:rPr>
                <w:sz w:val="18"/>
              </w:rPr>
            </w:pPr>
            <w:r>
              <w:rPr>
                <w:sz w:val="18"/>
              </w:rPr>
              <w:t>Akaike</w:t>
            </w:r>
            <w:r>
              <w:rPr>
                <w:spacing w:val="-3"/>
                <w:sz w:val="18"/>
              </w:rPr>
              <w:t> </w:t>
            </w:r>
            <w:r>
              <w:rPr>
                <w:sz w:val="18"/>
              </w:rPr>
              <w:t>info</w:t>
            </w:r>
            <w:r>
              <w:rPr>
                <w:spacing w:val="-2"/>
                <w:sz w:val="18"/>
              </w:rPr>
              <w:t> criterion</w:t>
            </w:r>
          </w:p>
        </w:tc>
        <w:tc>
          <w:tcPr>
            <w:tcW w:w="885" w:type="dxa"/>
          </w:tcPr>
          <w:p>
            <w:pPr>
              <w:pStyle w:val="TableParagraph"/>
              <w:ind w:right="10"/>
              <w:jc w:val="right"/>
              <w:rPr>
                <w:sz w:val="18"/>
              </w:rPr>
            </w:pPr>
            <w:r>
              <w:rPr>
                <w:spacing w:val="-2"/>
                <w:sz w:val="18"/>
              </w:rPr>
              <w:t>18.14525</w:t>
            </w:r>
          </w:p>
        </w:tc>
      </w:tr>
      <w:tr>
        <w:trPr>
          <w:trHeight w:val="225" w:hRule="atLeast"/>
        </w:trPr>
        <w:tc>
          <w:tcPr>
            <w:tcW w:w="1910" w:type="dxa"/>
          </w:tcPr>
          <w:p>
            <w:pPr>
              <w:pStyle w:val="TableParagraph"/>
              <w:rPr>
                <w:sz w:val="18"/>
              </w:rPr>
            </w:pPr>
            <w:r>
              <w:rPr>
                <w:sz w:val="18"/>
              </w:rPr>
              <w:t>Sum</w:t>
            </w:r>
            <w:r>
              <w:rPr>
                <w:spacing w:val="-2"/>
                <w:sz w:val="18"/>
              </w:rPr>
              <w:t> </w:t>
            </w:r>
            <w:r>
              <w:rPr>
                <w:sz w:val="18"/>
              </w:rPr>
              <w:t>squared </w:t>
            </w:r>
            <w:r>
              <w:rPr>
                <w:spacing w:val="-2"/>
                <w:sz w:val="18"/>
              </w:rPr>
              <w:t>resid</w:t>
            </w:r>
          </w:p>
        </w:tc>
        <w:tc>
          <w:tcPr>
            <w:tcW w:w="1307" w:type="dxa"/>
          </w:tcPr>
          <w:p>
            <w:pPr>
              <w:pStyle w:val="TableParagraph"/>
              <w:ind w:right="105"/>
              <w:jc w:val="right"/>
              <w:rPr>
                <w:sz w:val="18"/>
              </w:rPr>
            </w:pPr>
            <w:r>
              <w:rPr>
                <w:spacing w:val="-2"/>
                <w:sz w:val="18"/>
              </w:rPr>
              <w:t>1.34E+08</w:t>
            </w:r>
          </w:p>
        </w:tc>
        <w:tc>
          <w:tcPr>
            <w:tcW w:w="1522" w:type="dxa"/>
          </w:tcPr>
          <w:p>
            <w:pPr>
              <w:pStyle w:val="TableParagraph"/>
              <w:ind w:left="105"/>
              <w:rPr>
                <w:sz w:val="18"/>
              </w:rPr>
            </w:pPr>
            <w:r>
              <w:rPr>
                <w:sz w:val="18"/>
              </w:rPr>
              <w:t>Schwarz</w:t>
            </w:r>
            <w:r>
              <w:rPr>
                <w:spacing w:val="-4"/>
                <w:sz w:val="18"/>
              </w:rPr>
              <w:t> </w:t>
            </w:r>
            <w:r>
              <w:rPr>
                <w:spacing w:val="-2"/>
                <w:sz w:val="18"/>
              </w:rPr>
              <w:t>criterion</w:t>
            </w:r>
          </w:p>
        </w:tc>
        <w:tc>
          <w:tcPr>
            <w:tcW w:w="911" w:type="dxa"/>
          </w:tcPr>
          <w:p>
            <w:pPr>
              <w:pStyle w:val="TableParagraph"/>
              <w:spacing w:line="240" w:lineRule="auto" w:before="0"/>
              <w:rPr>
                <w:rFonts w:ascii="Times New Roman"/>
                <w:sz w:val="16"/>
              </w:rPr>
            </w:pPr>
          </w:p>
        </w:tc>
        <w:tc>
          <w:tcPr>
            <w:tcW w:w="885" w:type="dxa"/>
          </w:tcPr>
          <w:p>
            <w:pPr>
              <w:pStyle w:val="TableParagraph"/>
              <w:ind w:right="10"/>
              <w:jc w:val="right"/>
              <w:rPr>
                <w:sz w:val="18"/>
              </w:rPr>
            </w:pPr>
            <w:r>
              <w:rPr>
                <w:spacing w:val="-2"/>
                <w:sz w:val="18"/>
              </w:rPr>
              <w:t>18.23504</w:t>
            </w:r>
          </w:p>
        </w:tc>
      </w:tr>
      <w:tr>
        <w:trPr>
          <w:trHeight w:val="224" w:hRule="atLeast"/>
        </w:trPr>
        <w:tc>
          <w:tcPr>
            <w:tcW w:w="1910" w:type="dxa"/>
          </w:tcPr>
          <w:p>
            <w:pPr>
              <w:pStyle w:val="TableParagraph"/>
              <w:spacing w:line="198" w:lineRule="exact"/>
              <w:rPr>
                <w:sz w:val="18"/>
              </w:rPr>
            </w:pPr>
            <w:r>
              <w:rPr>
                <w:sz w:val="18"/>
              </w:rPr>
              <w:t>Log</w:t>
            </w:r>
            <w:r>
              <w:rPr>
                <w:spacing w:val="-3"/>
                <w:sz w:val="18"/>
              </w:rPr>
              <w:t> </w:t>
            </w:r>
            <w:r>
              <w:rPr>
                <w:spacing w:val="-2"/>
                <w:sz w:val="18"/>
              </w:rPr>
              <w:t>likelihood</w:t>
            </w:r>
          </w:p>
        </w:tc>
        <w:tc>
          <w:tcPr>
            <w:tcW w:w="1307" w:type="dxa"/>
          </w:tcPr>
          <w:p>
            <w:pPr>
              <w:pStyle w:val="TableParagraph"/>
              <w:spacing w:line="198" w:lineRule="exact"/>
              <w:ind w:right="105"/>
              <w:jc w:val="right"/>
              <w:rPr>
                <w:sz w:val="18"/>
              </w:rPr>
            </w:pPr>
            <w:r>
              <w:rPr>
                <w:spacing w:val="-2"/>
                <w:sz w:val="18"/>
              </w:rPr>
              <w:t>-306.4693</w:t>
            </w:r>
          </w:p>
        </w:tc>
        <w:tc>
          <w:tcPr>
            <w:tcW w:w="2433" w:type="dxa"/>
            <w:gridSpan w:val="2"/>
          </w:tcPr>
          <w:p>
            <w:pPr>
              <w:pStyle w:val="TableParagraph"/>
              <w:spacing w:line="198" w:lineRule="exact"/>
              <w:ind w:left="105"/>
              <w:rPr>
                <w:sz w:val="18"/>
              </w:rPr>
            </w:pPr>
            <w:r>
              <w:rPr>
                <w:spacing w:val="-2"/>
                <w:sz w:val="18"/>
              </w:rPr>
              <w:t>Hannan-Quinn</w:t>
            </w:r>
            <w:r>
              <w:rPr>
                <w:spacing w:val="11"/>
                <w:sz w:val="18"/>
              </w:rPr>
              <w:t> </w:t>
            </w:r>
            <w:r>
              <w:rPr>
                <w:spacing w:val="-2"/>
                <w:sz w:val="18"/>
              </w:rPr>
              <w:t>criter.</w:t>
            </w:r>
          </w:p>
        </w:tc>
        <w:tc>
          <w:tcPr>
            <w:tcW w:w="885" w:type="dxa"/>
          </w:tcPr>
          <w:p>
            <w:pPr>
              <w:pStyle w:val="TableParagraph"/>
              <w:spacing w:line="198" w:lineRule="exact"/>
              <w:ind w:right="10"/>
              <w:jc w:val="right"/>
              <w:rPr>
                <w:sz w:val="18"/>
              </w:rPr>
            </w:pPr>
            <w:r>
              <w:rPr>
                <w:spacing w:val="-2"/>
                <w:sz w:val="18"/>
              </w:rPr>
              <w:t>18.17587</w:t>
            </w:r>
          </w:p>
        </w:tc>
      </w:tr>
      <w:tr>
        <w:trPr>
          <w:trHeight w:val="224" w:hRule="atLeast"/>
        </w:trPr>
        <w:tc>
          <w:tcPr>
            <w:tcW w:w="1910" w:type="dxa"/>
          </w:tcPr>
          <w:p>
            <w:pPr>
              <w:pStyle w:val="TableParagraph"/>
              <w:spacing w:before="5"/>
              <w:rPr>
                <w:sz w:val="18"/>
              </w:rPr>
            </w:pPr>
            <w:r>
              <w:rPr>
                <w:spacing w:val="-2"/>
                <w:sz w:val="18"/>
              </w:rPr>
              <w:t>F-statistic</w:t>
            </w:r>
          </w:p>
        </w:tc>
        <w:tc>
          <w:tcPr>
            <w:tcW w:w="1307" w:type="dxa"/>
          </w:tcPr>
          <w:p>
            <w:pPr>
              <w:pStyle w:val="TableParagraph"/>
              <w:spacing w:before="5"/>
              <w:ind w:right="105"/>
              <w:jc w:val="right"/>
              <w:rPr>
                <w:sz w:val="18"/>
              </w:rPr>
            </w:pPr>
            <w:r>
              <w:rPr>
                <w:spacing w:val="-2"/>
                <w:sz w:val="18"/>
              </w:rPr>
              <w:t>0.130071</w:t>
            </w:r>
          </w:p>
        </w:tc>
        <w:tc>
          <w:tcPr>
            <w:tcW w:w="2433" w:type="dxa"/>
            <w:gridSpan w:val="2"/>
          </w:tcPr>
          <w:p>
            <w:pPr>
              <w:pStyle w:val="TableParagraph"/>
              <w:spacing w:before="5"/>
              <w:ind w:left="105"/>
              <w:rPr>
                <w:sz w:val="18"/>
              </w:rPr>
            </w:pPr>
            <w:r>
              <w:rPr>
                <w:spacing w:val="-2"/>
                <w:sz w:val="18"/>
              </w:rPr>
              <w:t>Durbin-Watson</w:t>
            </w:r>
            <w:r>
              <w:rPr>
                <w:spacing w:val="13"/>
                <w:sz w:val="18"/>
              </w:rPr>
              <w:t> </w:t>
            </w:r>
            <w:r>
              <w:rPr>
                <w:spacing w:val="-4"/>
                <w:sz w:val="18"/>
              </w:rPr>
              <w:t>stat</w:t>
            </w:r>
          </w:p>
        </w:tc>
        <w:tc>
          <w:tcPr>
            <w:tcW w:w="885" w:type="dxa"/>
          </w:tcPr>
          <w:p>
            <w:pPr>
              <w:pStyle w:val="TableParagraph"/>
              <w:spacing w:before="5"/>
              <w:ind w:right="10"/>
              <w:jc w:val="right"/>
              <w:rPr>
                <w:sz w:val="18"/>
              </w:rPr>
            </w:pPr>
            <w:r>
              <w:rPr>
                <w:spacing w:val="-2"/>
                <w:sz w:val="18"/>
              </w:rPr>
              <w:t>2.054628</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0.720728</w:t>
            </w:r>
          </w:p>
        </w:tc>
        <w:tc>
          <w:tcPr>
            <w:tcW w:w="2433" w:type="dxa"/>
            <w:gridSpan w:val="2"/>
            <w:tcBorders>
              <w:bottom w:val="double" w:sz="6" w:space="0" w:color="000000"/>
            </w:tcBorders>
          </w:tcPr>
          <w:p>
            <w:pPr>
              <w:pStyle w:val="TableParagraph"/>
              <w:spacing w:line="240" w:lineRule="auto" w:before="0"/>
              <w:rPr>
                <w:rFonts w:ascii="Times New Roman"/>
                <w:sz w:val="18"/>
              </w:rPr>
            </w:pPr>
          </w:p>
        </w:tc>
        <w:tc>
          <w:tcPr>
            <w:tcW w:w="885"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31712">
                <wp:simplePos x="0" y="0"/>
                <wp:positionH relativeFrom="page">
                  <wp:posOffset>950112</wp:posOffset>
                </wp:positionH>
                <wp:positionV relativeFrom="page">
                  <wp:posOffset>5495962</wp:posOffset>
                </wp:positionV>
                <wp:extent cx="2223770" cy="2362200"/>
                <wp:effectExtent l="0" t="0" r="0" b="0"/>
                <wp:wrapNone/>
                <wp:docPr id="261" name="Graphic 261"/>
                <wp:cNvGraphicFramePr>
                  <a:graphicFrameLocks/>
                </wp:cNvGraphicFramePr>
                <a:graphic>
                  <a:graphicData uri="http://schemas.microsoft.com/office/word/2010/wordprocessingShape">
                    <wps:wsp>
                      <wps:cNvPr id="261" name="Graphic 261"/>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84768" id="docshape261"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32224">
                <wp:simplePos x="0" y="0"/>
                <wp:positionH relativeFrom="page">
                  <wp:posOffset>2872486</wp:posOffset>
                </wp:positionH>
                <wp:positionV relativeFrom="page">
                  <wp:posOffset>2197353</wp:posOffset>
                </wp:positionV>
                <wp:extent cx="3583304" cy="3612515"/>
                <wp:effectExtent l="0" t="0" r="0" b="0"/>
                <wp:wrapNone/>
                <wp:docPr id="262" name="Graphic 262"/>
                <wp:cNvGraphicFramePr>
                  <a:graphicFrameLocks/>
                </wp:cNvGraphicFramePr>
                <a:graphic>
                  <a:graphicData uri="http://schemas.microsoft.com/office/word/2010/wordprocessingShape">
                    <wps:wsp>
                      <wps:cNvPr id="262" name="Graphic 262"/>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84256" id="docshape262"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492"/>
        <w:gridCol w:w="911"/>
        <w:gridCol w:w="915"/>
      </w:tblGrid>
      <w:tr>
        <w:trPr>
          <w:trHeight w:val="213" w:hRule="atLeast"/>
        </w:trPr>
        <w:tc>
          <w:tcPr>
            <w:tcW w:w="6535" w:type="dxa"/>
            <w:gridSpan w:val="5"/>
          </w:tcPr>
          <w:p>
            <w:pPr>
              <w:pStyle w:val="TableParagraph"/>
              <w:spacing w:line="193" w:lineRule="exact" w:before="0"/>
              <w:rPr>
                <w:sz w:val="18"/>
              </w:rPr>
            </w:pPr>
            <w:r>
              <w:rPr>
                <w:sz w:val="18"/>
              </w:rPr>
              <w:t>Null</w:t>
            </w:r>
            <w:r>
              <w:rPr>
                <w:spacing w:val="-3"/>
                <w:sz w:val="18"/>
              </w:rPr>
              <w:t> </w:t>
            </w:r>
            <w:r>
              <w:rPr>
                <w:sz w:val="18"/>
              </w:rPr>
              <w:t>Hypothesis:</w:t>
            </w:r>
            <w:r>
              <w:rPr>
                <w:spacing w:val="-3"/>
                <w:sz w:val="18"/>
              </w:rPr>
              <w:t> </w:t>
            </w:r>
            <w:r>
              <w:rPr>
                <w:sz w:val="18"/>
              </w:rPr>
              <w:t>D(ODA)</w:t>
            </w:r>
            <w:r>
              <w:rPr>
                <w:spacing w:val="-3"/>
                <w:sz w:val="18"/>
              </w:rPr>
              <w:t> </w:t>
            </w:r>
            <w:r>
              <w:rPr>
                <w:sz w:val="18"/>
              </w:rPr>
              <w:t>has</w:t>
            </w:r>
            <w:r>
              <w:rPr>
                <w:spacing w:val="-4"/>
                <w:sz w:val="18"/>
              </w:rPr>
              <w:t> </w:t>
            </w:r>
            <w:r>
              <w:rPr>
                <w:sz w:val="18"/>
              </w:rPr>
              <w:t>a</w:t>
            </w:r>
            <w:r>
              <w:rPr>
                <w:spacing w:val="-2"/>
                <w:sz w:val="18"/>
              </w:rPr>
              <w:t> </w:t>
            </w:r>
            <w:r>
              <w:rPr>
                <w:sz w:val="18"/>
              </w:rPr>
              <w:t>unit </w:t>
            </w:r>
            <w:r>
              <w:rPr>
                <w:spacing w:val="-4"/>
                <w:sz w:val="18"/>
              </w:rPr>
              <w:t>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11" w:type="dxa"/>
          </w:tcPr>
          <w:p>
            <w:pPr>
              <w:pStyle w:val="TableParagraph"/>
              <w:spacing w:line="240" w:lineRule="auto" w:before="0"/>
              <w:rPr>
                <w:rFonts w:ascii="Times New Roman"/>
                <w:sz w:val="16"/>
              </w:rPr>
            </w:pPr>
          </w:p>
        </w:tc>
        <w:tc>
          <w:tcPr>
            <w:tcW w:w="915" w:type="dxa"/>
          </w:tcPr>
          <w:p>
            <w:pPr>
              <w:pStyle w:val="TableParagraph"/>
              <w:spacing w:line="240" w:lineRule="auto" w:before="0"/>
              <w:rPr>
                <w:rFonts w:ascii="Times New Roman"/>
                <w:sz w:val="16"/>
              </w:rPr>
            </w:pP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Lag</w:t>
            </w:r>
            <w:r>
              <w:rPr>
                <w:spacing w:val="-4"/>
                <w:sz w:val="18"/>
              </w:rPr>
              <w:t> </w:t>
            </w:r>
            <w:r>
              <w:rPr>
                <w:sz w:val="18"/>
              </w:rPr>
              <w:t>Length:</w:t>
            </w:r>
            <w:r>
              <w:rPr>
                <w:spacing w:val="-2"/>
                <w:sz w:val="18"/>
              </w:rPr>
              <w:t> </w:t>
            </w:r>
            <w:r>
              <w:rPr>
                <w:sz w:val="18"/>
              </w:rPr>
              <w:t>0</w:t>
            </w:r>
            <w:r>
              <w:rPr>
                <w:spacing w:val="-2"/>
                <w:sz w:val="18"/>
              </w:rPr>
              <w:t> </w:t>
            </w:r>
            <w:r>
              <w:rPr>
                <w:sz w:val="18"/>
              </w:rPr>
              <w:t>(Automatic</w:t>
            </w:r>
            <w:r>
              <w:rPr>
                <w:spacing w:val="1"/>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03"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915" w:type="dxa"/>
            <w:tcBorders>
              <w:top w:val="double" w:sz="6" w:space="0" w:color="000000"/>
              <w:bottom w:val="double" w:sz="6" w:space="0" w:color="000000"/>
            </w:tcBorders>
          </w:tcPr>
          <w:p>
            <w:pPr>
              <w:pStyle w:val="TableParagraph"/>
              <w:spacing w:line="240" w:lineRule="auto" w:before="108"/>
              <w:ind w:left="212"/>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03" w:type="dxa"/>
            <w:gridSpan w:val="2"/>
            <w:tcBorders>
              <w:top w:val="double" w:sz="6" w:space="0" w:color="000000"/>
              <w:bottom w:val="single" w:sz="6" w:space="0" w:color="000000"/>
            </w:tcBorders>
          </w:tcPr>
          <w:p>
            <w:pPr>
              <w:pStyle w:val="TableParagraph"/>
              <w:spacing w:line="187" w:lineRule="exact" w:before="108"/>
              <w:ind w:left="1305"/>
              <w:rPr>
                <w:sz w:val="18"/>
              </w:rPr>
            </w:pPr>
            <w:r>
              <w:rPr>
                <w:spacing w:val="-2"/>
                <w:sz w:val="18"/>
              </w:rPr>
              <w:t>-5.567952</w:t>
            </w:r>
          </w:p>
        </w:tc>
        <w:tc>
          <w:tcPr>
            <w:tcW w:w="915" w:type="dxa"/>
            <w:tcBorders>
              <w:top w:val="double" w:sz="6" w:space="0" w:color="000000"/>
              <w:bottom w:val="single" w:sz="6" w:space="0" w:color="000000"/>
            </w:tcBorders>
          </w:tcPr>
          <w:p>
            <w:pPr>
              <w:pStyle w:val="TableParagraph"/>
              <w:spacing w:line="187" w:lineRule="exact" w:before="108"/>
              <w:ind w:left="162"/>
              <w:rPr>
                <w:sz w:val="18"/>
              </w:rPr>
            </w:pPr>
            <w:r>
              <w:rPr>
                <w:spacing w:val="-2"/>
                <w:sz w:val="18"/>
              </w:rPr>
              <w:t>0.0001</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7"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03" w:type="dxa"/>
            <w:gridSpan w:val="2"/>
            <w:tcBorders>
              <w:top w:val="single" w:sz="6" w:space="0" w:color="000000"/>
            </w:tcBorders>
          </w:tcPr>
          <w:p>
            <w:pPr>
              <w:pStyle w:val="TableParagraph"/>
              <w:spacing w:before="18"/>
              <w:ind w:left="1305"/>
              <w:rPr>
                <w:sz w:val="18"/>
              </w:rPr>
            </w:pPr>
            <w:r>
              <w:rPr>
                <w:spacing w:val="-2"/>
                <w:sz w:val="18"/>
              </w:rPr>
              <w:t>-3.646342</w:t>
            </w:r>
          </w:p>
        </w:tc>
        <w:tc>
          <w:tcPr>
            <w:tcW w:w="915"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7" w:type="dxa"/>
          </w:tcPr>
          <w:p>
            <w:pPr>
              <w:pStyle w:val="TableParagraph"/>
              <w:ind w:left="317"/>
              <w:rPr>
                <w:sz w:val="18"/>
              </w:rPr>
            </w:pPr>
            <w:r>
              <w:rPr>
                <w:sz w:val="18"/>
              </w:rPr>
              <w:t>5%</w:t>
            </w:r>
            <w:r>
              <w:rPr>
                <w:spacing w:val="-3"/>
                <w:sz w:val="18"/>
              </w:rPr>
              <w:t> </w:t>
            </w:r>
            <w:r>
              <w:rPr>
                <w:spacing w:val="-2"/>
                <w:sz w:val="18"/>
              </w:rPr>
              <w:t>level</w:t>
            </w:r>
          </w:p>
        </w:tc>
        <w:tc>
          <w:tcPr>
            <w:tcW w:w="2403" w:type="dxa"/>
            <w:gridSpan w:val="2"/>
          </w:tcPr>
          <w:p>
            <w:pPr>
              <w:pStyle w:val="TableParagraph"/>
              <w:ind w:left="1305"/>
              <w:rPr>
                <w:sz w:val="18"/>
              </w:rPr>
            </w:pPr>
            <w:r>
              <w:rPr>
                <w:spacing w:val="-2"/>
                <w:sz w:val="18"/>
              </w:rPr>
              <w:t>-2.954021</w:t>
            </w:r>
          </w:p>
        </w:tc>
        <w:tc>
          <w:tcPr>
            <w:tcW w:w="915"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03" w:type="dxa"/>
            <w:gridSpan w:val="2"/>
            <w:tcBorders>
              <w:bottom w:val="double" w:sz="6" w:space="0" w:color="000000"/>
            </w:tcBorders>
          </w:tcPr>
          <w:p>
            <w:pPr>
              <w:pStyle w:val="TableParagraph"/>
              <w:spacing w:line="240" w:lineRule="auto"/>
              <w:ind w:left="1305"/>
              <w:rPr>
                <w:sz w:val="18"/>
              </w:rPr>
            </w:pPr>
            <w:r>
              <w:rPr>
                <w:spacing w:val="-2"/>
                <w:sz w:val="18"/>
              </w:rPr>
              <w:t>-2.615817</w:t>
            </w:r>
          </w:p>
        </w:tc>
        <w:tc>
          <w:tcPr>
            <w:tcW w:w="915"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5"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5"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5"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D(ODA,2)</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11" w:type="dxa"/>
          </w:tcPr>
          <w:p>
            <w:pPr>
              <w:pStyle w:val="TableParagraph"/>
              <w:spacing w:line="240" w:lineRule="auto" w:before="0"/>
              <w:rPr>
                <w:rFonts w:ascii="Times New Roman"/>
                <w:sz w:val="16"/>
              </w:rPr>
            </w:pPr>
          </w:p>
        </w:tc>
        <w:tc>
          <w:tcPr>
            <w:tcW w:w="915" w:type="dxa"/>
          </w:tcPr>
          <w:p>
            <w:pPr>
              <w:pStyle w:val="TableParagraph"/>
              <w:spacing w:line="240" w:lineRule="auto" w:before="0"/>
              <w:rPr>
                <w:rFonts w:ascii="Times New Roman"/>
                <w:sz w:val="16"/>
              </w:rPr>
            </w:pPr>
          </w:p>
        </w:tc>
      </w:tr>
      <w:tr>
        <w:trPr>
          <w:trHeight w:val="225" w:hRule="atLeast"/>
        </w:trPr>
        <w:tc>
          <w:tcPr>
            <w:tcW w:w="6535" w:type="dxa"/>
            <w:gridSpan w:val="5"/>
          </w:tcPr>
          <w:p>
            <w:pPr>
              <w:pStyle w:val="TableParagraph"/>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06:13</w:t>
            </w:r>
          </w:p>
        </w:tc>
      </w:tr>
      <w:tr>
        <w:trPr>
          <w:trHeight w:val="224" w:hRule="atLeast"/>
        </w:trPr>
        <w:tc>
          <w:tcPr>
            <w:tcW w:w="6535" w:type="dxa"/>
            <w:gridSpan w:val="5"/>
          </w:tcPr>
          <w:p>
            <w:pPr>
              <w:pStyle w:val="TableParagraph"/>
              <w:spacing w:line="198" w:lineRule="exact"/>
              <w:rPr>
                <w:sz w:val="18"/>
              </w:rPr>
            </w:pPr>
            <w:r>
              <w:rPr>
                <w:sz w:val="18"/>
              </w:rPr>
              <w:t>Sample</w:t>
            </w:r>
            <w:r>
              <w:rPr>
                <w:spacing w:val="-6"/>
                <w:sz w:val="18"/>
              </w:rPr>
              <w:t> </w:t>
            </w:r>
            <w:r>
              <w:rPr>
                <w:sz w:val="18"/>
              </w:rPr>
              <w:t>(adjusted):</w:t>
            </w:r>
            <w:r>
              <w:rPr>
                <w:spacing w:val="-6"/>
                <w:sz w:val="18"/>
              </w:rPr>
              <w:t> </w:t>
            </w:r>
            <w:r>
              <w:rPr>
                <w:sz w:val="18"/>
              </w:rPr>
              <w:t>1988</w:t>
            </w:r>
            <w:r>
              <w:rPr>
                <w:spacing w:val="-4"/>
                <w:sz w:val="18"/>
              </w:rPr>
              <w:t> 2020</w:t>
            </w: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33</w:t>
            </w:r>
            <w:r>
              <w:rPr>
                <w:spacing w:val="-5"/>
                <w:sz w:val="18"/>
              </w:rPr>
              <w:t> </w:t>
            </w:r>
            <w:r>
              <w:rPr>
                <w:sz w:val="18"/>
              </w:rPr>
              <w:t>after</w:t>
            </w:r>
            <w:r>
              <w:rPr>
                <w:spacing w:val="-2"/>
                <w:sz w:val="18"/>
              </w:rPr>
              <w:t> 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11" w:type="dxa"/>
            <w:tcBorders>
              <w:top w:val="double" w:sz="6" w:space="0" w:color="000000"/>
              <w:bottom w:val="double" w:sz="6" w:space="0" w:color="000000"/>
            </w:tcBorders>
          </w:tcPr>
          <w:p>
            <w:pPr>
              <w:pStyle w:val="TableParagraph"/>
              <w:spacing w:line="240" w:lineRule="auto" w:before="108"/>
              <w:ind w:right="94"/>
              <w:jc w:val="right"/>
              <w:rPr>
                <w:sz w:val="18"/>
              </w:rPr>
            </w:pPr>
            <w:r>
              <w:rPr>
                <w:sz w:val="18"/>
              </w:rPr>
              <w:t>t-</w:t>
            </w:r>
            <w:r>
              <w:rPr>
                <w:spacing w:val="-2"/>
                <w:sz w:val="18"/>
              </w:rPr>
              <w:t>Statistic</w:t>
            </w:r>
          </w:p>
        </w:tc>
        <w:tc>
          <w:tcPr>
            <w:tcW w:w="915" w:type="dxa"/>
            <w:tcBorders>
              <w:top w:val="double" w:sz="6" w:space="0" w:color="000000"/>
              <w:bottom w:val="double" w:sz="6" w:space="0" w:color="000000"/>
            </w:tcBorders>
          </w:tcPr>
          <w:p>
            <w:pPr>
              <w:pStyle w:val="TableParagraph"/>
              <w:spacing w:line="240" w:lineRule="auto" w:before="108"/>
              <w:ind w:left="371"/>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547"/>
              <w:rPr>
                <w:sz w:val="18"/>
              </w:rPr>
            </w:pPr>
            <w:r>
              <w:rPr>
                <w:spacing w:val="-2"/>
                <w:sz w:val="18"/>
              </w:rPr>
              <w:t>D(ODA(-</w:t>
            </w:r>
            <w:r>
              <w:rPr>
                <w:spacing w:val="-5"/>
                <w:sz w:val="18"/>
              </w:rPr>
              <w:t>1))</w:t>
            </w:r>
          </w:p>
        </w:tc>
        <w:tc>
          <w:tcPr>
            <w:tcW w:w="1307" w:type="dxa"/>
            <w:tcBorders>
              <w:top w:val="double" w:sz="6" w:space="0" w:color="000000"/>
            </w:tcBorders>
          </w:tcPr>
          <w:p>
            <w:pPr>
              <w:pStyle w:val="TableParagraph"/>
              <w:spacing w:before="108"/>
              <w:ind w:right="105"/>
              <w:jc w:val="right"/>
              <w:rPr>
                <w:sz w:val="18"/>
              </w:rPr>
            </w:pPr>
            <w:r>
              <w:rPr>
                <w:spacing w:val="-2"/>
                <w:sz w:val="18"/>
              </w:rPr>
              <w:t>-1.027635</w:t>
            </w:r>
          </w:p>
        </w:tc>
        <w:tc>
          <w:tcPr>
            <w:tcW w:w="1492" w:type="dxa"/>
            <w:tcBorders>
              <w:top w:val="double" w:sz="6" w:space="0" w:color="000000"/>
            </w:tcBorders>
          </w:tcPr>
          <w:p>
            <w:pPr>
              <w:pStyle w:val="TableParagraph"/>
              <w:spacing w:before="108"/>
              <w:ind w:left="349"/>
              <w:rPr>
                <w:sz w:val="18"/>
              </w:rPr>
            </w:pPr>
            <w:r>
              <w:rPr>
                <w:spacing w:val="-2"/>
                <w:sz w:val="18"/>
              </w:rPr>
              <w:t>0.184562</w:t>
            </w:r>
          </w:p>
        </w:tc>
        <w:tc>
          <w:tcPr>
            <w:tcW w:w="911" w:type="dxa"/>
            <w:tcBorders>
              <w:top w:val="double" w:sz="6" w:space="0" w:color="000000"/>
            </w:tcBorders>
          </w:tcPr>
          <w:p>
            <w:pPr>
              <w:pStyle w:val="TableParagraph"/>
              <w:spacing w:before="108"/>
              <w:ind w:right="94"/>
              <w:jc w:val="right"/>
              <w:rPr>
                <w:sz w:val="18"/>
              </w:rPr>
            </w:pPr>
            <w:r>
              <w:rPr>
                <w:spacing w:val="-2"/>
                <w:sz w:val="18"/>
              </w:rPr>
              <w:t>-5.567952</w:t>
            </w:r>
          </w:p>
        </w:tc>
        <w:tc>
          <w:tcPr>
            <w:tcW w:w="915" w:type="dxa"/>
            <w:tcBorders>
              <w:top w:val="double" w:sz="6" w:space="0" w:color="000000"/>
            </w:tcBorders>
          </w:tcPr>
          <w:p>
            <w:pPr>
              <w:pStyle w:val="TableParagraph"/>
              <w:spacing w:before="108"/>
              <w:ind w:right="10"/>
              <w:jc w:val="right"/>
              <w:rPr>
                <w:sz w:val="18"/>
              </w:rPr>
            </w:pPr>
            <w:r>
              <w:rPr>
                <w:spacing w:val="-2"/>
                <w:sz w:val="18"/>
              </w:rPr>
              <w:t>0.0000</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523.2086</w:t>
            </w:r>
          </w:p>
        </w:tc>
        <w:tc>
          <w:tcPr>
            <w:tcW w:w="1492" w:type="dxa"/>
            <w:tcBorders>
              <w:bottom w:val="double" w:sz="6" w:space="0" w:color="000000"/>
            </w:tcBorders>
          </w:tcPr>
          <w:p>
            <w:pPr>
              <w:pStyle w:val="TableParagraph"/>
              <w:spacing w:line="240" w:lineRule="auto"/>
              <w:ind w:left="349"/>
              <w:rPr>
                <w:sz w:val="18"/>
              </w:rPr>
            </w:pPr>
            <w:r>
              <w:rPr>
                <w:spacing w:val="-2"/>
                <w:sz w:val="18"/>
              </w:rPr>
              <w:t>377.8377</w:t>
            </w:r>
          </w:p>
        </w:tc>
        <w:tc>
          <w:tcPr>
            <w:tcW w:w="911" w:type="dxa"/>
            <w:tcBorders>
              <w:bottom w:val="double" w:sz="6" w:space="0" w:color="000000"/>
            </w:tcBorders>
          </w:tcPr>
          <w:p>
            <w:pPr>
              <w:pStyle w:val="TableParagraph"/>
              <w:spacing w:line="240" w:lineRule="auto"/>
              <w:ind w:right="94"/>
              <w:jc w:val="right"/>
              <w:rPr>
                <w:sz w:val="18"/>
              </w:rPr>
            </w:pPr>
            <w:r>
              <w:rPr>
                <w:spacing w:val="-2"/>
                <w:sz w:val="18"/>
              </w:rPr>
              <w:t>1.384744</w:t>
            </w:r>
          </w:p>
        </w:tc>
        <w:tc>
          <w:tcPr>
            <w:tcW w:w="915" w:type="dxa"/>
            <w:tcBorders>
              <w:bottom w:val="double" w:sz="6" w:space="0" w:color="000000"/>
            </w:tcBorders>
          </w:tcPr>
          <w:p>
            <w:pPr>
              <w:pStyle w:val="TableParagraph"/>
              <w:spacing w:line="240" w:lineRule="auto"/>
              <w:ind w:right="10"/>
              <w:jc w:val="right"/>
              <w:rPr>
                <w:sz w:val="18"/>
              </w:rPr>
            </w:pPr>
            <w:r>
              <w:rPr>
                <w:spacing w:val="-2"/>
                <w:sz w:val="18"/>
              </w:rPr>
              <w:t>0.1760</w:t>
            </w:r>
          </w:p>
        </w:tc>
      </w:tr>
      <w:tr>
        <w:trPr>
          <w:trHeight w:val="326" w:hRule="atLeast"/>
        </w:trPr>
        <w:tc>
          <w:tcPr>
            <w:tcW w:w="1910" w:type="dxa"/>
            <w:tcBorders>
              <w:top w:val="double" w:sz="6" w:space="0" w:color="000000"/>
            </w:tcBorders>
          </w:tcPr>
          <w:p>
            <w:pPr>
              <w:pStyle w:val="TableParagraph"/>
              <w:spacing w:line="198" w:lineRule="exact" w:before="108"/>
              <w:rPr>
                <w:sz w:val="18"/>
              </w:rPr>
            </w:pPr>
            <w:r>
              <w:rPr>
                <w:spacing w:val="-2"/>
                <w:sz w:val="18"/>
              </w:rPr>
              <w:t>R-squared</w:t>
            </w:r>
          </w:p>
        </w:tc>
        <w:tc>
          <w:tcPr>
            <w:tcW w:w="1307" w:type="dxa"/>
            <w:tcBorders>
              <w:top w:val="double" w:sz="6" w:space="0" w:color="000000"/>
            </w:tcBorders>
          </w:tcPr>
          <w:p>
            <w:pPr>
              <w:pStyle w:val="TableParagraph"/>
              <w:spacing w:line="198" w:lineRule="exact" w:before="108"/>
              <w:ind w:right="105"/>
              <w:jc w:val="right"/>
              <w:rPr>
                <w:sz w:val="18"/>
              </w:rPr>
            </w:pPr>
            <w:r>
              <w:rPr>
                <w:spacing w:val="-2"/>
                <w:sz w:val="18"/>
              </w:rPr>
              <w:t>0.500017</w:t>
            </w:r>
          </w:p>
        </w:tc>
        <w:tc>
          <w:tcPr>
            <w:tcW w:w="2403" w:type="dxa"/>
            <w:gridSpan w:val="2"/>
            <w:tcBorders>
              <w:top w:val="double" w:sz="6" w:space="0" w:color="000000"/>
            </w:tcBorders>
          </w:tcPr>
          <w:p>
            <w:pPr>
              <w:pStyle w:val="TableParagraph"/>
              <w:spacing w:line="198" w:lineRule="exact" w:before="108"/>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915" w:type="dxa"/>
            <w:tcBorders>
              <w:top w:val="double" w:sz="6" w:space="0" w:color="000000"/>
            </w:tcBorders>
          </w:tcPr>
          <w:p>
            <w:pPr>
              <w:pStyle w:val="TableParagraph"/>
              <w:spacing w:line="198" w:lineRule="exact" w:before="108"/>
              <w:ind w:right="10"/>
              <w:jc w:val="right"/>
              <w:rPr>
                <w:sz w:val="18"/>
              </w:rPr>
            </w:pPr>
            <w:r>
              <w:rPr>
                <w:spacing w:val="-2"/>
                <w:sz w:val="18"/>
              </w:rPr>
              <w:t>-66.65364</w:t>
            </w:r>
          </w:p>
        </w:tc>
      </w:tr>
      <w:tr>
        <w:trPr>
          <w:trHeight w:val="224" w:hRule="atLeast"/>
        </w:trPr>
        <w:tc>
          <w:tcPr>
            <w:tcW w:w="1910"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spacing w:before="5"/>
              <w:ind w:right="105"/>
              <w:jc w:val="right"/>
              <w:rPr>
                <w:sz w:val="18"/>
              </w:rPr>
            </w:pPr>
            <w:r>
              <w:rPr>
                <w:spacing w:val="-2"/>
                <w:sz w:val="18"/>
              </w:rPr>
              <w:t>0.483888</w:t>
            </w:r>
          </w:p>
        </w:tc>
        <w:tc>
          <w:tcPr>
            <w:tcW w:w="2403" w:type="dxa"/>
            <w:gridSpan w:val="2"/>
          </w:tcPr>
          <w:p>
            <w:pPr>
              <w:pStyle w:val="TableParagraph"/>
              <w:spacing w:before="5"/>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915" w:type="dxa"/>
          </w:tcPr>
          <w:p>
            <w:pPr>
              <w:pStyle w:val="TableParagraph"/>
              <w:spacing w:before="5"/>
              <w:ind w:right="10"/>
              <w:jc w:val="right"/>
              <w:rPr>
                <w:sz w:val="18"/>
              </w:rPr>
            </w:pPr>
            <w:r>
              <w:rPr>
                <w:spacing w:val="-2"/>
                <w:sz w:val="18"/>
              </w:rPr>
              <w:t>2900.089</w:t>
            </w:r>
          </w:p>
        </w:tc>
      </w:tr>
      <w:tr>
        <w:trPr>
          <w:trHeight w:val="225" w:hRule="atLeast"/>
        </w:trPr>
        <w:tc>
          <w:tcPr>
            <w:tcW w:w="1910" w:type="dxa"/>
          </w:tcPr>
          <w:p>
            <w:pPr>
              <w:pStyle w:val="TableParagraph"/>
              <w:rPr>
                <w:sz w:val="18"/>
              </w:rPr>
            </w:pPr>
            <w:r>
              <w:rPr>
                <w:sz w:val="18"/>
              </w:rPr>
              <w:t>S.E.</w:t>
            </w:r>
            <w:r>
              <w:rPr>
                <w:spacing w:val="-2"/>
                <w:sz w:val="18"/>
              </w:rPr>
              <w:t> </w:t>
            </w:r>
            <w:r>
              <w:rPr>
                <w:sz w:val="18"/>
              </w:rPr>
              <w:t>of </w:t>
            </w:r>
            <w:r>
              <w:rPr>
                <w:spacing w:val="-2"/>
                <w:sz w:val="18"/>
              </w:rPr>
              <w:t>regression</w:t>
            </w:r>
          </w:p>
        </w:tc>
        <w:tc>
          <w:tcPr>
            <w:tcW w:w="1307" w:type="dxa"/>
          </w:tcPr>
          <w:p>
            <w:pPr>
              <w:pStyle w:val="TableParagraph"/>
              <w:ind w:right="105"/>
              <w:jc w:val="right"/>
              <w:rPr>
                <w:sz w:val="18"/>
              </w:rPr>
            </w:pPr>
            <w:r>
              <w:rPr>
                <w:spacing w:val="-2"/>
                <w:sz w:val="18"/>
              </w:rPr>
              <w:t>2083.450</w:t>
            </w:r>
          </w:p>
        </w:tc>
        <w:tc>
          <w:tcPr>
            <w:tcW w:w="2403" w:type="dxa"/>
            <w:gridSpan w:val="2"/>
          </w:tcPr>
          <w:p>
            <w:pPr>
              <w:pStyle w:val="TableParagraph"/>
              <w:ind w:left="105"/>
              <w:rPr>
                <w:sz w:val="18"/>
              </w:rPr>
            </w:pPr>
            <w:r>
              <w:rPr>
                <w:sz w:val="18"/>
              </w:rPr>
              <w:t>Akaike</w:t>
            </w:r>
            <w:r>
              <w:rPr>
                <w:spacing w:val="-3"/>
                <w:sz w:val="18"/>
              </w:rPr>
              <w:t> </w:t>
            </w:r>
            <w:r>
              <w:rPr>
                <w:sz w:val="18"/>
              </w:rPr>
              <w:t>info</w:t>
            </w:r>
            <w:r>
              <w:rPr>
                <w:spacing w:val="-2"/>
                <w:sz w:val="18"/>
              </w:rPr>
              <w:t> criterion</w:t>
            </w:r>
          </w:p>
        </w:tc>
        <w:tc>
          <w:tcPr>
            <w:tcW w:w="915" w:type="dxa"/>
          </w:tcPr>
          <w:p>
            <w:pPr>
              <w:pStyle w:val="TableParagraph"/>
              <w:ind w:right="10"/>
              <w:jc w:val="right"/>
              <w:rPr>
                <w:sz w:val="18"/>
              </w:rPr>
            </w:pPr>
            <w:r>
              <w:rPr>
                <w:spacing w:val="-2"/>
                <w:sz w:val="18"/>
              </w:rPr>
              <w:t>18.18013</w:t>
            </w:r>
          </w:p>
        </w:tc>
      </w:tr>
      <w:tr>
        <w:trPr>
          <w:trHeight w:val="225" w:hRule="atLeast"/>
        </w:trPr>
        <w:tc>
          <w:tcPr>
            <w:tcW w:w="1910"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307" w:type="dxa"/>
          </w:tcPr>
          <w:p>
            <w:pPr>
              <w:pStyle w:val="TableParagraph"/>
              <w:ind w:right="105"/>
              <w:jc w:val="right"/>
              <w:rPr>
                <w:sz w:val="18"/>
              </w:rPr>
            </w:pPr>
            <w:r>
              <w:rPr>
                <w:spacing w:val="-2"/>
                <w:sz w:val="18"/>
              </w:rPr>
              <w:t>1.35E+08</w:t>
            </w:r>
          </w:p>
        </w:tc>
        <w:tc>
          <w:tcPr>
            <w:tcW w:w="1492" w:type="dxa"/>
          </w:tcPr>
          <w:p>
            <w:pPr>
              <w:pStyle w:val="TableParagraph"/>
              <w:ind w:left="105"/>
              <w:rPr>
                <w:sz w:val="18"/>
              </w:rPr>
            </w:pPr>
            <w:r>
              <w:rPr>
                <w:sz w:val="18"/>
              </w:rPr>
              <w:t>Schwarz</w:t>
            </w:r>
            <w:r>
              <w:rPr>
                <w:spacing w:val="-4"/>
                <w:sz w:val="18"/>
              </w:rPr>
              <w:t> </w:t>
            </w:r>
            <w:r>
              <w:rPr>
                <w:spacing w:val="-2"/>
                <w:sz w:val="18"/>
              </w:rPr>
              <w:t>criterion</w:t>
            </w:r>
          </w:p>
        </w:tc>
        <w:tc>
          <w:tcPr>
            <w:tcW w:w="911" w:type="dxa"/>
          </w:tcPr>
          <w:p>
            <w:pPr>
              <w:pStyle w:val="TableParagraph"/>
              <w:spacing w:line="240" w:lineRule="auto" w:before="0"/>
              <w:rPr>
                <w:rFonts w:ascii="Times New Roman"/>
                <w:sz w:val="16"/>
              </w:rPr>
            </w:pPr>
          </w:p>
        </w:tc>
        <w:tc>
          <w:tcPr>
            <w:tcW w:w="915" w:type="dxa"/>
          </w:tcPr>
          <w:p>
            <w:pPr>
              <w:pStyle w:val="TableParagraph"/>
              <w:ind w:right="10"/>
              <w:jc w:val="right"/>
              <w:rPr>
                <w:sz w:val="18"/>
              </w:rPr>
            </w:pPr>
            <w:r>
              <w:rPr>
                <w:spacing w:val="-2"/>
                <w:sz w:val="18"/>
              </w:rPr>
              <w:t>18.27083</w:t>
            </w:r>
          </w:p>
        </w:tc>
      </w:tr>
      <w:tr>
        <w:trPr>
          <w:trHeight w:val="224" w:hRule="atLeast"/>
        </w:trPr>
        <w:tc>
          <w:tcPr>
            <w:tcW w:w="1910" w:type="dxa"/>
          </w:tcPr>
          <w:p>
            <w:pPr>
              <w:pStyle w:val="TableParagraph"/>
              <w:spacing w:line="198" w:lineRule="exact"/>
              <w:rPr>
                <w:sz w:val="18"/>
              </w:rPr>
            </w:pPr>
            <w:r>
              <w:rPr>
                <w:sz w:val="18"/>
              </w:rPr>
              <w:t>Log</w:t>
            </w:r>
            <w:r>
              <w:rPr>
                <w:spacing w:val="-3"/>
                <w:sz w:val="18"/>
              </w:rPr>
              <w:t> </w:t>
            </w:r>
            <w:r>
              <w:rPr>
                <w:spacing w:val="-2"/>
                <w:sz w:val="18"/>
              </w:rPr>
              <w:t>likelihood</w:t>
            </w:r>
          </w:p>
        </w:tc>
        <w:tc>
          <w:tcPr>
            <w:tcW w:w="1307" w:type="dxa"/>
          </w:tcPr>
          <w:p>
            <w:pPr>
              <w:pStyle w:val="TableParagraph"/>
              <w:spacing w:line="198" w:lineRule="exact"/>
              <w:ind w:right="105"/>
              <w:jc w:val="right"/>
              <w:rPr>
                <w:sz w:val="18"/>
              </w:rPr>
            </w:pPr>
            <w:r>
              <w:rPr>
                <w:spacing w:val="-2"/>
                <w:sz w:val="18"/>
              </w:rPr>
              <w:t>-297.9721</w:t>
            </w:r>
          </w:p>
        </w:tc>
        <w:tc>
          <w:tcPr>
            <w:tcW w:w="2403" w:type="dxa"/>
            <w:gridSpan w:val="2"/>
          </w:tcPr>
          <w:p>
            <w:pPr>
              <w:pStyle w:val="TableParagraph"/>
              <w:spacing w:line="198" w:lineRule="exact"/>
              <w:ind w:left="105"/>
              <w:rPr>
                <w:sz w:val="18"/>
              </w:rPr>
            </w:pPr>
            <w:r>
              <w:rPr>
                <w:spacing w:val="-2"/>
                <w:sz w:val="18"/>
              </w:rPr>
              <w:t>Hannan-Quinn</w:t>
            </w:r>
            <w:r>
              <w:rPr>
                <w:spacing w:val="11"/>
                <w:sz w:val="18"/>
              </w:rPr>
              <w:t> </w:t>
            </w:r>
            <w:r>
              <w:rPr>
                <w:spacing w:val="-2"/>
                <w:sz w:val="18"/>
              </w:rPr>
              <w:t>criter.</w:t>
            </w:r>
          </w:p>
        </w:tc>
        <w:tc>
          <w:tcPr>
            <w:tcW w:w="915" w:type="dxa"/>
          </w:tcPr>
          <w:p>
            <w:pPr>
              <w:pStyle w:val="TableParagraph"/>
              <w:spacing w:line="198" w:lineRule="exact"/>
              <w:ind w:right="10"/>
              <w:jc w:val="right"/>
              <w:rPr>
                <w:sz w:val="18"/>
              </w:rPr>
            </w:pPr>
            <w:r>
              <w:rPr>
                <w:spacing w:val="-2"/>
                <w:sz w:val="18"/>
              </w:rPr>
              <w:t>18.21065</w:t>
            </w:r>
          </w:p>
        </w:tc>
      </w:tr>
      <w:tr>
        <w:trPr>
          <w:trHeight w:val="224" w:hRule="atLeast"/>
        </w:trPr>
        <w:tc>
          <w:tcPr>
            <w:tcW w:w="1910" w:type="dxa"/>
          </w:tcPr>
          <w:p>
            <w:pPr>
              <w:pStyle w:val="TableParagraph"/>
              <w:spacing w:before="5"/>
              <w:rPr>
                <w:sz w:val="18"/>
              </w:rPr>
            </w:pPr>
            <w:r>
              <w:rPr>
                <w:spacing w:val="-2"/>
                <w:sz w:val="18"/>
              </w:rPr>
              <w:t>F-statistic</w:t>
            </w:r>
          </w:p>
        </w:tc>
        <w:tc>
          <w:tcPr>
            <w:tcW w:w="1307" w:type="dxa"/>
          </w:tcPr>
          <w:p>
            <w:pPr>
              <w:pStyle w:val="TableParagraph"/>
              <w:spacing w:before="5"/>
              <w:ind w:right="105"/>
              <w:jc w:val="right"/>
              <w:rPr>
                <w:sz w:val="18"/>
              </w:rPr>
            </w:pPr>
            <w:r>
              <w:rPr>
                <w:spacing w:val="-2"/>
                <w:sz w:val="18"/>
              </w:rPr>
              <w:t>31.00209</w:t>
            </w:r>
          </w:p>
        </w:tc>
        <w:tc>
          <w:tcPr>
            <w:tcW w:w="2403" w:type="dxa"/>
            <w:gridSpan w:val="2"/>
          </w:tcPr>
          <w:p>
            <w:pPr>
              <w:pStyle w:val="TableParagraph"/>
              <w:spacing w:before="5"/>
              <w:ind w:left="105"/>
              <w:rPr>
                <w:sz w:val="18"/>
              </w:rPr>
            </w:pPr>
            <w:r>
              <w:rPr>
                <w:spacing w:val="-2"/>
                <w:sz w:val="18"/>
              </w:rPr>
              <w:t>Durbin-Watson</w:t>
            </w:r>
            <w:r>
              <w:rPr>
                <w:spacing w:val="13"/>
                <w:sz w:val="18"/>
              </w:rPr>
              <w:t> </w:t>
            </w:r>
            <w:r>
              <w:rPr>
                <w:spacing w:val="-4"/>
                <w:sz w:val="18"/>
              </w:rPr>
              <w:t>stat</w:t>
            </w:r>
          </w:p>
        </w:tc>
        <w:tc>
          <w:tcPr>
            <w:tcW w:w="915" w:type="dxa"/>
          </w:tcPr>
          <w:p>
            <w:pPr>
              <w:pStyle w:val="TableParagraph"/>
              <w:spacing w:before="5"/>
              <w:ind w:right="10"/>
              <w:jc w:val="right"/>
              <w:rPr>
                <w:sz w:val="18"/>
              </w:rPr>
            </w:pPr>
            <w:r>
              <w:rPr>
                <w:spacing w:val="-2"/>
                <w:sz w:val="18"/>
              </w:rPr>
              <w:t>1.965382</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0.000004</w:t>
            </w:r>
          </w:p>
        </w:tc>
        <w:tc>
          <w:tcPr>
            <w:tcW w:w="2403" w:type="dxa"/>
            <w:gridSpan w:val="2"/>
            <w:tcBorders>
              <w:bottom w:val="double" w:sz="6" w:space="0" w:color="000000"/>
            </w:tcBorders>
          </w:tcPr>
          <w:p>
            <w:pPr>
              <w:pStyle w:val="TableParagraph"/>
              <w:spacing w:line="240" w:lineRule="auto" w:before="0"/>
              <w:rPr>
                <w:rFonts w:ascii="Times New Roman"/>
                <w:sz w:val="18"/>
              </w:rPr>
            </w:pPr>
          </w:p>
        </w:tc>
        <w:tc>
          <w:tcPr>
            <w:tcW w:w="915"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32736">
                <wp:simplePos x="0" y="0"/>
                <wp:positionH relativeFrom="page">
                  <wp:posOffset>950112</wp:posOffset>
                </wp:positionH>
                <wp:positionV relativeFrom="page">
                  <wp:posOffset>5495962</wp:posOffset>
                </wp:positionV>
                <wp:extent cx="2223770" cy="2362200"/>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83744" id="docshape263"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33248">
                <wp:simplePos x="0" y="0"/>
                <wp:positionH relativeFrom="page">
                  <wp:posOffset>2872486</wp:posOffset>
                </wp:positionH>
                <wp:positionV relativeFrom="page">
                  <wp:posOffset>2197353</wp:posOffset>
                </wp:positionV>
                <wp:extent cx="3583304" cy="3612515"/>
                <wp:effectExtent l="0" t="0" r="0" b="0"/>
                <wp:wrapNone/>
                <wp:docPr id="264" name="Graphic 264"/>
                <wp:cNvGraphicFramePr>
                  <a:graphicFrameLocks/>
                </wp:cNvGraphicFramePr>
                <a:graphic>
                  <a:graphicData uri="http://schemas.microsoft.com/office/word/2010/wordprocessingShape">
                    <wps:wsp>
                      <wps:cNvPr id="264" name="Graphic 264"/>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83232" id="docshape264"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492"/>
        <w:gridCol w:w="941"/>
        <w:gridCol w:w="885"/>
      </w:tblGrid>
      <w:tr>
        <w:trPr>
          <w:trHeight w:val="213" w:hRule="atLeast"/>
        </w:trPr>
        <w:tc>
          <w:tcPr>
            <w:tcW w:w="6535" w:type="dxa"/>
            <w:gridSpan w:val="5"/>
          </w:tcPr>
          <w:p>
            <w:pPr>
              <w:pStyle w:val="TableParagraph"/>
              <w:spacing w:line="193" w:lineRule="exact" w:before="0"/>
              <w:rPr>
                <w:sz w:val="18"/>
              </w:rPr>
            </w:pPr>
            <w:r>
              <w:rPr>
                <w:sz w:val="18"/>
              </w:rPr>
              <w:t>Null</w:t>
            </w:r>
            <w:r>
              <w:rPr>
                <w:spacing w:val="-3"/>
                <w:sz w:val="18"/>
              </w:rPr>
              <w:t> </w:t>
            </w:r>
            <w:r>
              <w:rPr>
                <w:sz w:val="18"/>
              </w:rPr>
              <w:t>Hypothesis:</w:t>
            </w:r>
            <w:r>
              <w:rPr>
                <w:spacing w:val="-3"/>
                <w:sz w:val="18"/>
              </w:rPr>
              <w:t> </w:t>
            </w:r>
            <w:r>
              <w:rPr>
                <w:sz w:val="18"/>
              </w:rPr>
              <w:t>INT</w:t>
            </w:r>
            <w:r>
              <w:rPr>
                <w:spacing w:val="-4"/>
                <w:sz w:val="18"/>
              </w:rPr>
              <w:t> </w:t>
            </w:r>
            <w:r>
              <w:rPr>
                <w:sz w:val="18"/>
              </w:rPr>
              <w:t>has</w:t>
            </w:r>
            <w:r>
              <w:rPr>
                <w:spacing w:val="-1"/>
                <w:sz w:val="18"/>
              </w:rPr>
              <w:t> </w:t>
            </w:r>
            <w:r>
              <w:rPr>
                <w:sz w:val="18"/>
              </w:rPr>
              <w:t>a</w:t>
            </w:r>
            <w:r>
              <w:rPr>
                <w:spacing w:val="-5"/>
                <w:sz w:val="18"/>
              </w:rPr>
              <w:t> </w:t>
            </w:r>
            <w:r>
              <w:rPr>
                <w:sz w:val="18"/>
              </w:rPr>
              <w:t>unit</w:t>
            </w:r>
            <w:r>
              <w:rPr>
                <w:spacing w:val="-2"/>
                <w:sz w:val="18"/>
              </w:rPr>
              <w:t> </w:t>
            </w:r>
            <w:r>
              <w:rPr>
                <w:spacing w:val="-4"/>
                <w:sz w:val="18"/>
              </w:rPr>
              <w:t>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Lag</w:t>
            </w:r>
            <w:r>
              <w:rPr>
                <w:spacing w:val="-5"/>
                <w:sz w:val="18"/>
              </w:rPr>
              <w:t> </w:t>
            </w:r>
            <w:r>
              <w:rPr>
                <w:sz w:val="18"/>
              </w:rPr>
              <w:t>Length:</w:t>
            </w:r>
            <w:r>
              <w:rPr>
                <w:spacing w:val="-2"/>
                <w:sz w:val="18"/>
              </w:rPr>
              <w:t> </w:t>
            </w:r>
            <w:r>
              <w:rPr>
                <w:sz w:val="18"/>
              </w:rPr>
              <w:t>0 (Automatic -</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3"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182"/>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33" w:type="dxa"/>
            <w:gridSpan w:val="2"/>
            <w:tcBorders>
              <w:top w:val="double" w:sz="6" w:space="0" w:color="000000"/>
              <w:bottom w:val="single" w:sz="6" w:space="0" w:color="000000"/>
            </w:tcBorders>
          </w:tcPr>
          <w:p>
            <w:pPr>
              <w:pStyle w:val="TableParagraph"/>
              <w:spacing w:line="187" w:lineRule="exact" w:before="108"/>
              <w:ind w:left="1305"/>
              <w:rPr>
                <w:sz w:val="18"/>
              </w:rPr>
            </w:pPr>
            <w:r>
              <w:rPr>
                <w:spacing w:val="-2"/>
                <w:sz w:val="18"/>
              </w:rPr>
              <w:t>-3.427332</w:t>
            </w:r>
          </w:p>
        </w:tc>
        <w:tc>
          <w:tcPr>
            <w:tcW w:w="885" w:type="dxa"/>
            <w:tcBorders>
              <w:top w:val="double" w:sz="6" w:space="0" w:color="000000"/>
              <w:bottom w:val="single" w:sz="6" w:space="0" w:color="000000"/>
            </w:tcBorders>
          </w:tcPr>
          <w:p>
            <w:pPr>
              <w:pStyle w:val="TableParagraph"/>
              <w:spacing w:line="187" w:lineRule="exact" w:before="108"/>
              <w:ind w:left="132"/>
              <w:rPr>
                <w:sz w:val="18"/>
              </w:rPr>
            </w:pPr>
            <w:r>
              <w:rPr>
                <w:spacing w:val="-2"/>
                <w:sz w:val="18"/>
              </w:rPr>
              <w:t>0.0868</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7"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33" w:type="dxa"/>
            <w:gridSpan w:val="2"/>
            <w:tcBorders>
              <w:top w:val="single" w:sz="6" w:space="0" w:color="000000"/>
            </w:tcBorders>
          </w:tcPr>
          <w:p>
            <w:pPr>
              <w:pStyle w:val="TableParagraph"/>
              <w:spacing w:before="18"/>
              <w:ind w:left="1305"/>
              <w:rPr>
                <w:sz w:val="18"/>
              </w:rPr>
            </w:pPr>
            <w:r>
              <w:rPr>
                <w:spacing w:val="-2"/>
                <w:sz w:val="18"/>
              </w:rPr>
              <w:t>-3.639407</w:t>
            </w:r>
          </w:p>
        </w:tc>
        <w:tc>
          <w:tcPr>
            <w:tcW w:w="885"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7" w:type="dxa"/>
          </w:tcPr>
          <w:p>
            <w:pPr>
              <w:pStyle w:val="TableParagraph"/>
              <w:ind w:left="317"/>
              <w:rPr>
                <w:sz w:val="18"/>
              </w:rPr>
            </w:pPr>
            <w:r>
              <w:rPr>
                <w:sz w:val="18"/>
              </w:rPr>
              <w:t>5%</w:t>
            </w:r>
            <w:r>
              <w:rPr>
                <w:spacing w:val="-3"/>
                <w:sz w:val="18"/>
              </w:rPr>
              <w:t> </w:t>
            </w:r>
            <w:r>
              <w:rPr>
                <w:spacing w:val="-2"/>
                <w:sz w:val="18"/>
              </w:rPr>
              <w:t>level</w:t>
            </w:r>
          </w:p>
        </w:tc>
        <w:tc>
          <w:tcPr>
            <w:tcW w:w="2433" w:type="dxa"/>
            <w:gridSpan w:val="2"/>
          </w:tcPr>
          <w:p>
            <w:pPr>
              <w:pStyle w:val="TableParagraph"/>
              <w:ind w:left="1305"/>
              <w:rPr>
                <w:sz w:val="18"/>
              </w:rPr>
            </w:pPr>
            <w:r>
              <w:rPr>
                <w:spacing w:val="-2"/>
                <w:sz w:val="18"/>
              </w:rPr>
              <w:t>-2.951125</w:t>
            </w:r>
          </w:p>
        </w:tc>
        <w:tc>
          <w:tcPr>
            <w:tcW w:w="885"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33" w:type="dxa"/>
            <w:gridSpan w:val="2"/>
            <w:tcBorders>
              <w:bottom w:val="double" w:sz="6" w:space="0" w:color="000000"/>
            </w:tcBorders>
          </w:tcPr>
          <w:p>
            <w:pPr>
              <w:pStyle w:val="TableParagraph"/>
              <w:spacing w:line="240" w:lineRule="auto"/>
              <w:ind w:left="1305"/>
              <w:rPr>
                <w:sz w:val="18"/>
              </w:rPr>
            </w:pPr>
            <w:r>
              <w:rPr>
                <w:spacing w:val="-2"/>
                <w:sz w:val="18"/>
              </w:rPr>
              <w:t>-2.614300</w:t>
            </w:r>
          </w:p>
        </w:tc>
        <w:tc>
          <w:tcPr>
            <w:tcW w:w="885"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5"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5"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5"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D(INT)</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225" w:hRule="atLeast"/>
        </w:trPr>
        <w:tc>
          <w:tcPr>
            <w:tcW w:w="6535" w:type="dxa"/>
            <w:gridSpan w:val="5"/>
          </w:tcPr>
          <w:p>
            <w:pPr>
              <w:pStyle w:val="TableParagraph"/>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06:16</w:t>
            </w:r>
          </w:p>
        </w:tc>
      </w:tr>
      <w:tr>
        <w:trPr>
          <w:trHeight w:val="224" w:hRule="atLeast"/>
        </w:trPr>
        <w:tc>
          <w:tcPr>
            <w:tcW w:w="6535"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1987</w:t>
            </w:r>
            <w:r>
              <w:rPr>
                <w:spacing w:val="-4"/>
                <w:sz w:val="18"/>
              </w:rPr>
              <w:t> 2020</w:t>
            </w: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34</w:t>
            </w:r>
            <w:r>
              <w:rPr>
                <w:spacing w:val="-5"/>
                <w:sz w:val="18"/>
              </w:rPr>
              <w:t> </w:t>
            </w:r>
            <w:r>
              <w:rPr>
                <w:sz w:val="18"/>
              </w:rPr>
              <w:t>after</w:t>
            </w:r>
            <w:r>
              <w:rPr>
                <w:spacing w:val="1"/>
                <w:sz w:val="18"/>
              </w:rPr>
              <w:t> </w:t>
            </w:r>
            <w:r>
              <w:rPr>
                <w:spacing w:val="-2"/>
                <w:sz w:val="18"/>
              </w:rPr>
              <w:t>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41" w:type="dxa"/>
            <w:tcBorders>
              <w:top w:val="double" w:sz="6" w:space="0" w:color="000000"/>
              <w:bottom w:val="double" w:sz="6" w:space="0" w:color="000000"/>
            </w:tcBorders>
          </w:tcPr>
          <w:p>
            <w:pPr>
              <w:pStyle w:val="TableParagraph"/>
              <w:spacing w:line="240" w:lineRule="auto" w:before="108"/>
              <w:ind w:right="124"/>
              <w:jc w:val="right"/>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341"/>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722"/>
              <w:rPr>
                <w:sz w:val="18"/>
              </w:rPr>
            </w:pPr>
            <w:r>
              <w:rPr>
                <w:spacing w:val="-2"/>
                <w:sz w:val="18"/>
              </w:rPr>
              <w:t>INT(-</w:t>
            </w:r>
            <w:r>
              <w:rPr>
                <w:spacing w:val="-5"/>
                <w:sz w:val="18"/>
              </w:rPr>
              <w:t>1)</w:t>
            </w:r>
          </w:p>
        </w:tc>
        <w:tc>
          <w:tcPr>
            <w:tcW w:w="1307" w:type="dxa"/>
            <w:tcBorders>
              <w:top w:val="double" w:sz="6" w:space="0" w:color="000000"/>
            </w:tcBorders>
          </w:tcPr>
          <w:p>
            <w:pPr>
              <w:pStyle w:val="TableParagraph"/>
              <w:spacing w:before="108"/>
              <w:ind w:right="105"/>
              <w:jc w:val="right"/>
              <w:rPr>
                <w:sz w:val="18"/>
              </w:rPr>
            </w:pPr>
            <w:r>
              <w:rPr>
                <w:spacing w:val="-2"/>
                <w:sz w:val="18"/>
              </w:rPr>
              <w:t>-0.517209</w:t>
            </w:r>
          </w:p>
        </w:tc>
        <w:tc>
          <w:tcPr>
            <w:tcW w:w="1492" w:type="dxa"/>
            <w:tcBorders>
              <w:top w:val="double" w:sz="6" w:space="0" w:color="000000"/>
            </w:tcBorders>
          </w:tcPr>
          <w:p>
            <w:pPr>
              <w:pStyle w:val="TableParagraph"/>
              <w:spacing w:before="108"/>
              <w:ind w:left="349"/>
              <w:rPr>
                <w:sz w:val="18"/>
              </w:rPr>
            </w:pPr>
            <w:r>
              <w:rPr>
                <w:spacing w:val="-2"/>
                <w:sz w:val="18"/>
              </w:rPr>
              <w:t>0.150907</w:t>
            </w:r>
          </w:p>
        </w:tc>
        <w:tc>
          <w:tcPr>
            <w:tcW w:w="941" w:type="dxa"/>
            <w:tcBorders>
              <w:top w:val="double" w:sz="6" w:space="0" w:color="000000"/>
            </w:tcBorders>
          </w:tcPr>
          <w:p>
            <w:pPr>
              <w:pStyle w:val="TableParagraph"/>
              <w:spacing w:before="108"/>
              <w:ind w:right="124"/>
              <w:jc w:val="right"/>
              <w:rPr>
                <w:sz w:val="18"/>
              </w:rPr>
            </w:pPr>
            <w:r>
              <w:rPr>
                <w:spacing w:val="-2"/>
                <w:sz w:val="18"/>
              </w:rPr>
              <w:t>-3.427332</w:t>
            </w:r>
          </w:p>
        </w:tc>
        <w:tc>
          <w:tcPr>
            <w:tcW w:w="885" w:type="dxa"/>
            <w:tcBorders>
              <w:top w:val="double" w:sz="6" w:space="0" w:color="000000"/>
            </w:tcBorders>
          </w:tcPr>
          <w:p>
            <w:pPr>
              <w:pStyle w:val="TableParagraph"/>
              <w:spacing w:before="108"/>
              <w:ind w:right="10"/>
              <w:jc w:val="right"/>
              <w:rPr>
                <w:sz w:val="18"/>
              </w:rPr>
            </w:pPr>
            <w:r>
              <w:rPr>
                <w:spacing w:val="-2"/>
                <w:sz w:val="18"/>
              </w:rPr>
              <w:t>0.0017</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9.990485</w:t>
            </w:r>
          </w:p>
        </w:tc>
        <w:tc>
          <w:tcPr>
            <w:tcW w:w="1492" w:type="dxa"/>
            <w:tcBorders>
              <w:bottom w:val="double" w:sz="6" w:space="0" w:color="000000"/>
            </w:tcBorders>
          </w:tcPr>
          <w:p>
            <w:pPr>
              <w:pStyle w:val="TableParagraph"/>
              <w:spacing w:line="240" w:lineRule="auto"/>
              <w:ind w:left="349"/>
              <w:rPr>
                <w:sz w:val="18"/>
              </w:rPr>
            </w:pPr>
            <w:r>
              <w:rPr>
                <w:spacing w:val="-2"/>
                <w:sz w:val="18"/>
              </w:rPr>
              <w:t>2.984307</w:t>
            </w:r>
          </w:p>
        </w:tc>
        <w:tc>
          <w:tcPr>
            <w:tcW w:w="941" w:type="dxa"/>
            <w:tcBorders>
              <w:bottom w:val="double" w:sz="6" w:space="0" w:color="000000"/>
            </w:tcBorders>
          </w:tcPr>
          <w:p>
            <w:pPr>
              <w:pStyle w:val="TableParagraph"/>
              <w:spacing w:line="240" w:lineRule="auto"/>
              <w:ind w:right="124"/>
              <w:jc w:val="right"/>
              <w:rPr>
                <w:sz w:val="18"/>
              </w:rPr>
            </w:pPr>
            <w:r>
              <w:rPr>
                <w:spacing w:val="-2"/>
                <w:sz w:val="18"/>
              </w:rPr>
              <w:t>3.347673</w:t>
            </w:r>
          </w:p>
        </w:tc>
        <w:tc>
          <w:tcPr>
            <w:tcW w:w="885" w:type="dxa"/>
            <w:tcBorders>
              <w:bottom w:val="double" w:sz="6" w:space="0" w:color="000000"/>
            </w:tcBorders>
          </w:tcPr>
          <w:p>
            <w:pPr>
              <w:pStyle w:val="TableParagraph"/>
              <w:spacing w:line="240" w:lineRule="auto"/>
              <w:ind w:right="10"/>
              <w:jc w:val="right"/>
              <w:rPr>
                <w:sz w:val="18"/>
              </w:rPr>
            </w:pPr>
            <w:r>
              <w:rPr>
                <w:spacing w:val="-2"/>
                <w:sz w:val="18"/>
              </w:rPr>
              <w:t>0.0021</w:t>
            </w:r>
          </w:p>
        </w:tc>
      </w:tr>
      <w:tr>
        <w:trPr>
          <w:trHeight w:val="326" w:hRule="atLeast"/>
        </w:trPr>
        <w:tc>
          <w:tcPr>
            <w:tcW w:w="1910" w:type="dxa"/>
            <w:tcBorders>
              <w:top w:val="double" w:sz="6" w:space="0" w:color="000000"/>
            </w:tcBorders>
          </w:tcPr>
          <w:p>
            <w:pPr>
              <w:pStyle w:val="TableParagraph"/>
              <w:spacing w:line="198" w:lineRule="exact" w:before="108"/>
              <w:rPr>
                <w:sz w:val="18"/>
              </w:rPr>
            </w:pPr>
            <w:r>
              <w:rPr>
                <w:spacing w:val="-2"/>
                <w:sz w:val="18"/>
              </w:rPr>
              <w:t>R-squared</w:t>
            </w:r>
          </w:p>
        </w:tc>
        <w:tc>
          <w:tcPr>
            <w:tcW w:w="1307" w:type="dxa"/>
            <w:tcBorders>
              <w:top w:val="double" w:sz="6" w:space="0" w:color="000000"/>
            </w:tcBorders>
          </w:tcPr>
          <w:p>
            <w:pPr>
              <w:pStyle w:val="TableParagraph"/>
              <w:spacing w:line="198" w:lineRule="exact" w:before="108"/>
              <w:ind w:right="105"/>
              <w:jc w:val="right"/>
              <w:rPr>
                <w:sz w:val="18"/>
              </w:rPr>
            </w:pPr>
            <w:r>
              <w:rPr>
                <w:spacing w:val="-2"/>
                <w:sz w:val="18"/>
              </w:rPr>
              <w:t>0.268515</w:t>
            </w:r>
          </w:p>
        </w:tc>
        <w:tc>
          <w:tcPr>
            <w:tcW w:w="2433" w:type="dxa"/>
            <w:gridSpan w:val="2"/>
            <w:tcBorders>
              <w:top w:val="double" w:sz="6" w:space="0" w:color="000000"/>
            </w:tcBorders>
          </w:tcPr>
          <w:p>
            <w:pPr>
              <w:pStyle w:val="TableParagraph"/>
              <w:spacing w:line="198" w:lineRule="exact" w:before="108"/>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885" w:type="dxa"/>
            <w:tcBorders>
              <w:top w:val="double" w:sz="6" w:space="0" w:color="000000"/>
            </w:tcBorders>
          </w:tcPr>
          <w:p>
            <w:pPr>
              <w:pStyle w:val="TableParagraph"/>
              <w:spacing w:line="198" w:lineRule="exact" w:before="108"/>
              <w:ind w:right="10"/>
              <w:jc w:val="right"/>
              <w:rPr>
                <w:sz w:val="18"/>
              </w:rPr>
            </w:pPr>
            <w:r>
              <w:rPr>
                <w:spacing w:val="-2"/>
                <w:sz w:val="18"/>
              </w:rPr>
              <w:t>0.053529</w:t>
            </w:r>
          </w:p>
        </w:tc>
      </w:tr>
      <w:tr>
        <w:trPr>
          <w:trHeight w:val="224" w:hRule="atLeast"/>
        </w:trPr>
        <w:tc>
          <w:tcPr>
            <w:tcW w:w="1910"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spacing w:before="5"/>
              <w:ind w:right="105"/>
              <w:jc w:val="right"/>
              <w:rPr>
                <w:sz w:val="18"/>
              </w:rPr>
            </w:pPr>
            <w:r>
              <w:rPr>
                <w:spacing w:val="-2"/>
                <w:sz w:val="18"/>
              </w:rPr>
              <w:t>0.245656</w:t>
            </w:r>
          </w:p>
        </w:tc>
        <w:tc>
          <w:tcPr>
            <w:tcW w:w="2433" w:type="dxa"/>
            <w:gridSpan w:val="2"/>
          </w:tcPr>
          <w:p>
            <w:pPr>
              <w:pStyle w:val="TableParagraph"/>
              <w:spacing w:before="5"/>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885" w:type="dxa"/>
          </w:tcPr>
          <w:p>
            <w:pPr>
              <w:pStyle w:val="TableParagraph"/>
              <w:spacing w:before="5"/>
              <w:ind w:right="10"/>
              <w:jc w:val="right"/>
              <w:rPr>
                <w:sz w:val="18"/>
              </w:rPr>
            </w:pPr>
            <w:r>
              <w:rPr>
                <w:spacing w:val="-2"/>
                <w:sz w:val="18"/>
              </w:rPr>
              <w:t>4.747192</w:t>
            </w:r>
          </w:p>
        </w:tc>
      </w:tr>
      <w:tr>
        <w:trPr>
          <w:trHeight w:val="225" w:hRule="atLeast"/>
        </w:trPr>
        <w:tc>
          <w:tcPr>
            <w:tcW w:w="1910" w:type="dxa"/>
          </w:tcPr>
          <w:p>
            <w:pPr>
              <w:pStyle w:val="TableParagraph"/>
              <w:rPr>
                <w:sz w:val="18"/>
              </w:rPr>
            </w:pPr>
            <w:r>
              <w:rPr>
                <w:sz w:val="18"/>
              </w:rPr>
              <w:t>S.E.</w:t>
            </w:r>
            <w:r>
              <w:rPr>
                <w:spacing w:val="-2"/>
                <w:sz w:val="18"/>
              </w:rPr>
              <w:t> </w:t>
            </w:r>
            <w:r>
              <w:rPr>
                <w:sz w:val="18"/>
              </w:rPr>
              <w:t>of </w:t>
            </w:r>
            <w:r>
              <w:rPr>
                <w:spacing w:val="-2"/>
                <w:sz w:val="18"/>
              </w:rPr>
              <w:t>regression</w:t>
            </w:r>
          </w:p>
        </w:tc>
        <w:tc>
          <w:tcPr>
            <w:tcW w:w="1307" w:type="dxa"/>
          </w:tcPr>
          <w:p>
            <w:pPr>
              <w:pStyle w:val="TableParagraph"/>
              <w:ind w:right="105"/>
              <w:jc w:val="right"/>
              <w:rPr>
                <w:sz w:val="18"/>
              </w:rPr>
            </w:pPr>
            <w:r>
              <w:rPr>
                <w:spacing w:val="-2"/>
                <w:sz w:val="18"/>
              </w:rPr>
              <w:t>4.123079</w:t>
            </w:r>
          </w:p>
        </w:tc>
        <w:tc>
          <w:tcPr>
            <w:tcW w:w="2433" w:type="dxa"/>
            <w:gridSpan w:val="2"/>
          </w:tcPr>
          <w:p>
            <w:pPr>
              <w:pStyle w:val="TableParagraph"/>
              <w:ind w:left="105"/>
              <w:rPr>
                <w:sz w:val="18"/>
              </w:rPr>
            </w:pPr>
            <w:r>
              <w:rPr>
                <w:sz w:val="18"/>
              </w:rPr>
              <w:t>Akaike</w:t>
            </w:r>
            <w:r>
              <w:rPr>
                <w:spacing w:val="-3"/>
                <w:sz w:val="18"/>
              </w:rPr>
              <w:t> </w:t>
            </w:r>
            <w:r>
              <w:rPr>
                <w:sz w:val="18"/>
              </w:rPr>
              <w:t>info</w:t>
            </w:r>
            <w:r>
              <w:rPr>
                <w:spacing w:val="-2"/>
                <w:sz w:val="18"/>
              </w:rPr>
              <w:t> criterion</w:t>
            </w:r>
          </w:p>
        </w:tc>
        <w:tc>
          <w:tcPr>
            <w:tcW w:w="885" w:type="dxa"/>
          </w:tcPr>
          <w:p>
            <w:pPr>
              <w:pStyle w:val="TableParagraph"/>
              <w:ind w:right="10"/>
              <w:jc w:val="right"/>
              <w:rPr>
                <w:sz w:val="18"/>
              </w:rPr>
            </w:pPr>
            <w:r>
              <w:rPr>
                <w:spacing w:val="-2"/>
                <w:sz w:val="18"/>
              </w:rPr>
              <w:t>5.728100</w:t>
            </w:r>
          </w:p>
        </w:tc>
      </w:tr>
      <w:tr>
        <w:trPr>
          <w:trHeight w:val="225" w:hRule="atLeast"/>
        </w:trPr>
        <w:tc>
          <w:tcPr>
            <w:tcW w:w="1910"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307" w:type="dxa"/>
          </w:tcPr>
          <w:p>
            <w:pPr>
              <w:pStyle w:val="TableParagraph"/>
              <w:ind w:right="105"/>
              <w:jc w:val="right"/>
              <w:rPr>
                <w:sz w:val="18"/>
              </w:rPr>
            </w:pPr>
            <w:r>
              <w:rPr>
                <w:spacing w:val="-2"/>
                <w:sz w:val="18"/>
              </w:rPr>
              <w:t>543.9929</w:t>
            </w:r>
          </w:p>
        </w:tc>
        <w:tc>
          <w:tcPr>
            <w:tcW w:w="1492" w:type="dxa"/>
          </w:tcPr>
          <w:p>
            <w:pPr>
              <w:pStyle w:val="TableParagraph"/>
              <w:ind w:left="105"/>
              <w:rPr>
                <w:sz w:val="18"/>
              </w:rPr>
            </w:pPr>
            <w:r>
              <w:rPr>
                <w:sz w:val="18"/>
              </w:rPr>
              <w:t>Schwarz</w:t>
            </w:r>
            <w:r>
              <w:rPr>
                <w:spacing w:val="-4"/>
                <w:sz w:val="18"/>
              </w:rPr>
              <w:t> </w:t>
            </w:r>
            <w:r>
              <w:rPr>
                <w:spacing w:val="-2"/>
                <w:sz w:val="18"/>
              </w:rPr>
              <w:t>criterion</w:t>
            </w:r>
          </w:p>
        </w:tc>
        <w:tc>
          <w:tcPr>
            <w:tcW w:w="941" w:type="dxa"/>
          </w:tcPr>
          <w:p>
            <w:pPr>
              <w:pStyle w:val="TableParagraph"/>
              <w:spacing w:line="240" w:lineRule="auto" w:before="0"/>
              <w:rPr>
                <w:rFonts w:ascii="Times New Roman"/>
                <w:sz w:val="16"/>
              </w:rPr>
            </w:pPr>
          </w:p>
        </w:tc>
        <w:tc>
          <w:tcPr>
            <w:tcW w:w="885" w:type="dxa"/>
          </w:tcPr>
          <w:p>
            <w:pPr>
              <w:pStyle w:val="TableParagraph"/>
              <w:ind w:right="10"/>
              <w:jc w:val="right"/>
              <w:rPr>
                <w:sz w:val="18"/>
              </w:rPr>
            </w:pPr>
            <w:r>
              <w:rPr>
                <w:spacing w:val="-2"/>
                <w:sz w:val="18"/>
              </w:rPr>
              <w:t>5.817886</w:t>
            </w:r>
          </w:p>
        </w:tc>
      </w:tr>
      <w:tr>
        <w:trPr>
          <w:trHeight w:val="224" w:hRule="atLeast"/>
        </w:trPr>
        <w:tc>
          <w:tcPr>
            <w:tcW w:w="1910" w:type="dxa"/>
          </w:tcPr>
          <w:p>
            <w:pPr>
              <w:pStyle w:val="TableParagraph"/>
              <w:spacing w:line="198" w:lineRule="exact"/>
              <w:rPr>
                <w:sz w:val="18"/>
              </w:rPr>
            </w:pPr>
            <w:r>
              <w:rPr>
                <w:sz w:val="18"/>
              </w:rPr>
              <w:t>Log</w:t>
            </w:r>
            <w:r>
              <w:rPr>
                <w:spacing w:val="-3"/>
                <w:sz w:val="18"/>
              </w:rPr>
              <w:t> </w:t>
            </w:r>
            <w:r>
              <w:rPr>
                <w:spacing w:val="-2"/>
                <w:sz w:val="18"/>
              </w:rPr>
              <w:t>likelihood</w:t>
            </w:r>
          </w:p>
        </w:tc>
        <w:tc>
          <w:tcPr>
            <w:tcW w:w="1307" w:type="dxa"/>
          </w:tcPr>
          <w:p>
            <w:pPr>
              <w:pStyle w:val="TableParagraph"/>
              <w:spacing w:line="198" w:lineRule="exact"/>
              <w:ind w:right="105"/>
              <w:jc w:val="right"/>
              <w:rPr>
                <w:sz w:val="18"/>
              </w:rPr>
            </w:pPr>
            <w:r>
              <w:rPr>
                <w:spacing w:val="-2"/>
                <w:sz w:val="18"/>
              </w:rPr>
              <w:t>-95.37770</w:t>
            </w:r>
          </w:p>
        </w:tc>
        <w:tc>
          <w:tcPr>
            <w:tcW w:w="2433" w:type="dxa"/>
            <w:gridSpan w:val="2"/>
          </w:tcPr>
          <w:p>
            <w:pPr>
              <w:pStyle w:val="TableParagraph"/>
              <w:spacing w:line="198" w:lineRule="exact"/>
              <w:ind w:left="105"/>
              <w:rPr>
                <w:sz w:val="18"/>
              </w:rPr>
            </w:pPr>
            <w:r>
              <w:rPr>
                <w:spacing w:val="-2"/>
                <w:sz w:val="18"/>
              </w:rPr>
              <w:t>Hannan-Quinn</w:t>
            </w:r>
            <w:r>
              <w:rPr>
                <w:spacing w:val="11"/>
                <w:sz w:val="18"/>
              </w:rPr>
              <w:t> </w:t>
            </w:r>
            <w:r>
              <w:rPr>
                <w:spacing w:val="-2"/>
                <w:sz w:val="18"/>
              </w:rPr>
              <w:t>criter.</w:t>
            </w:r>
          </w:p>
        </w:tc>
        <w:tc>
          <w:tcPr>
            <w:tcW w:w="885" w:type="dxa"/>
          </w:tcPr>
          <w:p>
            <w:pPr>
              <w:pStyle w:val="TableParagraph"/>
              <w:spacing w:line="198" w:lineRule="exact"/>
              <w:ind w:right="10"/>
              <w:jc w:val="right"/>
              <w:rPr>
                <w:sz w:val="18"/>
              </w:rPr>
            </w:pPr>
            <w:r>
              <w:rPr>
                <w:spacing w:val="-2"/>
                <w:sz w:val="18"/>
              </w:rPr>
              <w:t>5.758719</w:t>
            </w:r>
          </w:p>
        </w:tc>
      </w:tr>
      <w:tr>
        <w:trPr>
          <w:trHeight w:val="224" w:hRule="atLeast"/>
        </w:trPr>
        <w:tc>
          <w:tcPr>
            <w:tcW w:w="1910" w:type="dxa"/>
          </w:tcPr>
          <w:p>
            <w:pPr>
              <w:pStyle w:val="TableParagraph"/>
              <w:spacing w:before="5"/>
              <w:rPr>
                <w:sz w:val="18"/>
              </w:rPr>
            </w:pPr>
            <w:r>
              <w:rPr>
                <w:spacing w:val="-2"/>
                <w:sz w:val="18"/>
              </w:rPr>
              <w:t>F-statistic</w:t>
            </w:r>
          </w:p>
        </w:tc>
        <w:tc>
          <w:tcPr>
            <w:tcW w:w="1307" w:type="dxa"/>
          </w:tcPr>
          <w:p>
            <w:pPr>
              <w:pStyle w:val="TableParagraph"/>
              <w:spacing w:before="5"/>
              <w:ind w:right="105"/>
              <w:jc w:val="right"/>
              <w:rPr>
                <w:sz w:val="18"/>
              </w:rPr>
            </w:pPr>
            <w:r>
              <w:rPr>
                <w:spacing w:val="-2"/>
                <w:sz w:val="18"/>
              </w:rPr>
              <w:t>11.74660</w:t>
            </w:r>
          </w:p>
        </w:tc>
        <w:tc>
          <w:tcPr>
            <w:tcW w:w="2433" w:type="dxa"/>
            <w:gridSpan w:val="2"/>
          </w:tcPr>
          <w:p>
            <w:pPr>
              <w:pStyle w:val="TableParagraph"/>
              <w:spacing w:before="5"/>
              <w:ind w:left="105"/>
              <w:rPr>
                <w:sz w:val="18"/>
              </w:rPr>
            </w:pPr>
            <w:r>
              <w:rPr>
                <w:spacing w:val="-2"/>
                <w:sz w:val="18"/>
              </w:rPr>
              <w:t>Durbin-Watson</w:t>
            </w:r>
            <w:r>
              <w:rPr>
                <w:spacing w:val="13"/>
                <w:sz w:val="18"/>
              </w:rPr>
              <w:t> </w:t>
            </w:r>
            <w:r>
              <w:rPr>
                <w:spacing w:val="-4"/>
                <w:sz w:val="18"/>
              </w:rPr>
              <w:t>stat</w:t>
            </w:r>
          </w:p>
        </w:tc>
        <w:tc>
          <w:tcPr>
            <w:tcW w:w="885" w:type="dxa"/>
          </w:tcPr>
          <w:p>
            <w:pPr>
              <w:pStyle w:val="TableParagraph"/>
              <w:spacing w:before="5"/>
              <w:ind w:right="10"/>
              <w:jc w:val="right"/>
              <w:rPr>
                <w:sz w:val="18"/>
              </w:rPr>
            </w:pPr>
            <w:r>
              <w:rPr>
                <w:spacing w:val="-2"/>
                <w:sz w:val="18"/>
              </w:rPr>
              <w:t>1.837051</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0.001694</w:t>
            </w:r>
          </w:p>
        </w:tc>
        <w:tc>
          <w:tcPr>
            <w:tcW w:w="2433" w:type="dxa"/>
            <w:gridSpan w:val="2"/>
            <w:tcBorders>
              <w:bottom w:val="double" w:sz="6" w:space="0" w:color="000000"/>
            </w:tcBorders>
          </w:tcPr>
          <w:p>
            <w:pPr>
              <w:pStyle w:val="TableParagraph"/>
              <w:spacing w:line="240" w:lineRule="auto" w:before="0"/>
              <w:rPr>
                <w:rFonts w:ascii="Times New Roman"/>
                <w:sz w:val="18"/>
              </w:rPr>
            </w:pPr>
          </w:p>
        </w:tc>
        <w:tc>
          <w:tcPr>
            <w:tcW w:w="885"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33760">
                <wp:simplePos x="0" y="0"/>
                <wp:positionH relativeFrom="page">
                  <wp:posOffset>950112</wp:posOffset>
                </wp:positionH>
                <wp:positionV relativeFrom="page">
                  <wp:posOffset>5495962</wp:posOffset>
                </wp:positionV>
                <wp:extent cx="2223770" cy="2362200"/>
                <wp:effectExtent l="0" t="0" r="0" b="0"/>
                <wp:wrapNone/>
                <wp:docPr id="265" name="Graphic 265"/>
                <wp:cNvGraphicFramePr>
                  <a:graphicFrameLocks/>
                </wp:cNvGraphicFramePr>
                <a:graphic>
                  <a:graphicData uri="http://schemas.microsoft.com/office/word/2010/wordprocessingShape">
                    <wps:wsp>
                      <wps:cNvPr id="265" name="Graphic 265"/>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82720" id="docshape265"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34272">
                <wp:simplePos x="0" y="0"/>
                <wp:positionH relativeFrom="page">
                  <wp:posOffset>2872486</wp:posOffset>
                </wp:positionH>
                <wp:positionV relativeFrom="page">
                  <wp:posOffset>2197353</wp:posOffset>
                </wp:positionV>
                <wp:extent cx="3583304" cy="3612515"/>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82208" id="docshape266"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492"/>
        <w:gridCol w:w="941"/>
        <w:gridCol w:w="885"/>
      </w:tblGrid>
      <w:tr>
        <w:trPr>
          <w:trHeight w:val="213" w:hRule="atLeast"/>
        </w:trPr>
        <w:tc>
          <w:tcPr>
            <w:tcW w:w="6535" w:type="dxa"/>
            <w:gridSpan w:val="5"/>
          </w:tcPr>
          <w:p>
            <w:pPr>
              <w:pStyle w:val="TableParagraph"/>
              <w:spacing w:line="193" w:lineRule="exact" w:before="0"/>
              <w:rPr>
                <w:sz w:val="18"/>
              </w:rPr>
            </w:pPr>
            <w:r>
              <w:rPr>
                <w:sz w:val="18"/>
              </w:rPr>
              <w:t>Null</w:t>
            </w:r>
            <w:r>
              <w:rPr>
                <w:spacing w:val="-3"/>
                <w:sz w:val="18"/>
              </w:rPr>
              <w:t> </w:t>
            </w:r>
            <w:r>
              <w:rPr>
                <w:sz w:val="18"/>
              </w:rPr>
              <w:t>Hypothesis:</w:t>
            </w:r>
            <w:r>
              <w:rPr>
                <w:spacing w:val="-2"/>
                <w:sz w:val="18"/>
              </w:rPr>
              <w:t> </w:t>
            </w:r>
            <w:r>
              <w:rPr>
                <w:sz w:val="18"/>
              </w:rPr>
              <w:t>D(INT)</w:t>
            </w:r>
            <w:r>
              <w:rPr>
                <w:spacing w:val="-4"/>
                <w:sz w:val="18"/>
              </w:rPr>
              <w:t> </w:t>
            </w:r>
            <w:r>
              <w:rPr>
                <w:sz w:val="18"/>
              </w:rPr>
              <w:t>has</w:t>
            </w:r>
            <w:r>
              <w:rPr>
                <w:spacing w:val="-1"/>
                <w:sz w:val="18"/>
              </w:rPr>
              <w:t> </w:t>
            </w:r>
            <w:r>
              <w:rPr>
                <w:sz w:val="18"/>
              </w:rPr>
              <w:t>a</w:t>
            </w:r>
            <w:r>
              <w:rPr>
                <w:spacing w:val="-4"/>
                <w:sz w:val="18"/>
              </w:rPr>
              <w:t> </w:t>
            </w:r>
            <w:r>
              <w:rPr>
                <w:sz w:val="18"/>
              </w:rPr>
              <w:t>unit</w:t>
            </w:r>
            <w:r>
              <w:rPr>
                <w:spacing w:val="-2"/>
                <w:sz w:val="18"/>
              </w:rPr>
              <w:t> </w:t>
            </w:r>
            <w:r>
              <w:rPr>
                <w:spacing w:val="-4"/>
                <w:sz w:val="18"/>
              </w:rPr>
              <w:t>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Lag</w:t>
            </w:r>
            <w:r>
              <w:rPr>
                <w:spacing w:val="-4"/>
                <w:sz w:val="18"/>
              </w:rPr>
              <w:t> </w:t>
            </w:r>
            <w:r>
              <w:rPr>
                <w:sz w:val="18"/>
              </w:rPr>
              <w:t>Length:</w:t>
            </w:r>
            <w:r>
              <w:rPr>
                <w:spacing w:val="-2"/>
                <w:sz w:val="18"/>
              </w:rPr>
              <w:t> </w:t>
            </w:r>
            <w:r>
              <w:rPr>
                <w:sz w:val="18"/>
              </w:rPr>
              <w:t>7</w:t>
            </w:r>
            <w:r>
              <w:rPr>
                <w:spacing w:val="-2"/>
                <w:sz w:val="18"/>
              </w:rPr>
              <w:t> </w:t>
            </w:r>
            <w:r>
              <w:rPr>
                <w:sz w:val="18"/>
              </w:rPr>
              <w:t>(Automatic</w:t>
            </w:r>
            <w:r>
              <w:rPr>
                <w:spacing w:val="1"/>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3"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182"/>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33" w:type="dxa"/>
            <w:gridSpan w:val="2"/>
            <w:tcBorders>
              <w:top w:val="double" w:sz="6" w:space="0" w:color="000000"/>
              <w:bottom w:val="single" w:sz="6" w:space="0" w:color="000000"/>
            </w:tcBorders>
          </w:tcPr>
          <w:p>
            <w:pPr>
              <w:pStyle w:val="TableParagraph"/>
              <w:spacing w:line="187" w:lineRule="exact" w:before="108"/>
              <w:ind w:left="1305"/>
              <w:rPr>
                <w:sz w:val="18"/>
              </w:rPr>
            </w:pPr>
            <w:r>
              <w:rPr>
                <w:spacing w:val="-2"/>
                <w:sz w:val="18"/>
              </w:rPr>
              <w:t>-4.586719</w:t>
            </w:r>
          </w:p>
        </w:tc>
        <w:tc>
          <w:tcPr>
            <w:tcW w:w="885" w:type="dxa"/>
            <w:tcBorders>
              <w:top w:val="double" w:sz="6" w:space="0" w:color="000000"/>
              <w:bottom w:val="single" w:sz="6" w:space="0" w:color="000000"/>
            </w:tcBorders>
          </w:tcPr>
          <w:p>
            <w:pPr>
              <w:pStyle w:val="TableParagraph"/>
              <w:spacing w:line="187" w:lineRule="exact" w:before="108"/>
              <w:ind w:left="132"/>
              <w:rPr>
                <w:sz w:val="18"/>
              </w:rPr>
            </w:pPr>
            <w:r>
              <w:rPr>
                <w:spacing w:val="-2"/>
                <w:sz w:val="18"/>
              </w:rPr>
              <w:t>0.0012</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7"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33" w:type="dxa"/>
            <w:gridSpan w:val="2"/>
            <w:tcBorders>
              <w:top w:val="single" w:sz="6" w:space="0" w:color="000000"/>
            </w:tcBorders>
          </w:tcPr>
          <w:p>
            <w:pPr>
              <w:pStyle w:val="TableParagraph"/>
              <w:spacing w:before="18"/>
              <w:ind w:left="1305"/>
              <w:rPr>
                <w:sz w:val="18"/>
              </w:rPr>
            </w:pPr>
            <w:r>
              <w:rPr>
                <w:spacing w:val="-2"/>
                <w:sz w:val="18"/>
              </w:rPr>
              <w:t>-3.711457</w:t>
            </w:r>
          </w:p>
        </w:tc>
        <w:tc>
          <w:tcPr>
            <w:tcW w:w="885"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7" w:type="dxa"/>
          </w:tcPr>
          <w:p>
            <w:pPr>
              <w:pStyle w:val="TableParagraph"/>
              <w:ind w:left="317"/>
              <w:rPr>
                <w:sz w:val="18"/>
              </w:rPr>
            </w:pPr>
            <w:r>
              <w:rPr>
                <w:sz w:val="18"/>
              </w:rPr>
              <w:t>5%</w:t>
            </w:r>
            <w:r>
              <w:rPr>
                <w:spacing w:val="-3"/>
                <w:sz w:val="18"/>
              </w:rPr>
              <w:t> </w:t>
            </w:r>
            <w:r>
              <w:rPr>
                <w:spacing w:val="-2"/>
                <w:sz w:val="18"/>
              </w:rPr>
              <w:t>level</w:t>
            </w:r>
          </w:p>
        </w:tc>
        <w:tc>
          <w:tcPr>
            <w:tcW w:w="2433" w:type="dxa"/>
            <w:gridSpan w:val="2"/>
          </w:tcPr>
          <w:p>
            <w:pPr>
              <w:pStyle w:val="TableParagraph"/>
              <w:ind w:left="1305"/>
              <w:rPr>
                <w:sz w:val="18"/>
              </w:rPr>
            </w:pPr>
            <w:r>
              <w:rPr>
                <w:spacing w:val="-2"/>
                <w:sz w:val="18"/>
              </w:rPr>
              <w:t>-2.981038</w:t>
            </w:r>
          </w:p>
        </w:tc>
        <w:tc>
          <w:tcPr>
            <w:tcW w:w="885"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33" w:type="dxa"/>
            <w:gridSpan w:val="2"/>
            <w:tcBorders>
              <w:bottom w:val="double" w:sz="6" w:space="0" w:color="000000"/>
            </w:tcBorders>
          </w:tcPr>
          <w:p>
            <w:pPr>
              <w:pStyle w:val="TableParagraph"/>
              <w:spacing w:line="240" w:lineRule="auto"/>
              <w:ind w:left="1305"/>
              <w:rPr>
                <w:sz w:val="18"/>
              </w:rPr>
            </w:pPr>
            <w:r>
              <w:rPr>
                <w:spacing w:val="-2"/>
                <w:sz w:val="18"/>
              </w:rPr>
              <w:t>-2.629906</w:t>
            </w:r>
          </w:p>
        </w:tc>
        <w:tc>
          <w:tcPr>
            <w:tcW w:w="885"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5"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5"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5"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D(INT,2)</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225" w:hRule="atLeast"/>
        </w:trPr>
        <w:tc>
          <w:tcPr>
            <w:tcW w:w="6535" w:type="dxa"/>
            <w:gridSpan w:val="5"/>
          </w:tcPr>
          <w:p>
            <w:pPr>
              <w:pStyle w:val="TableParagraph"/>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06:16</w:t>
            </w:r>
          </w:p>
        </w:tc>
      </w:tr>
      <w:tr>
        <w:trPr>
          <w:trHeight w:val="224" w:hRule="atLeast"/>
        </w:trPr>
        <w:tc>
          <w:tcPr>
            <w:tcW w:w="6535"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1995</w:t>
            </w:r>
            <w:r>
              <w:rPr>
                <w:spacing w:val="-4"/>
                <w:sz w:val="18"/>
              </w:rPr>
              <w:t> 2020</w:t>
            </w: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26</w:t>
            </w:r>
            <w:r>
              <w:rPr>
                <w:spacing w:val="-5"/>
                <w:sz w:val="18"/>
              </w:rPr>
              <w:t> </w:t>
            </w:r>
            <w:r>
              <w:rPr>
                <w:sz w:val="18"/>
              </w:rPr>
              <w:t>after</w:t>
            </w:r>
            <w:r>
              <w:rPr>
                <w:spacing w:val="-2"/>
                <w:sz w:val="18"/>
              </w:rPr>
              <w:t> 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41" w:type="dxa"/>
            <w:tcBorders>
              <w:top w:val="double" w:sz="6" w:space="0" w:color="000000"/>
              <w:bottom w:val="double" w:sz="6" w:space="0" w:color="000000"/>
            </w:tcBorders>
          </w:tcPr>
          <w:p>
            <w:pPr>
              <w:pStyle w:val="TableParagraph"/>
              <w:spacing w:line="240" w:lineRule="auto" w:before="108"/>
              <w:ind w:right="124"/>
              <w:jc w:val="right"/>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341"/>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597"/>
              <w:rPr>
                <w:sz w:val="18"/>
              </w:rPr>
            </w:pPr>
            <w:r>
              <w:rPr>
                <w:spacing w:val="-2"/>
                <w:sz w:val="18"/>
              </w:rPr>
              <w:t>D(INT(-</w:t>
            </w:r>
            <w:r>
              <w:rPr>
                <w:spacing w:val="-5"/>
                <w:sz w:val="18"/>
              </w:rPr>
              <w:t>1))</w:t>
            </w:r>
          </w:p>
        </w:tc>
        <w:tc>
          <w:tcPr>
            <w:tcW w:w="1307" w:type="dxa"/>
            <w:tcBorders>
              <w:top w:val="double" w:sz="6" w:space="0" w:color="000000"/>
            </w:tcBorders>
          </w:tcPr>
          <w:p>
            <w:pPr>
              <w:pStyle w:val="TableParagraph"/>
              <w:spacing w:before="108"/>
              <w:ind w:right="105"/>
              <w:jc w:val="right"/>
              <w:rPr>
                <w:sz w:val="18"/>
              </w:rPr>
            </w:pPr>
            <w:r>
              <w:rPr>
                <w:spacing w:val="-2"/>
                <w:sz w:val="18"/>
              </w:rPr>
              <w:t>-3.389191</w:t>
            </w:r>
          </w:p>
        </w:tc>
        <w:tc>
          <w:tcPr>
            <w:tcW w:w="1492" w:type="dxa"/>
            <w:tcBorders>
              <w:top w:val="double" w:sz="6" w:space="0" w:color="000000"/>
            </w:tcBorders>
          </w:tcPr>
          <w:p>
            <w:pPr>
              <w:pStyle w:val="TableParagraph"/>
              <w:spacing w:before="108"/>
              <w:ind w:left="349"/>
              <w:rPr>
                <w:sz w:val="18"/>
              </w:rPr>
            </w:pPr>
            <w:r>
              <w:rPr>
                <w:spacing w:val="-2"/>
                <w:sz w:val="18"/>
              </w:rPr>
              <w:t>0.738914</w:t>
            </w:r>
          </w:p>
        </w:tc>
        <w:tc>
          <w:tcPr>
            <w:tcW w:w="941" w:type="dxa"/>
            <w:tcBorders>
              <w:top w:val="double" w:sz="6" w:space="0" w:color="000000"/>
            </w:tcBorders>
          </w:tcPr>
          <w:p>
            <w:pPr>
              <w:pStyle w:val="TableParagraph"/>
              <w:spacing w:before="108"/>
              <w:ind w:right="124"/>
              <w:jc w:val="right"/>
              <w:rPr>
                <w:sz w:val="18"/>
              </w:rPr>
            </w:pPr>
            <w:r>
              <w:rPr>
                <w:spacing w:val="-2"/>
                <w:sz w:val="18"/>
              </w:rPr>
              <w:t>-4.586719</w:t>
            </w:r>
          </w:p>
        </w:tc>
        <w:tc>
          <w:tcPr>
            <w:tcW w:w="885" w:type="dxa"/>
            <w:tcBorders>
              <w:top w:val="double" w:sz="6" w:space="0" w:color="000000"/>
            </w:tcBorders>
          </w:tcPr>
          <w:p>
            <w:pPr>
              <w:pStyle w:val="TableParagraph"/>
              <w:spacing w:before="108"/>
              <w:ind w:right="10"/>
              <w:jc w:val="right"/>
              <w:rPr>
                <w:sz w:val="18"/>
              </w:rPr>
            </w:pPr>
            <w:r>
              <w:rPr>
                <w:spacing w:val="-2"/>
                <w:sz w:val="18"/>
              </w:rPr>
              <w:t>0.0003</w:t>
            </w:r>
          </w:p>
        </w:tc>
      </w:tr>
      <w:tr>
        <w:trPr>
          <w:trHeight w:val="225" w:hRule="atLeast"/>
        </w:trPr>
        <w:tc>
          <w:tcPr>
            <w:tcW w:w="1910" w:type="dxa"/>
          </w:tcPr>
          <w:p>
            <w:pPr>
              <w:pStyle w:val="TableParagraph"/>
              <w:ind w:left="523"/>
              <w:rPr>
                <w:sz w:val="18"/>
              </w:rPr>
            </w:pPr>
            <w:r>
              <w:rPr>
                <w:spacing w:val="-2"/>
                <w:sz w:val="18"/>
              </w:rPr>
              <w:t>D(INT(-1),2)</w:t>
            </w:r>
          </w:p>
        </w:tc>
        <w:tc>
          <w:tcPr>
            <w:tcW w:w="1307" w:type="dxa"/>
          </w:tcPr>
          <w:p>
            <w:pPr>
              <w:pStyle w:val="TableParagraph"/>
              <w:ind w:right="105"/>
              <w:jc w:val="right"/>
              <w:rPr>
                <w:sz w:val="18"/>
              </w:rPr>
            </w:pPr>
            <w:r>
              <w:rPr>
                <w:spacing w:val="-2"/>
                <w:sz w:val="18"/>
              </w:rPr>
              <w:t>2.001562</w:t>
            </w:r>
          </w:p>
        </w:tc>
        <w:tc>
          <w:tcPr>
            <w:tcW w:w="1492" w:type="dxa"/>
          </w:tcPr>
          <w:p>
            <w:pPr>
              <w:pStyle w:val="TableParagraph"/>
              <w:ind w:left="349"/>
              <w:rPr>
                <w:sz w:val="18"/>
              </w:rPr>
            </w:pPr>
            <w:r>
              <w:rPr>
                <w:spacing w:val="-2"/>
                <w:sz w:val="18"/>
              </w:rPr>
              <w:t>0.591677</w:t>
            </w:r>
          </w:p>
        </w:tc>
        <w:tc>
          <w:tcPr>
            <w:tcW w:w="941" w:type="dxa"/>
          </w:tcPr>
          <w:p>
            <w:pPr>
              <w:pStyle w:val="TableParagraph"/>
              <w:ind w:right="124"/>
              <w:jc w:val="right"/>
              <w:rPr>
                <w:sz w:val="18"/>
              </w:rPr>
            </w:pPr>
            <w:r>
              <w:rPr>
                <w:spacing w:val="-2"/>
                <w:sz w:val="18"/>
              </w:rPr>
              <w:t>3.382865</w:t>
            </w:r>
          </w:p>
        </w:tc>
        <w:tc>
          <w:tcPr>
            <w:tcW w:w="885" w:type="dxa"/>
          </w:tcPr>
          <w:p>
            <w:pPr>
              <w:pStyle w:val="TableParagraph"/>
              <w:ind w:right="10"/>
              <w:jc w:val="right"/>
              <w:rPr>
                <w:sz w:val="18"/>
              </w:rPr>
            </w:pPr>
            <w:r>
              <w:rPr>
                <w:spacing w:val="-2"/>
                <w:sz w:val="18"/>
              </w:rPr>
              <w:t>0.0035</w:t>
            </w:r>
          </w:p>
        </w:tc>
      </w:tr>
      <w:tr>
        <w:trPr>
          <w:trHeight w:val="225" w:hRule="atLeast"/>
        </w:trPr>
        <w:tc>
          <w:tcPr>
            <w:tcW w:w="1910" w:type="dxa"/>
          </w:tcPr>
          <w:p>
            <w:pPr>
              <w:pStyle w:val="TableParagraph"/>
              <w:ind w:left="523"/>
              <w:rPr>
                <w:sz w:val="18"/>
              </w:rPr>
            </w:pPr>
            <w:r>
              <w:rPr>
                <w:spacing w:val="-2"/>
                <w:sz w:val="18"/>
              </w:rPr>
              <w:t>D(INT(-2),2)</w:t>
            </w:r>
          </w:p>
        </w:tc>
        <w:tc>
          <w:tcPr>
            <w:tcW w:w="1307" w:type="dxa"/>
          </w:tcPr>
          <w:p>
            <w:pPr>
              <w:pStyle w:val="TableParagraph"/>
              <w:ind w:right="105"/>
              <w:jc w:val="right"/>
              <w:rPr>
                <w:sz w:val="18"/>
              </w:rPr>
            </w:pPr>
            <w:r>
              <w:rPr>
                <w:spacing w:val="-2"/>
                <w:sz w:val="18"/>
              </w:rPr>
              <w:t>1.621924</w:t>
            </w:r>
          </w:p>
        </w:tc>
        <w:tc>
          <w:tcPr>
            <w:tcW w:w="1492" w:type="dxa"/>
          </w:tcPr>
          <w:p>
            <w:pPr>
              <w:pStyle w:val="TableParagraph"/>
              <w:ind w:left="349"/>
              <w:rPr>
                <w:sz w:val="18"/>
              </w:rPr>
            </w:pPr>
            <w:r>
              <w:rPr>
                <w:spacing w:val="-2"/>
                <w:sz w:val="18"/>
              </w:rPr>
              <w:t>0.502625</w:t>
            </w:r>
          </w:p>
        </w:tc>
        <w:tc>
          <w:tcPr>
            <w:tcW w:w="941" w:type="dxa"/>
          </w:tcPr>
          <w:p>
            <w:pPr>
              <w:pStyle w:val="TableParagraph"/>
              <w:ind w:right="124"/>
              <w:jc w:val="right"/>
              <w:rPr>
                <w:sz w:val="18"/>
              </w:rPr>
            </w:pPr>
            <w:r>
              <w:rPr>
                <w:spacing w:val="-2"/>
                <w:sz w:val="18"/>
              </w:rPr>
              <w:t>3.226904</w:t>
            </w:r>
          </w:p>
        </w:tc>
        <w:tc>
          <w:tcPr>
            <w:tcW w:w="885" w:type="dxa"/>
          </w:tcPr>
          <w:p>
            <w:pPr>
              <w:pStyle w:val="TableParagraph"/>
              <w:ind w:right="10"/>
              <w:jc w:val="right"/>
              <w:rPr>
                <w:sz w:val="18"/>
              </w:rPr>
            </w:pPr>
            <w:r>
              <w:rPr>
                <w:spacing w:val="-2"/>
                <w:sz w:val="18"/>
              </w:rPr>
              <w:t>0.0050</w:t>
            </w:r>
          </w:p>
        </w:tc>
      </w:tr>
      <w:tr>
        <w:trPr>
          <w:trHeight w:val="224" w:hRule="atLeast"/>
        </w:trPr>
        <w:tc>
          <w:tcPr>
            <w:tcW w:w="1910" w:type="dxa"/>
          </w:tcPr>
          <w:p>
            <w:pPr>
              <w:pStyle w:val="TableParagraph"/>
              <w:spacing w:line="198" w:lineRule="exact"/>
              <w:ind w:left="523"/>
              <w:rPr>
                <w:sz w:val="18"/>
              </w:rPr>
            </w:pPr>
            <w:r>
              <w:rPr>
                <w:spacing w:val="-2"/>
                <w:sz w:val="18"/>
              </w:rPr>
              <w:t>D(INT(-3),2)</w:t>
            </w:r>
          </w:p>
        </w:tc>
        <w:tc>
          <w:tcPr>
            <w:tcW w:w="1307" w:type="dxa"/>
          </w:tcPr>
          <w:p>
            <w:pPr>
              <w:pStyle w:val="TableParagraph"/>
              <w:spacing w:line="198" w:lineRule="exact"/>
              <w:ind w:right="105"/>
              <w:jc w:val="right"/>
              <w:rPr>
                <w:sz w:val="18"/>
              </w:rPr>
            </w:pPr>
            <w:r>
              <w:rPr>
                <w:spacing w:val="-2"/>
                <w:sz w:val="18"/>
              </w:rPr>
              <w:t>1.455415</w:t>
            </w:r>
          </w:p>
        </w:tc>
        <w:tc>
          <w:tcPr>
            <w:tcW w:w="1492" w:type="dxa"/>
          </w:tcPr>
          <w:p>
            <w:pPr>
              <w:pStyle w:val="TableParagraph"/>
              <w:spacing w:line="198" w:lineRule="exact"/>
              <w:ind w:left="349"/>
              <w:rPr>
                <w:sz w:val="18"/>
              </w:rPr>
            </w:pPr>
            <w:r>
              <w:rPr>
                <w:spacing w:val="-2"/>
                <w:sz w:val="18"/>
              </w:rPr>
              <w:t>0.408215</w:t>
            </w:r>
          </w:p>
        </w:tc>
        <w:tc>
          <w:tcPr>
            <w:tcW w:w="941" w:type="dxa"/>
          </w:tcPr>
          <w:p>
            <w:pPr>
              <w:pStyle w:val="TableParagraph"/>
              <w:spacing w:line="198" w:lineRule="exact"/>
              <w:ind w:right="124"/>
              <w:jc w:val="right"/>
              <w:rPr>
                <w:sz w:val="18"/>
              </w:rPr>
            </w:pPr>
            <w:r>
              <w:rPr>
                <w:spacing w:val="-2"/>
                <w:sz w:val="18"/>
              </w:rPr>
              <w:t>3.565315</w:t>
            </w:r>
          </w:p>
        </w:tc>
        <w:tc>
          <w:tcPr>
            <w:tcW w:w="885" w:type="dxa"/>
          </w:tcPr>
          <w:p>
            <w:pPr>
              <w:pStyle w:val="TableParagraph"/>
              <w:spacing w:line="198" w:lineRule="exact"/>
              <w:ind w:right="10"/>
              <w:jc w:val="right"/>
              <w:rPr>
                <w:sz w:val="18"/>
              </w:rPr>
            </w:pPr>
            <w:r>
              <w:rPr>
                <w:spacing w:val="-2"/>
                <w:sz w:val="18"/>
              </w:rPr>
              <w:t>0.0024</w:t>
            </w:r>
          </w:p>
        </w:tc>
      </w:tr>
      <w:tr>
        <w:trPr>
          <w:trHeight w:val="224" w:hRule="atLeast"/>
        </w:trPr>
        <w:tc>
          <w:tcPr>
            <w:tcW w:w="1910" w:type="dxa"/>
          </w:tcPr>
          <w:p>
            <w:pPr>
              <w:pStyle w:val="TableParagraph"/>
              <w:spacing w:before="5"/>
              <w:ind w:left="523"/>
              <w:rPr>
                <w:sz w:val="18"/>
              </w:rPr>
            </w:pPr>
            <w:r>
              <w:rPr>
                <w:spacing w:val="-2"/>
                <w:sz w:val="18"/>
              </w:rPr>
              <w:t>D(INT(-4),2)</w:t>
            </w:r>
          </w:p>
        </w:tc>
        <w:tc>
          <w:tcPr>
            <w:tcW w:w="1307" w:type="dxa"/>
          </w:tcPr>
          <w:p>
            <w:pPr>
              <w:pStyle w:val="TableParagraph"/>
              <w:spacing w:before="5"/>
              <w:ind w:right="105"/>
              <w:jc w:val="right"/>
              <w:rPr>
                <w:sz w:val="18"/>
              </w:rPr>
            </w:pPr>
            <w:r>
              <w:rPr>
                <w:spacing w:val="-2"/>
                <w:sz w:val="18"/>
              </w:rPr>
              <w:t>1.056634</w:t>
            </w:r>
          </w:p>
        </w:tc>
        <w:tc>
          <w:tcPr>
            <w:tcW w:w="1492" w:type="dxa"/>
          </w:tcPr>
          <w:p>
            <w:pPr>
              <w:pStyle w:val="TableParagraph"/>
              <w:spacing w:before="5"/>
              <w:ind w:left="349"/>
              <w:rPr>
                <w:sz w:val="18"/>
              </w:rPr>
            </w:pPr>
            <w:r>
              <w:rPr>
                <w:spacing w:val="-2"/>
                <w:sz w:val="18"/>
              </w:rPr>
              <w:t>0.349959</w:t>
            </w:r>
          </w:p>
        </w:tc>
        <w:tc>
          <w:tcPr>
            <w:tcW w:w="941" w:type="dxa"/>
          </w:tcPr>
          <w:p>
            <w:pPr>
              <w:pStyle w:val="TableParagraph"/>
              <w:spacing w:before="5"/>
              <w:ind w:right="124"/>
              <w:jc w:val="right"/>
              <w:rPr>
                <w:sz w:val="18"/>
              </w:rPr>
            </w:pPr>
            <w:r>
              <w:rPr>
                <w:spacing w:val="-2"/>
                <w:sz w:val="18"/>
              </w:rPr>
              <w:t>3.019308</w:t>
            </w:r>
          </w:p>
        </w:tc>
        <w:tc>
          <w:tcPr>
            <w:tcW w:w="885" w:type="dxa"/>
          </w:tcPr>
          <w:p>
            <w:pPr>
              <w:pStyle w:val="TableParagraph"/>
              <w:spacing w:before="5"/>
              <w:ind w:right="10"/>
              <w:jc w:val="right"/>
              <w:rPr>
                <w:sz w:val="18"/>
              </w:rPr>
            </w:pPr>
            <w:r>
              <w:rPr>
                <w:spacing w:val="-2"/>
                <w:sz w:val="18"/>
              </w:rPr>
              <w:t>0.0077</w:t>
            </w:r>
          </w:p>
        </w:tc>
      </w:tr>
      <w:tr>
        <w:trPr>
          <w:trHeight w:val="225" w:hRule="atLeast"/>
        </w:trPr>
        <w:tc>
          <w:tcPr>
            <w:tcW w:w="1910" w:type="dxa"/>
          </w:tcPr>
          <w:p>
            <w:pPr>
              <w:pStyle w:val="TableParagraph"/>
              <w:ind w:left="523"/>
              <w:rPr>
                <w:sz w:val="18"/>
              </w:rPr>
            </w:pPr>
            <w:r>
              <w:rPr>
                <w:spacing w:val="-2"/>
                <w:sz w:val="18"/>
              </w:rPr>
              <w:t>D(INT(-5),2)</w:t>
            </w:r>
          </w:p>
        </w:tc>
        <w:tc>
          <w:tcPr>
            <w:tcW w:w="1307" w:type="dxa"/>
          </w:tcPr>
          <w:p>
            <w:pPr>
              <w:pStyle w:val="TableParagraph"/>
              <w:ind w:right="105"/>
              <w:jc w:val="right"/>
              <w:rPr>
                <w:sz w:val="18"/>
              </w:rPr>
            </w:pPr>
            <w:r>
              <w:rPr>
                <w:spacing w:val="-2"/>
                <w:sz w:val="18"/>
              </w:rPr>
              <w:t>0.753572</w:t>
            </w:r>
          </w:p>
        </w:tc>
        <w:tc>
          <w:tcPr>
            <w:tcW w:w="1492" w:type="dxa"/>
          </w:tcPr>
          <w:p>
            <w:pPr>
              <w:pStyle w:val="TableParagraph"/>
              <w:ind w:left="349"/>
              <w:rPr>
                <w:sz w:val="18"/>
              </w:rPr>
            </w:pPr>
            <w:r>
              <w:rPr>
                <w:spacing w:val="-2"/>
                <w:sz w:val="18"/>
              </w:rPr>
              <w:t>0.265000</w:t>
            </w:r>
          </w:p>
        </w:tc>
        <w:tc>
          <w:tcPr>
            <w:tcW w:w="941" w:type="dxa"/>
          </w:tcPr>
          <w:p>
            <w:pPr>
              <w:pStyle w:val="TableParagraph"/>
              <w:ind w:right="124"/>
              <w:jc w:val="right"/>
              <w:rPr>
                <w:sz w:val="18"/>
              </w:rPr>
            </w:pPr>
            <w:r>
              <w:rPr>
                <w:spacing w:val="-2"/>
                <w:sz w:val="18"/>
              </w:rPr>
              <w:t>2.843671</w:t>
            </w:r>
          </w:p>
        </w:tc>
        <w:tc>
          <w:tcPr>
            <w:tcW w:w="885" w:type="dxa"/>
          </w:tcPr>
          <w:p>
            <w:pPr>
              <w:pStyle w:val="TableParagraph"/>
              <w:ind w:right="10"/>
              <w:jc w:val="right"/>
              <w:rPr>
                <w:sz w:val="18"/>
              </w:rPr>
            </w:pPr>
            <w:r>
              <w:rPr>
                <w:spacing w:val="-2"/>
                <w:sz w:val="18"/>
              </w:rPr>
              <w:t>0.0112</w:t>
            </w:r>
          </w:p>
        </w:tc>
      </w:tr>
      <w:tr>
        <w:trPr>
          <w:trHeight w:val="225" w:hRule="atLeast"/>
        </w:trPr>
        <w:tc>
          <w:tcPr>
            <w:tcW w:w="1910" w:type="dxa"/>
          </w:tcPr>
          <w:p>
            <w:pPr>
              <w:pStyle w:val="TableParagraph"/>
              <w:ind w:left="523"/>
              <w:rPr>
                <w:sz w:val="18"/>
              </w:rPr>
            </w:pPr>
            <w:r>
              <w:rPr>
                <w:spacing w:val="-2"/>
                <w:sz w:val="18"/>
              </w:rPr>
              <w:t>D(INT(-6),2)</w:t>
            </w:r>
          </w:p>
        </w:tc>
        <w:tc>
          <w:tcPr>
            <w:tcW w:w="1307" w:type="dxa"/>
          </w:tcPr>
          <w:p>
            <w:pPr>
              <w:pStyle w:val="TableParagraph"/>
              <w:ind w:right="105"/>
              <w:jc w:val="right"/>
              <w:rPr>
                <w:sz w:val="18"/>
              </w:rPr>
            </w:pPr>
            <w:r>
              <w:rPr>
                <w:spacing w:val="-2"/>
                <w:sz w:val="18"/>
              </w:rPr>
              <w:t>0.473028</w:t>
            </w:r>
          </w:p>
        </w:tc>
        <w:tc>
          <w:tcPr>
            <w:tcW w:w="1492" w:type="dxa"/>
          </w:tcPr>
          <w:p>
            <w:pPr>
              <w:pStyle w:val="TableParagraph"/>
              <w:ind w:left="349"/>
              <w:rPr>
                <w:sz w:val="18"/>
              </w:rPr>
            </w:pPr>
            <w:r>
              <w:rPr>
                <w:spacing w:val="-2"/>
                <w:sz w:val="18"/>
              </w:rPr>
              <w:t>0.164072</w:t>
            </w:r>
          </w:p>
        </w:tc>
        <w:tc>
          <w:tcPr>
            <w:tcW w:w="941" w:type="dxa"/>
          </w:tcPr>
          <w:p>
            <w:pPr>
              <w:pStyle w:val="TableParagraph"/>
              <w:ind w:right="124"/>
              <w:jc w:val="right"/>
              <w:rPr>
                <w:sz w:val="18"/>
              </w:rPr>
            </w:pPr>
            <w:r>
              <w:rPr>
                <w:spacing w:val="-2"/>
                <w:sz w:val="18"/>
              </w:rPr>
              <w:t>2.883055</w:t>
            </w:r>
          </w:p>
        </w:tc>
        <w:tc>
          <w:tcPr>
            <w:tcW w:w="885" w:type="dxa"/>
          </w:tcPr>
          <w:p>
            <w:pPr>
              <w:pStyle w:val="TableParagraph"/>
              <w:ind w:right="10"/>
              <w:jc w:val="right"/>
              <w:rPr>
                <w:sz w:val="18"/>
              </w:rPr>
            </w:pPr>
            <w:r>
              <w:rPr>
                <w:spacing w:val="-2"/>
                <w:sz w:val="18"/>
              </w:rPr>
              <w:t>0.0103</w:t>
            </w:r>
          </w:p>
        </w:tc>
      </w:tr>
      <w:tr>
        <w:trPr>
          <w:trHeight w:val="224" w:hRule="atLeast"/>
        </w:trPr>
        <w:tc>
          <w:tcPr>
            <w:tcW w:w="1910" w:type="dxa"/>
          </w:tcPr>
          <w:p>
            <w:pPr>
              <w:pStyle w:val="TableParagraph"/>
              <w:spacing w:line="198" w:lineRule="exact"/>
              <w:ind w:left="523"/>
              <w:rPr>
                <w:sz w:val="18"/>
              </w:rPr>
            </w:pPr>
            <w:r>
              <w:rPr>
                <w:spacing w:val="-2"/>
                <w:sz w:val="18"/>
              </w:rPr>
              <w:t>D(INT(-7),2)</w:t>
            </w:r>
          </w:p>
        </w:tc>
        <w:tc>
          <w:tcPr>
            <w:tcW w:w="1307" w:type="dxa"/>
          </w:tcPr>
          <w:p>
            <w:pPr>
              <w:pStyle w:val="TableParagraph"/>
              <w:spacing w:line="198" w:lineRule="exact"/>
              <w:ind w:right="105"/>
              <w:jc w:val="right"/>
              <w:rPr>
                <w:sz w:val="18"/>
              </w:rPr>
            </w:pPr>
            <w:r>
              <w:rPr>
                <w:spacing w:val="-2"/>
                <w:sz w:val="18"/>
              </w:rPr>
              <w:t>0.310281</w:t>
            </w:r>
          </w:p>
        </w:tc>
        <w:tc>
          <w:tcPr>
            <w:tcW w:w="1492" w:type="dxa"/>
          </w:tcPr>
          <w:p>
            <w:pPr>
              <w:pStyle w:val="TableParagraph"/>
              <w:spacing w:line="198" w:lineRule="exact"/>
              <w:ind w:left="349"/>
              <w:rPr>
                <w:sz w:val="18"/>
              </w:rPr>
            </w:pPr>
            <w:r>
              <w:rPr>
                <w:spacing w:val="-2"/>
                <w:sz w:val="18"/>
              </w:rPr>
              <w:t>0.103160</w:t>
            </w:r>
          </w:p>
        </w:tc>
        <w:tc>
          <w:tcPr>
            <w:tcW w:w="941" w:type="dxa"/>
          </w:tcPr>
          <w:p>
            <w:pPr>
              <w:pStyle w:val="TableParagraph"/>
              <w:spacing w:line="198" w:lineRule="exact"/>
              <w:ind w:right="124"/>
              <w:jc w:val="right"/>
              <w:rPr>
                <w:sz w:val="18"/>
              </w:rPr>
            </w:pPr>
            <w:r>
              <w:rPr>
                <w:spacing w:val="-2"/>
                <w:sz w:val="18"/>
              </w:rPr>
              <w:t>3.007759</w:t>
            </w:r>
          </w:p>
        </w:tc>
        <w:tc>
          <w:tcPr>
            <w:tcW w:w="885" w:type="dxa"/>
          </w:tcPr>
          <w:p>
            <w:pPr>
              <w:pStyle w:val="TableParagraph"/>
              <w:spacing w:line="198" w:lineRule="exact"/>
              <w:ind w:right="10"/>
              <w:jc w:val="right"/>
              <w:rPr>
                <w:sz w:val="18"/>
              </w:rPr>
            </w:pPr>
            <w:r>
              <w:rPr>
                <w:spacing w:val="-2"/>
                <w:sz w:val="18"/>
              </w:rPr>
              <w:t>0.0079</w:t>
            </w:r>
          </w:p>
        </w:tc>
      </w:tr>
      <w:tr>
        <w:trPr>
          <w:trHeight w:val="302" w:hRule="atLeast"/>
        </w:trPr>
        <w:tc>
          <w:tcPr>
            <w:tcW w:w="1910" w:type="dxa"/>
            <w:tcBorders>
              <w:bottom w:val="double" w:sz="6" w:space="0" w:color="000000"/>
            </w:tcBorders>
          </w:tcPr>
          <w:p>
            <w:pPr>
              <w:pStyle w:val="TableParagraph"/>
              <w:spacing w:line="240" w:lineRule="auto" w:before="5"/>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before="5"/>
              <w:ind w:right="105"/>
              <w:jc w:val="right"/>
              <w:rPr>
                <w:sz w:val="18"/>
              </w:rPr>
            </w:pPr>
            <w:r>
              <w:rPr>
                <w:spacing w:val="-2"/>
                <w:sz w:val="18"/>
              </w:rPr>
              <w:t>-0.986562</w:t>
            </w:r>
          </w:p>
        </w:tc>
        <w:tc>
          <w:tcPr>
            <w:tcW w:w="1492" w:type="dxa"/>
            <w:tcBorders>
              <w:bottom w:val="double" w:sz="6" w:space="0" w:color="000000"/>
            </w:tcBorders>
          </w:tcPr>
          <w:p>
            <w:pPr>
              <w:pStyle w:val="TableParagraph"/>
              <w:spacing w:line="240" w:lineRule="auto" w:before="5"/>
              <w:ind w:left="349"/>
              <w:rPr>
                <w:sz w:val="18"/>
              </w:rPr>
            </w:pPr>
            <w:r>
              <w:rPr>
                <w:spacing w:val="-2"/>
                <w:sz w:val="18"/>
              </w:rPr>
              <w:t>0.453839</w:t>
            </w:r>
          </w:p>
        </w:tc>
        <w:tc>
          <w:tcPr>
            <w:tcW w:w="941" w:type="dxa"/>
            <w:tcBorders>
              <w:bottom w:val="double" w:sz="6" w:space="0" w:color="000000"/>
            </w:tcBorders>
          </w:tcPr>
          <w:p>
            <w:pPr>
              <w:pStyle w:val="TableParagraph"/>
              <w:spacing w:line="240" w:lineRule="auto" w:before="5"/>
              <w:ind w:right="124"/>
              <w:jc w:val="right"/>
              <w:rPr>
                <w:sz w:val="18"/>
              </w:rPr>
            </w:pPr>
            <w:r>
              <w:rPr>
                <w:spacing w:val="-2"/>
                <w:sz w:val="18"/>
              </w:rPr>
              <w:t>-2.173815</w:t>
            </w:r>
          </w:p>
        </w:tc>
        <w:tc>
          <w:tcPr>
            <w:tcW w:w="885" w:type="dxa"/>
            <w:tcBorders>
              <w:bottom w:val="double" w:sz="6" w:space="0" w:color="000000"/>
            </w:tcBorders>
          </w:tcPr>
          <w:p>
            <w:pPr>
              <w:pStyle w:val="TableParagraph"/>
              <w:spacing w:line="240" w:lineRule="auto" w:before="5"/>
              <w:ind w:right="10"/>
              <w:jc w:val="right"/>
              <w:rPr>
                <w:sz w:val="18"/>
              </w:rPr>
            </w:pPr>
            <w:r>
              <w:rPr>
                <w:spacing w:val="-2"/>
                <w:sz w:val="18"/>
              </w:rPr>
              <w:t>0.0441</w:t>
            </w:r>
          </w:p>
        </w:tc>
      </w:tr>
      <w:tr>
        <w:trPr>
          <w:trHeight w:val="327" w:hRule="atLeast"/>
        </w:trPr>
        <w:tc>
          <w:tcPr>
            <w:tcW w:w="1910" w:type="dxa"/>
            <w:tcBorders>
              <w:top w:val="double" w:sz="6" w:space="0" w:color="000000"/>
            </w:tcBorders>
          </w:tcPr>
          <w:p>
            <w:pPr>
              <w:pStyle w:val="TableParagraph"/>
              <w:spacing w:before="108"/>
              <w:rPr>
                <w:sz w:val="18"/>
              </w:rPr>
            </w:pPr>
            <w:r>
              <w:rPr>
                <w:spacing w:val="-2"/>
                <w:sz w:val="18"/>
              </w:rPr>
              <w:t>R-squared</w:t>
            </w:r>
          </w:p>
        </w:tc>
        <w:tc>
          <w:tcPr>
            <w:tcW w:w="1307" w:type="dxa"/>
            <w:tcBorders>
              <w:top w:val="double" w:sz="6" w:space="0" w:color="000000"/>
            </w:tcBorders>
          </w:tcPr>
          <w:p>
            <w:pPr>
              <w:pStyle w:val="TableParagraph"/>
              <w:spacing w:before="108"/>
              <w:ind w:right="105"/>
              <w:jc w:val="right"/>
              <w:rPr>
                <w:sz w:val="18"/>
              </w:rPr>
            </w:pPr>
            <w:r>
              <w:rPr>
                <w:spacing w:val="-2"/>
                <w:sz w:val="18"/>
              </w:rPr>
              <w:t>0.897618</w:t>
            </w:r>
          </w:p>
        </w:tc>
        <w:tc>
          <w:tcPr>
            <w:tcW w:w="2433" w:type="dxa"/>
            <w:gridSpan w:val="2"/>
            <w:tcBorders>
              <w:top w:val="double" w:sz="6" w:space="0" w:color="000000"/>
            </w:tcBorders>
          </w:tcPr>
          <w:p>
            <w:pPr>
              <w:pStyle w:val="TableParagraph"/>
              <w:spacing w:before="108"/>
              <w:ind w:left="105"/>
              <w:rPr>
                <w:sz w:val="18"/>
              </w:rPr>
            </w:pPr>
            <w:r>
              <w:rPr>
                <w:sz w:val="18"/>
              </w:rPr>
              <w:t>Mean</w:t>
            </w:r>
            <w:r>
              <w:rPr>
                <w:spacing w:val="-10"/>
                <w:sz w:val="18"/>
              </w:rPr>
              <w:t> </w:t>
            </w:r>
            <w:r>
              <w:rPr>
                <w:sz w:val="18"/>
              </w:rPr>
              <w:t>dependent</w:t>
            </w:r>
            <w:r>
              <w:rPr>
                <w:spacing w:val="-11"/>
                <w:sz w:val="18"/>
              </w:rPr>
              <w:t> </w:t>
            </w:r>
            <w:r>
              <w:rPr>
                <w:spacing w:val="-5"/>
                <w:sz w:val="18"/>
              </w:rPr>
              <w:t>var</w:t>
            </w:r>
          </w:p>
        </w:tc>
        <w:tc>
          <w:tcPr>
            <w:tcW w:w="885" w:type="dxa"/>
            <w:tcBorders>
              <w:top w:val="double" w:sz="6" w:space="0" w:color="000000"/>
            </w:tcBorders>
          </w:tcPr>
          <w:p>
            <w:pPr>
              <w:pStyle w:val="TableParagraph"/>
              <w:spacing w:before="108"/>
              <w:ind w:right="10"/>
              <w:jc w:val="right"/>
              <w:rPr>
                <w:sz w:val="18"/>
              </w:rPr>
            </w:pPr>
            <w:r>
              <w:rPr>
                <w:spacing w:val="-2"/>
                <w:sz w:val="18"/>
              </w:rPr>
              <w:t>0.456923</w:t>
            </w:r>
          </w:p>
        </w:tc>
      </w:tr>
      <w:tr>
        <w:trPr>
          <w:trHeight w:val="224" w:hRule="atLeast"/>
        </w:trPr>
        <w:tc>
          <w:tcPr>
            <w:tcW w:w="1910" w:type="dxa"/>
          </w:tcPr>
          <w:p>
            <w:pPr>
              <w:pStyle w:val="TableParagraph"/>
              <w:spacing w:line="198" w:lineRule="exact"/>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spacing w:line="198" w:lineRule="exact"/>
              <w:ind w:right="105"/>
              <w:jc w:val="right"/>
              <w:rPr>
                <w:sz w:val="18"/>
              </w:rPr>
            </w:pPr>
            <w:r>
              <w:rPr>
                <w:spacing w:val="-2"/>
                <w:sz w:val="18"/>
              </w:rPr>
              <w:t>0.849438</w:t>
            </w:r>
          </w:p>
        </w:tc>
        <w:tc>
          <w:tcPr>
            <w:tcW w:w="2433" w:type="dxa"/>
            <w:gridSpan w:val="2"/>
          </w:tcPr>
          <w:p>
            <w:pPr>
              <w:pStyle w:val="TableParagraph"/>
              <w:spacing w:line="198" w:lineRule="exact"/>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885" w:type="dxa"/>
          </w:tcPr>
          <w:p>
            <w:pPr>
              <w:pStyle w:val="TableParagraph"/>
              <w:spacing w:line="198" w:lineRule="exact"/>
              <w:ind w:right="10"/>
              <w:jc w:val="right"/>
              <w:rPr>
                <w:sz w:val="18"/>
              </w:rPr>
            </w:pPr>
            <w:r>
              <w:rPr>
                <w:spacing w:val="-2"/>
                <w:sz w:val="18"/>
              </w:rPr>
              <w:t>5.110423</w:t>
            </w:r>
          </w:p>
        </w:tc>
      </w:tr>
      <w:tr>
        <w:trPr>
          <w:trHeight w:val="224" w:hRule="atLeast"/>
        </w:trPr>
        <w:tc>
          <w:tcPr>
            <w:tcW w:w="1910" w:type="dxa"/>
          </w:tcPr>
          <w:p>
            <w:pPr>
              <w:pStyle w:val="TableParagraph"/>
              <w:spacing w:before="5"/>
              <w:rPr>
                <w:sz w:val="18"/>
              </w:rPr>
            </w:pPr>
            <w:r>
              <w:rPr>
                <w:sz w:val="18"/>
              </w:rPr>
              <w:t>S.E.</w:t>
            </w:r>
            <w:r>
              <w:rPr>
                <w:spacing w:val="-2"/>
                <w:sz w:val="18"/>
              </w:rPr>
              <w:t> </w:t>
            </w:r>
            <w:r>
              <w:rPr>
                <w:sz w:val="18"/>
              </w:rPr>
              <w:t>of </w:t>
            </w:r>
            <w:r>
              <w:rPr>
                <w:spacing w:val="-2"/>
                <w:sz w:val="18"/>
              </w:rPr>
              <w:t>regression</w:t>
            </w:r>
          </w:p>
        </w:tc>
        <w:tc>
          <w:tcPr>
            <w:tcW w:w="1307" w:type="dxa"/>
          </w:tcPr>
          <w:p>
            <w:pPr>
              <w:pStyle w:val="TableParagraph"/>
              <w:spacing w:before="5"/>
              <w:ind w:right="105"/>
              <w:jc w:val="right"/>
              <w:rPr>
                <w:sz w:val="18"/>
              </w:rPr>
            </w:pPr>
            <w:r>
              <w:rPr>
                <w:spacing w:val="-2"/>
                <w:sz w:val="18"/>
              </w:rPr>
              <w:t>1.982965</w:t>
            </w:r>
          </w:p>
        </w:tc>
        <w:tc>
          <w:tcPr>
            <w:tcW w:w="2433" w:type="dxa"/>
            <w:gridSpan w:val="2"/>
          </w:tcPr>
          <w:p>
            <w:pPr>
              <w:pStyle w:val="TableParagraph"/>
              <w:spacing w:before="5"/>
              <w:ind w:left="105"/>
              <w:rPr>
                <w:sz w:val="18"/>
              </w:rPr>
            </w:pPr>
            <w:r>
              <w:rPr>
                <w:sz w:val="18"/>
              </w:rPr>
              <w:t>Akaike</w:t>
            </w:r>
            <w:r>
              <w:rPr>
                <w:spacing w:val="-3"/>
                <w:sz w:val="18"/>
              </w:rPr>
              <w:t> </w:t>
            </w:r>
            <w:r>
              <w:rPr>
                <w:sz w:val="18"/>
              </w:rPr>
              <w:t>info</w:t>
            </w:r>
            <w:r>
              <w:rPr>
                <w:spacing w:val="-2"/>
                <w:sz w:val="18"/>
              </w:rPr>
              <w:t> criterion</w:t>
            </w:r>
          </w:p>
        </w:tc>
        <w:tc>
          <w:tcPr>
            <w:tcW w:w="885" w:type="dxa"/>
          </w:tcPr>
          <w:p>
            <w:pPr>
              <w:pStyle w:val="TableParagraph"/>
              <w:spacing w:before="5"/>
              <w:ind w:right="10"/>
              <w:jc w:val="right"/>
              <w:rPr>
                <w:sz w:val="18"/>
              </w:rPr>
            </w:pPr>
            <w:r>
              <w:rPr>
                <w:spacing w:val="-2"/>
                <w:sz w:val="18"/>
              </w:rPr>
              <w:t>4.474488</w:t>
            </w:r>
          </w:p>
        </w:tc>
      </w:tr>
      <w:tr>
        <w:trPr>
          <w:trHeight w:val="225" w:hRule="atLeast"/>
        </w:trPr>
        <w:tc>
          <w:tcPr>
            <w:tcW w:w="1910"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307" w:type="dxa"/>
          </w:tcPr>
          <w:p>
            <w:pPr>
              <w:pStyle w:val="TableParagraph"/>
              <w:ind w:right="105"/>
              <w:jc w:val="right"/>
              <w:rPr>
                <w:sz w:val="18"/>
              </w:rPr>
            </w:pPr>
            <w:r>
              <w:rPr>
                <w:spacing w:val="-2"/>
                <w:sz w:val="18"/>
              </w:rPr>
              <w:t>66.84653</w:t>
            </w:r>
          </w:p>
        </w:tc>
        <w:tc>
          <w:tcPr>
            <w:tcW w:w="1492" w:type="dxa"/>
          </w:tcPr>
          <w:p>
            <w:pPr>
              <w:pStyle w:val="TableParagraph"/>
              <w:ind w:left="105"/>
              <w:rPr>
                <w:sz w:val="18"/>
              </w:rPr>
            </w:pPr>
            <w:r>
              <w:rPr>
                <w:sz w:val="18"/>
              </w:rPr>
              <w:t>Schwarz</w:t>
            </w:r>
            <w:r>
              <w:rPr>
                <w:spacing w:val="-4"/>
                <w:sz w:val="18"/>
              </w:rPr>
              <w:t> </w:t>
            </w:r>
            <w:r>
              <w:rPr>
                <w:spacing w:val="-2"/>
                <w:sz w:val="18"/>
              </w:rPr>
              <w:t>criterion</w:t>
            </w:r>
          </w:p>
        </w:tc>
        <w:tc>
          <w:tcPr>
            <w:tcW w:w="941" w:type="dxa"/>
          </w:tcPr>
          <w:p>
            <w:pPr>
              <w:pStyle w:val="TableParagraph"/>
              <w:spacing w:line="240" w:lineRule="auto" w:before="0"/>
              <w:rPr>
                <w:rFonts w:ascii="Times New Roman"/>
                <w:sz w:val="16"/>
              </w:rPr>
            </w:pPr>
          </w:p>
        </w:tc>
        <w:tc>
          <w:tcPr>
            <w:tcW w:w="885" w:type="dxa"/>
          </w:tcPr>
          <w:p>
            <w:pPr>
              <w:pStyle w:val="TableParagraph"/>
              <w:ind w:right="10"/>
              <w:jc w:val="right"/>
              <w:rPr>
                <w:sz w:val="18"/>
              </w:rPr>
            </w:pPr>
            <w:r>
              <w:rPr>
                <w:spacing w:val="-2"/>
                <w:sz w:val="18"/>
              </w:rPr>
              <w:t>4.909983</w:t>
            </w:r>
          </w:p>
        </w:tc>
      </w:tr>
      <w:tr>
        <w:trPr>
          <w:trHeight w:val="225" w:hRule="atLeast"/>
        </w:trPr>
        <w:tc>
          <w:tcPr>
            <w:tcW w:w="1910" w:type="dxa"/>
          </w:tcPr>
          <w:p>
            <w:pPr>
              <w:pStyle w:val="TableParagraph"/>
              <w:rPr>
                <w:sz w:val="18"/>
              </w:rPr>
            </w:pPr>
            <w:r>
              <w:rPr>
                <w:sz w:val="18"/>
              </w:rPr>
              <w:t>Log</w:t>
            </w:r>
            <w:r>
              <w:rPr>
                <w:spacing w:val="-3"/>
                <w:sz w:val="18"/>
              </w:rPr>
              <w:t> </w:t>
            </w:r>
            <w:r>
              <w:rPr>
                <w:spacing w:val="-2"/>
                <w:sz w:val="18"/>
              </w:rPr>
              <w:t>likelihood</w:t>
            </w:r>
          </w:p>
        </w:tc>
        <w:tc>
          <w:tcPr>
            <w:tcW w:w="1307" w:type="dxa"/>
          </w:tcPr>
          <w:p>
            <w:pPr>
              <w:pStyle w:val="TableParagraph"/>
              <w:ind w:right="105"/>
              <w:jc w:val="right"/>
              <w:rPr>
                <w:sz w:val="18"/>
              </w:rPr>
            </w:pPr>
            <w:r>
              <w:rPr>
                <w:spacing w:val="-2"/>
                <w:sz w:val="18"/>
              </w:rPr>
              <w:t>-49.16834</w:t>
            </w:r>
          </w:p>
        </w:tc>
        <w:tc>
          <w:tcPr>
            <w:tcW w:w="2433" w:type="dxa"/>
            <w:gridSpan w:val="2"/>
          </w:tcPr>
          <w:p>
            <w:pPr>
              <w:pStyle w:val="TableParagraph"/>
              <w:ind w:left="105"/>
              <w:rPr>
                <w:sz w:val="18"/>
              </w:rPr>
            </w:pPr>
            <w:r>
              <w:rPr>
                <w:spacing w:val="-2"/>
                <w:sz w:val="18"/>
              </w:rPr>
              <w:t>Hannan-Quinn</w:t>
            </w:r>
            <w:r>
              <w:rPr>
                <w:spacing w:val="11"/>
                <w:sz w:val="18"/>
              </w:rPr>
              <w:t> </w:t>
            </w:r>
            <w:r>
              <w:rPr>
                <w:spacing w:val="-2"/>
                <w:sz w:val="18"/>
              </w:rPr>
              <w:t>criter.</w:t>
            </w:r>
          </w:p>
        </w:tc>
        <w:tc>
          <w:tcPr>
            <w:tcW w:w="885" w:type="dxa"/>
          </w:tcPr>
          <w:p>
            <w:pPr>
              <w:pStyle w:val="TableParagraph"/>
              <w:ind w:right="10"/>
              <w:jc w:val="right"/>
              <w:rPr>
                <w:sz w:val="18"/>
              </w:rPr>
            </w:pPr>
            <w:r>
              <w:rPr>
                <w:spacing w:val="-2"/>
                <w:sz w:val="18"/>
              </w:rPr>
              <w:t>4.599894</w:t>
            </w:r>
          </w:p>
        </w:tc>
      </w:tr>
      <w:tr>
        <w:trPr>
          <w:trHeight w:val="224" w:hRule="atLeast"/>
        </w:trPr>
        <w:tc>
          <w:tcPr>
            <w:tcW w:w="1910" w:type="dxa"/>
          </w:tcPr>
          <w:p>
            <w:pPr>
              <w:pStyle w:val="TableParagraph"/>
              <w:spacing w:line="198" w:lineRule="exact"/>
              <w:rPr>
                <w:sz w:val="18"/>
              </w:rPr>
            </w:pPr>
            <w:r>
              <w:rPr>
                <w:spacing w:val="-2"/>
                <w:sz w:val="18"/>
              </w:rPr>
              <w:t>F-statistic</w:t>
            </w:r>
          </w:p>
        </w:tc>
        <w:tc>
          <w:tcPr>
            <w:tcW w:w="1307" w:type="dxa"/>
          </w:tcPr>
          <w:p>
            <w:pPr>
              <w:pStyle w:val="TableParagraph"/>
              <w:spacing w:line="198" w:lineRule="exact"/>
              <w:ind w:right="105"/>
              <w:jc w:val="right"/>
              <w:rPr>
                <w:sz w:val="18"/>
              </w:rPr>
            </w:pPr>
            <w:r>
              <w:rPr>
                <w:spacing w:val="-2"/>
                <w:sz w:val="18"/>
              </w:rPr>
              <w:t>18.63053</w:t>
            </w:r>
          </w:p>
        </w:tc>
        <w:tc>
          <w:tcPr>
            <w:tcW w:w="2433" w:type="dxa"/>
            <w:gridSpan w:val="2"/>
          </w:tcPr>
          <w:p>
            <w:pPr>
              <w:pStyle w:val="TableParagraph"/>
              <w:spacing w:line="198" w:lineRule="exact"/>
              <w:ind w:left="105"/>
              <w:rPr>
                <w:sz w:val="18"/>
              </w:rPr>
            </w:pPr>
            <w:r>
              <w:rPr>
                <w:spacing w:val="-2"/>
                <w:sz w:val="18"/>
              </w:rPr>
              <w:t>Durbin-Watson</w:t>
            </w:r>
            <w:r>
              <w:rPr>
                <w:spacing w:val="13"/>
                <w:sz w:val="18"/>
              </w:rPr>
              <w:t> </w:t>
            </w:r>
            <w:r>
              <w:rPr>
                <w:spacing w:val="-4"/>
                <w:sz w:val="18"/>
              </w:rPr>
              <w:t>stat</w:t>
            </w:r>
          </w:p>
        </w:tc>
        <w:tc>
          <w:tcPr>
            <w:tcW w:w="885" w:type="dxa"/>
          </w:tcPr>
          <w:p>
            <w:pPr>
              <w:pStyle w:val="TableParagraph"/>
              <w:spacing w:line="198" w:lineRule="exact"/>
              <w:ind w:right="10"/>
              <w:jc w:val="right"/>
              <w:rPr>
                <w:sz w:val="18"/>
              </w:rPr>
            </w:pPr>
            <w:r>
              <w:rPr>
                <w:spacing w:val="-2"/>
                <w:sz w:val="18"/>
              </w:rPr>
              <w:t>2.003598</w:t>
            </w:r>
          </w:p>
        </w:tc>
      </w:tr>
      <w:tr>
        <w:trPr>
          <w:trHeight w:val="302" w:hRule="atLeast"/>
        </w:trPr>
        <w:tc>
          <w:tcPr>
            <w:tcW w:w="1910" w:type="dxa"/>
            <w:tcBorders>
              <w:bottom w:val="double" w:sz="6" w:space="0" w:color="000000"/>
            </w:tcBorders>
          </w:tcPr>
          <w:p>
            <w:pPr>
              <w:pStyle w:val="TableParagraph"/>
              <w:spacing w:line="240" w:lineRule="auto" w:before="5"/>
              <w:rPr>
                <w:sz w:val="18"/>
              </w:rPr>
            </w:pPr>
            <w:r>
              <w:rPr>
                <w:spacing w:val="-2"/>
                <w:sz w:val="18"/>
              </w:rPr>
              <w:t>Prob(F-statistic)</w:t>
            </w:r>
          </w:p>
        </w:tc>
        <w:tc>
          <w:tcPr>
            <w:tcW w:w="1307" w:type="dxa"/>
            <w:tcBorders>
              <w:bottom w:val="double" w:sz="6" w:space="0" w:color="000000"/>
            </w:tcBorders>
          </w:tcPr>
          <w:p>
            <w:pPr>
              <w:pStyle w:val="TableParagraph"/>
              <w:spacing w:line="240" w:lineRule="auto" w:before="5"/>
              <w:ind w:right="105"/>
              <w:jc w:val="right"/>
              <w:rPr>
                <w:sz w:val="18"/>
              </w:rPr>
            </w:pPr>
            <w:r>
              <w:rPr>
                <w:spacing w:val="-2"/>
                <w:sz w:val="18"/>
              </w:rPr>
              <w:t>0.000001</w:t>
            </w:r>
          </w:p>
        </w:tc>
        <w:tc>
          <w:tcPr>
            <w:tcW w:w="2433" w:type="dxa"/>
            <w:gridSpan w:val="2"/>
            <w:tcBorders>
              <w:bottom w:val="double" w:sz="6" w:space="0" w:color="000000"/>
            </w:tcBorders>
          </w:tcPr>
          <w:p>
            <w:pPr>
              <w:pStyle w:val="TableParagraph"/>
              <w:spacing w:line="240" w:lineRule="auto" w:before="0"/>
              <w:rPr>
                <w:rFonts w:ascii="Times New Roman"/>
                <w:sz w:val="18"/>
              </w:rPr>
            </w:pPr>
          </w:p>
        </w:tc>
        <w:tc>
          <w:tcPr>
            <w:tcW w:w="885"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34784">
                <wp:simplePos x="0" y="0"/>
                <wp:positionH relativeFrom="page">
                  <wp:posOffset>950112</wp:posOffset>
                </wp:positionH>
                <wp:positionV relativeFrom="page">
                  <wp:posOffset>6343167</wp:posOffset>
                </wp:positionV>
                <wp:extent cx="1515110" cy="1515110"/>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1515110" cy="1515110"/>
                        </a:xfrm>
                        <a:custGeom>
                          <a:avLst/>
                          <a:gdLst/>
                          <a:ahLst/>
                          <a:cxnLst/>
                          <a:rect l="l" t="t" r="r" b="b"/>
                          <a:pathLst>
                            <a:path w="1515110" h="1515110">
                              <a:moveTo>
                                <a:pt x="677011" y="1391132"/>
                              </a:moveTo>
                              <a:lnTo>
                                <a:pt x="123825" y="838047"/>
                              </a:lnTo>
                              <a:lnTo>
                                <a:pt x="0" y="961872"/>
                              </a:lnTo>
                              <a:lnTo>
                                <a:pt x="553186" y="1514957"/>
                              </a:lnTo>
                              <a:lnTo>
                                <a:pt x="677011" y="1391132"/>
                              </a:lnTo>
                              <a:close/>
                            </a:path>
                            <a:path w="1515110" h="1515110">
                              <a:moveTo>
                                <a:pt x="1052677" y="961936"/>
                              </a:moveTo>
                              <a:lnTo>
                                <a:pt x="1048994" y="909675"/>
                              </a:lnTo>
                              <a:lnTo>
                                <a:pt x="1033970" y="854011"/>
                              </a:lnTo>
                              <a:lnTo>
                                <a:pt x="1007338" y="798804"/>
                              </a:lnTo>
                              <a:lnTo>
                                <a:pt x="970724" y="745858"/>
                              </a:lnTo>
                              <a:lnTo>
                                <a:pt x="925931" y="695553"/>
                              </a:lnTo>
                              <a:lnTo>
                                <a:pt x="596112" y="365734"/>
                              </a:lnTo>
                              <a:lnTo>
                                <a:pt x="472795" y="489051"/>
                              </a:lnTo>
                              <a:lnTo>
                                <a:pt x="810361" y="826744"/>
                              </a:lnTo>
                              <a:lnTo>
                                <a:pt x="830872" y="849553"/>
                              </a:lnTo>
                              <a:lnTo>
                                <a:pt x="846518" y="872020"/>
                              </a:lnTo>
                              <a:lnTo>
                                <a:pt x="857364" y="894118"/>
                              </a:lnTo>
                              <a:lnTo>
                                <a:pt x="863447" y="915771"/>
                              </a:lnTo>
                              <a:lnTo>
                                <a:pt x="864400" y="936612"/>
                              </a:lnTo>
                              <a:lnTo>
                                <a:pt x="860463" y="956056"/>
                              </a:lnTo>
                              <a:lnTo>
                                <a:pt x="838047" y="990701"/>
                              </a:lnTo>
                              <a:lnTo>
                                <a:pt x="803135" y="1013269"/>
                              </a:lnTo>
                              <a:lnTo>
                                <a:pt x="783590" y="1017054"/>
                              </a:lnTo>
                              <a:lnTo>
                                <a:pt x="762609" y="1015720"/>
                              </a:lnTo>
                              <a:lnTo>
                                <a:pt x="718540" y="999045"/>
                              </a:lnTo>
                              <a:lnTo>
                                <a:pt x="673709" y="963396"/>
                              </a:lnTo>
                              <a:lnTo>
                                <a:pt x="336143" y="625703"/>
                              </a:lnTo>
                              <a:lnTo>
                                <a:pt x="212750" y="749020"/>
                              </a:lnTo>
                              <a:lnTo>
                                <a:pt x="542518" y="1078839"/>
                              </a:lnTo>
                              <a:lnTo>
                                <a:pt x="589267" y="1119746"/>
                              </a:lnTo>
                              <a:lnTo>
                                <a:pt x="647547" y="1161008"/>
                              </a:lnTo>
                              <a:lnTo>
                                <a:pt x="690029" y="1183005"/>
                              </a:lnTo>
                              <a:lnTo>
                                <a:pt x="737844" y="1198219"/>
                              </a:lnTo>
                              <a:lnTo>
                                <a:pt x="785317" y="1205611"/>
                              </a:lnTo>
                              <a:lnTo>
                                <a:pt x="807148" y="1205712"/>
                              </a:lnTo>
                              <a:lnTo>
                                <a:pt x="827760" y="1203553"/>
                              </a:lnTo>
                              <a:lnTo>
                                <a:pt x="867854" y="1191679"/>
                              </a:lnTo>
                              <a:lnTo>
                                <a:pt x="908151" y="1168374"/>
                              </a:lnTo>
                              <a:lnTo>
                                <a:pt x="945184" y="1139139"/>
                              </a:lnTo>
                              <a:lnTo>
                                <a:pt x="976985" y="1110081"/>
                              </a:lnTo>
                              <a:lnTo>
                                <a:pt x="1019340" y="1058672"/>
                              </a:lnTo>
                              <a:lnTo>
                                <a:pt x="1045311" y="1005433"/>
                              </a:lnTo>
                              <a:lnTo>
                                <a:pt x="1050315" y="984796"/>
                              </a:lnTo>
                              <a:lnTo>
                                <a:pt x="1052677" y="961936"/>
                              </a:lnTo>
                              <a:close/>
                            </a:path>
                            <a:path w="1515110" h="1515110">
                              <a:moveTo>
                                <a:pt x="1514894" y="464566"/>
                              </a:moveTo>
                              <a:lnTo>
                                <a:pt x="1510919" y="423811"/>
                              </a:lnTo>
                              <a:lnTo>
                                <a:pt x="1500898" y="382244"/>
                              </a:lnTo>
                              <a:lnTo>
                                <a:pt x="1484604" y="339826"/>
                              </a:lnTo>
                              <a:lnTo>
                                <a:pt x="1466773" y="305308"/>
                              </a:lnTo>
                              <a:lnTo>
                                <a:pt x="1444371" y="269735"/>
                              </a:lnTo>
                              <a:lnTo>
                                <a:pt x="1417307" y="233159"/>
                              </a:lnTo>
                              <a:lnTo>
                                <a:pt x="1385633" y="195694"/>
                              </a:lnTo>
                              <a:lnTo>
                                <a:pt x="1374317" y="183781"/>
                              </a:lnTo>
                              <a:lnTo>
                                <a:pt x="1349222" y="157327"/>
                              </a:lnTo>
                              <a:lnTo>
                                <a:pt x="1334046" y="143205"/>
                              </a:lnTo>
                              <a:lnTo>
                                <a:pt x="1334046" y="456844"/>
                              </a:lnTo>
                              <a:lnTo>
                                <a:pt x="1330934" y="482396"/>
                              </a:lnTo>
                              <a:lnTo>
                                <a:pt x="1304518" y="526770"/>
                              </a:lnTo>
                              <a:lnTo>
                                <a:pt x="1260602" y="552462"/>
                              </a:lnTo>
                              <a:lnTo>
                                <a:pt x="1234897" y="555282"/>
                              </a:lnTo>
                              <a:lnTo>
                                <a:pt x="1206601" y="551281"/>
                              </a:lnTo>
                              <a:lnTo>
                                <a:pt x="1141285" y="519722"/>
                              </a:lnTo>
                              <a:lnTo>
                                <a:pt x="1103972" y="491032"/>
                              </a:lnTo>
                              <a:lnTo>
                                <a:pt x="1063599" y="453504"/>
                              </a:lnTo>
                              <a:lnTo>
                                <a:pt x="1025931" y="412915"/>
                              </a:lnTo>
                              <a:lnTo>
                                <a:pt x="997051" y="375399"/>
                              </a:lnTo>
                              <a:lnTo>
                                <a:pt x="976833" y="341020"/>
                              </a:lnTo>
                              <a:lnTo>
                                <a:pt x="961161" y="281571"/>
                              </a:lnTo>
                              <a:lnTo>
                                <a:pt x="963866" y="255993"/>
                              </a:lnTo>
                              <a:lnTo>
                                <a:pt x="988669" y="213080"/>
                              </a:lnTo>
                              <a:lnTo>
                                <a:pt x="1032649" y="187071"/>
                              </a:lnTo>
                              <a:lnTo>
                                <a:pt x="1058367" y="183781"/>
                              </a:lnTo>
                              <a:lnTo>
                                <a:pt x="1086497" y="187071"/>
                              </a:lnTo>
                              <a:lnTo>
                                <a:pt x="1150048" y="216941"/>
                              </a:lnTo>
                              <a:lnTo>
                                <a:pt x="1185506" y="243789"/>
                              </a:lnTo>
                              <a:lnTo>
                                <a:pt x="1223365" y="278739"/>
                              </a:lnTo>
                              <a:lnTo>
                                <a:pt x="1264780" y="322999"/>
                              </a:lnTo>
                              <a:lnTo>
                                <a:pt x="1296352" y="362902"/>
                              </a:lnTo>
                              <a:lnTo>
                                <a:pt x="1318158" y="398348"/>
                              </a:lnTo>
                              <a:lnTo>
                                <a:pt x="1334046" y="456844"/>
                              </a:lnTo>
                              <a:lnTo>
                                <a:pt x="1334046" y="143205"/>
                              </a:lnTo>
                              <a:lnTo>
                                <a:pt x="1304836" y="116014"/>
                              </a:lnTo>
                              <a:lnTo>
                                <a:pt x="1260716" y="81051"/>
                              </a:lnTo>
                              <a:lnTo>
                                <a:pt x="1216901" y="52387"/>
                              </a:lnTo>
                              <a:lnTo>
                                <a:pt x="1173378" y="29946"/>
                              </a:lnTo>
                              <a:lnTo>
                                <a:pt x="1130185" y="13690"/>
                              </a:lnTo>
                              <a:lnTo>
                                <a:pt x="1087348" y="3530"/>
                              </a:lnTo>
                              <a:lnTo>
                                <a:pt x="1037310" y="0"/>
                              </a:lnTo>
                              <a:lnTo>
                                <a:pt x="989495" y="6350"/>
                              </a:lnTo>
                              <a:lnTo>
                                <a:pt x="943914" y="22479"/>
                              </a:lnTo>
                              <a:lnTo>
                                <a:pt x="900569" y="48260"/>
                              </a:lnTo>
                              <a:lnTo>
                                <a:pt x="859510" y="83540"/>
                              </a:lnTo>
                              <a:lnTo>
                                <a:pt x="825169" y="123825"/>
                              </a:lnTo>
                              <a:lnTo>
                                <a:pt x="800252" y="166725"/>
                              </a:lnTo>
                              <a:lnTo>
                                <a:pt x="784847" y="212242"/>
                              </a:lnTo>
                              <a:lnTo>
                                <a:pt x="779043" y="260299"/>
                              </a:lnTo>
                              <a:lnTo>
                                <a:pt x="782929" y="310870"/>
                              </a:lnTo>
                              <a:lnTo>
                                <a:pt x="793407" y="354266"/>
                              </a:lnTo>
                              <a:lnTo>
                                <a:pt x="810056" y="398068"/>
                              </a:lnTo>
                              <a:lnTo>
                                <a:pt x="832916" y="442226"/>
                              </a:lnTo>
                              <a:lnTo>
                                <a:pt x="862050" y="486702"/>
                              </a:lnTo>
                              <a:lnTo>
                                <a:pt x="897521" y="531456"/>
                              </a:lnTo>
                              <a:lnTo>
                                <a:pt x="939393" y="576427"/>
                              </a:lnTo>
                              <a:lnTo>
                                <a:pt x="977900" y="612711"/>
                              </a:lnTo>
                              <a:lnTo>
                                <a:pt x="1016127" y="644182"/>
                              </a:lnTo>
                              <a:lnTo>
                                <a:pt x="1053998" y="670890"/>
                              </a:lnTo>
                              <a:lnTo>
                                <a:pt x="1091438" y="692912"/>
                              </a:lnTo>
                              <a:lnTo>
                                <a:pt x="1128369" y="710285"/>
                              </a:lnTo>
                              <a:lnTo>
                                <a:pt x="1173124" y="725754"/>
                              </a:lnTo>
                              <a:lnTo>
                                <a:pt x="1215783" y="734428"/>
                              </a:lnTo>
                              <a:lnTo>
                                <a:pt x="1256322" y="736612"/>
                              </a:lnTo>
                              <a:lnTo>
                                <a:pt x="1294739" y="732637"/>
                              </a:lnTo>
                              <a:lnTo>
                                <a:pt x="1331429" y="722337"/>
                              </a:lnTo>
                              <a:lnTo>
                                <a:pt x="1367269" y="705104"/>
                              </a:lnTo>
                              <a:lnTo>
                                <a:pt x="1402270" y="681113"/>
                              </a:lnTo>
                              <a:lnTo>
                                <a:pt x="1436471" y="650595"/>
                              </a:lnTo>
                              <a:lnTo>
                                <a:pt x="1466303" y="616458"/>
                              </a:lnTo>
                              <a:lnTo>
                                <a:pt x="1489087" y="580720"/>
                              </a:lnTo>
                              <a:lnTo>
                                <a:pt x="1504708" y="543407"/>
                              </a:lnTo>
                              <a:lnTo>
                                <a:pt x="1513052" y="504545"/>
                              </a:lnTo>
                              <a:lnTo>
                                <a:pt x="1514894" y="46456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99.461975pt;width:119.3pt;height:119.3pt;mso-position-horizontal-relative:page;mso-position-vertical-relative:page;z-index:-25181696" id="docshape267" coordorigin="1496,9989" coordsize="2386,2386"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35296">
                <wp:simplePos x="0" y="0"/>
                <wp:positionH relativeFrom="page">
                  <wp:posOffset>2284476</wp:posOffset>
                </wp:positionH>
                <wp:positionV relativeFrom="page">
                  <wp:posOffset>2197353</wp:posOffset>
                </wp:positionV>
                <wp:extent cx="4171315" cy="4403725"/>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4171315" cy="4403725"/>
                        </a:xfrm>
                        <a:custGeom>
                          <a:avLst/>
                          <a:gdLst/>
                          <a:ahLst/>
                          <a:cxnLst/>
                          <a:rect l="l" t="t" r="r" b="b"/>
                          <a:pathLst>
                            <a:path w="4171315" h="4403725">
                              <a:moveTo>
                                <a:pt x="352679" y="4242308"/>
                              </a:moveTo>
                              <a:lnTo>
                                <a:pt x="233934" y="4123436"/>
                              </a:lnTo>
                              <a:lnTo>
                                <a:pt x="72517" y="4284980"/>
                              </a:lnTo>
                              <a:lnTo>
                                <a:pt x="191262" y="4403725"/>
                              </a:lnTo>
                              <a:lnTo>
                                <a:pt x="352679" y="4242308"/>
                              </a:lnTo>
                              <a:close/>
                            </a:path>
                            <a:path w="4171315" h="4403725">
                              <a:moveTo>
                                <a:pt x="677037" y="4202557"/>
                              </a:moveTo>
                              <a:lnTo>
                                <a:pt x="123825" y="3649345"/>
                              </a:lnTo>
                              <a:lnTo>
                                <a:pt x="0" y="3773170"/>
                              </a:lnTo>
                              <a:lnTo>
                                <a:pt x="553212" y="4326382"/>
                              </a:lnTo>
                              <a:lnTo>
                                <a:pt x="677037" y="4202557"/>
                              </a:lnTo>
                              <a:close/>
                            </a:path>
                            <a:path w="4171315" h="4403725">
                              <a:moveTo>
                                <a:pt x="889254" y="3990340"/>
                              </a:moveTo>
                              <a:lnTo>
                                <a:pt x="684022" y="3784981"/>
                              </a:lnTo>
                              <a:lnTo>
                                <a:pt x="751713" y="3717290"/>
                              </a:lnTo>
                              <a:lnTo>
                                <a:pt x="783844" y="3679304"/>
                              </a:lnTo>
                              <a:lnTo>
                                <a:pt x="787311" y="3672967"/>
                              </a:lnTo>
                              <a:lnTo>
                                <a:pt x="805307" y="3640201"/>
                              </a:lnTo>
                              <a:lnTo>
                                <a:pt x="816000" y="3600069"/>
                              </a:lnTo>
                              <a:lnTo>
                                <a:pt x="815848" y="3558921"/>
                              </a:lnTo>
                              <a:lnTo>
                                <a:pt x="805688" y="3517239"/>
                              </a:lnTo>
                              <a:lnTo>
                                <a:pt x="790917" y="3484930"/>
                              </a:lnTo>
                              <a:lnTo>
                                <a:pt x="786587" y="3475444"/>
                              </a:lnTo>
                              <a:lnTo>
                                <a:pt x="758456" y="3433572"/>
                              </a:lnTo>
                              <a:lnTo>
                                <a:pt x="721233" y="3391662"/>
                              </a:lnTo>
                              <a:lnTo>
                                <a:pt x="680707" y="3355416"/>
                              </a:lnTo>
                              <a:lnTo>
                                <a:pt x="640676" y="3328060"/>
                              </a:lnTo>
                              <a:lnTo>
                                <a:pt x="635127" y="3325444"/>
                              </a:lnTo>
                              <a:lnTo>
                                <a:pt x="635127" y="3575050"/>
                              </a:lnTo>
                              <a:lnTo>
                                <a:pt x="634339" y="3591293"/>
                              </a:lnTo>
                              <a:lnTo>
                                <a:pt x="628484" y="3607993"/>
                              </a:lnTo>
                              <a:lnTo>
                                <a:pt x="617728" y="3625151"/>
                              </a:lnTo>
                              <a:lnTo>
                                <a:pt x="602234" y="3642741"/>
                              </a:lnTo>
                              <a:lnTo>
                                <a:pt x="572008" y="3672967"/>
                              </a:lnTo>
                              <a:lnTo>
                                <a:pt x="448564" y="3549523"/>
                              </a:lnTo>
                              <a:lnTo>
                                <a:pt x="483743" y="3514344"/>
                              </a:lnTo>
                              <a:lnTo>
                                <a:pt x="500862" y="3499459"/>
                              </a:lnTo>
                              <a:lnTo>
                                <a:pt x="517423" y="3489668"/>
                              </a:lnTo>
                              <a:lnTo>
                                <a:pt x="533463" y="3484930"/>
                              </a:lnTo>
                              <a:lnTo>
                                <a:pt x="549021" y="3485261"/>
                              </a:lnTo>
                              <a:lnTo>
                                <a:pt x="592467" y="3505149"/>
                              </a:lnTo>
                              <a:lnTo>
                                <a:pt x="626402" y="3544824"/>
                              </a:lnTo>
                              <a:lnTo>
                                <a:pt x="635127" y="3575050"/>
                              </a:lnTo>
                              <a:lnTo>
                                <a:pt x="635127" y="3325444"/>
                              </a:lnTo>
                              <a:lnTo>
                                <a:pt x="601179" y="3309391"/>
                              </a:lnTo>
                              <a:lnTo>
                                <a:pt x="562229" y="3299206"/>
                              </a:lnTo>
                              <a:lnTo>
                                <a:pt x="524078" y="3298609"/>
                              </a:lnTo>
                              <a:lnTo>
                                <a:pt x="487210" y="3307956"/>
                              </a:lnTo>
                              <a:lnTo>
                                <a:pt x="451650" y="3327095"/>
                              </a:lnTo>
                              <a:lnTo>
                                <a:pt x="417449" y="3355848"/>
                              </a:lnTo>
                              <a:lnTo>
                                <a:pt x="211963" y="3561207"/>
                              </a:lnTo>
                              <a:lnTo>
                                <a:pt x="765175" y="4114419"/>
                              </a:lnTo>
                              <a:lnTo>
                                <a:pt x="889254" y="3990340"/>
                              </a:lnTo>
                              <a:close/>
                            </a:path>
                            <a:path w="4171315" h="4403725">
                              <a:moveTo>
                                <a:pt x="1390777" y="3488817"/>
                              </a:moveTo>
                              <a:lnTo>
                                <a:pt x="974077" y="3072257"/>
                              </a:lnTo>
                              <a:lnTo>
                                <a:pt x="1100201" y="2946146"/>
                              </a:lnTo>
                              <a:lnTo>
                                <a:pt x="963676" y="2809621"/>
                              </a:lnTo>
                              <a:lnTo>
                                <a:pt x="588010" y="3185287"/>
                              </a:lnTo>
                              <a:lnTo>
                                <a:pt x="724535" y="3321812"/>
                              </a:lnTo>
                              <a:lnTo>
                                <a:pt x="850519" y="3195828"/>
                              </a:lnTo>
                              <a:lnTo>
                                <a:pt x="1267206" y="3612388"/>
                              </a:lnTo>
                              <a:lnTo>
                                <a:pt x="1390777" y="3488817"/>
                              </a:lnTo>
                              <a:close/>
                            </a:path>
                            <a:path w="4171315" h="4403725">
                              <a:moveTo>
                                <a:pt x="1794256" y="3085338"/>
                              </a:moveTo>
                              <a:lnTo>
                                <a:pt x="1377696" y="2668651"/>
                              </a:lnTo>
                              <a:lnTo>
                                <a:pt x="1503680" y="2542667"/>
                              </a:lnTo>
                              <a:lnTo>
                                <a:pt x="1367155" y="2406142"/>
                              </a:lnTo>
                              <a:lnTo>
                                <a:pt x="991489" y="2781808"/>
                              </a:lnTo>
                              <a:lnTo>
                                <a:pt x="1128141" y="2918333"/>
                              </a:lnTo>
                              <a:lnTo>
                                <a:pt x="1254125" y="2792349"/>
                              </a:lnTo>
                              <a:lnTo>
                                <a:pt x="1670685" y="3208909"/>
                              </a:lnTo>
                              <a:lnTo>
                                <a:pt x="1794256" y="3085338"/>
                              </a:lnTo>
                              <a:close/>
                            </a:path>
                            <a:path w="4171315" h="4403725">
                              <a:moveTo>
                                <a:pt x="2260041" y="2530856"/>
                              </a:moveTo>
                              <a:lnTo>
                                <a:pt x="2256117" y="2490063"/>
                              </a:lnTo>
                              <a:lnTo>
                                <a:pt x="2246147" y="2448458"/>
                              </a:lnTo>
                              <a:lnTo>
                                <a:pt x="2229866" y="2406015"/>
                              </a:lnTo>
                              <a:lnTo>
                                <a:pt x="2211971" y="2371560"/>
                              </a:lnTo>
                              <a:lnTo>
                                <a:pt x="2189530" y="2336038"/>
                              </a:lnTo>
                              <a:lnTo>
                                <a:pt x="2162416" y="2299449"/>
                              </a:lnTo>
                              <a:lnTo>
                                <a:pt x="2130768" y="2262073"/>
                              </a:lnTo>
                              <a:lnTo>
                                <a:pt x="2119376" y="2250097"/>
                              </a:lnTo>
                              <a:lnTo>
                                <a:pt x="2094357" y="2223770"/>
                              </a:lnTo>
                              <a:lnTo>
                                <a:pt x="2079180" y="2209635"/>
                              </a:lnTo>
                              <a:lnTo>
                                <a:pt x="2079180" y="2523134"/>
                              </a:lnTo>
                              <a:lnTo>
                                <a:pt x="2076043" y="2548661"/>
                              </a:lnTo>
                              <a:lnTo>
                                <a:pt x="2049526" y="2593086"/>
                              </a:lnTo>
                              <a:lnTo>
                                <a:pt x="2005787" y="2618714"/>
                              </a:lnTo>
                              <a:lnTo>
                                <a:pt x="1980133" y="2621483"/>
                              </a:lnTo>
                              <a:lnTo>
                                <a:pt x="1951863" y="2617470"/>
                              </a:lnTo>
                              <a:lnTo>
                                <a:pt x="1886546" y="2585936"/>
                              </a:lnTo>
                              <a:lnTo>
                                <a:pt x="1849234" y="2557272"/>
                              </a:lnTo>
                              <a:lnTo>
                                <a:pt x="1808861" y="2519807"/>
                              </a:lnTo>
                              <a:lnTo>
                                <a:pt x="1771116" y="2479154"/>
                              </a:lnTo>
                              <a:lnTo>
                                <a:pt x="1742211" y="2441600"/>
                              </a:lnTo>
                              <a:lnTo>
                                <a:pt x="1722018" y="2407208"/>
                              </a:lnTo>
                              <a:lnTo>
                                <a:pt x="1706397" y="2347785"/>
                              </a:lnTo>
                              <a:lnTo>
                                <a:pt x="1709064" y="2322245"/>
                              </a:lnTo>
                              <a:lnTo>
                                <a:pt x="1733804" y="2279396"/>
                              </a:lnTo>
                              <a:lnTo>
                                <a:pt x="1777784" y="2253386"/>
                              </a:lnTo>
                              <a:lnTo>
                                <a:pt x="1803501" y="2250097"/>
                              </a:lnTo>
                              <a:lnTo>
                                <a:pt x="1831632" y="2253386"/>
                              </a:lnTo>
                              <a:lnTo>
                                <a:pt x="1895132" y="2283256"/>
                              </a:lnTo>
                              <a:lnTo>
                                <a:pt x="1930615" y="2310104"/>
                              </a:lnTo>
                              <a:lnTo>
                                <a:pt x="1968500" y="2345055"/>
                              </a:lnTo>
                              <a:lnTo>
                                <a:pt x="2009940" y="2389289"/>
                              </a:lnTo>
                              <a:lnTo>
                                <a:pt x="2041537" y="2429167"/>
                              </a:lnTo>
                              <a:lnTo>
                                <a:pt x="2063343" y="2464612"/>
                              </a:lnTo>
                              <a:lnTo>
                                <a:pt x="2079180" y="2523134"/>
                              </a:lnTo>
                              <a:lnTo>
                                <a:pt x="2079180" y="2209635"/>
                              </a:lnTo>
                              <a:lnTo>
                                <a:pt x="2049970" y="2182406"/>
                              </a:lnTo>
                              <a:lnTo>
                                <a:pt x="2005850" y="2147405"/>
                              </a:lnTo>
                              <a:lnTo>
                                <a:pt x="1962035" y="2118715"/>
                              </a:lnTo>
                              <a:lnTo>
                                <a:pt x="1918512" y="2096274"/>
                              </a:lnTo>
                              <a:lnTo>
                                <a:pt x="1875320" y="2080006"/>
                              </a:lnTo>
                              <a:lnTo>
                                <a:pt x="1832483" y="2069846"/>
                              </a:lnTo>
                              <a:lnTo>
                                <a:pt x="1782445" y="2066315"/>
                              </a:lnTo>
                              <a:lnTo>
                                <a:pt x="1734629" y="2072665"/>
                              </a:lnTo>
                              <a:lnTo>
                                <a:pt x="1689049" y="2088769"/>
                              </a:lnTo>
                              <a:lnTo>
                                <a:pt x="1645704" y="2114512"/>
                              </a:lnTo>
                              <a:lnTo>
                                <a:pt x="1604645" y="2149729"/>
                              </a:lnTo>
                              <a:lnTo>
                                <a:pt x="1570355" y="2190026"/>
                              </a:lnTo>
                              <a:lnTo>
                                <a:pt x="1545450" y="2232964"/>
                              </a:lnTo>
                              <a:lnTo>
                                <a:pt x="1530045" y="2278507"/>
                              </a:lnTo>
                              <a:lnTo>
                                <a:pt x="1524254" y="2326602"/>
                              </a:lnTo>
                              <a:lnTo>
                                <a:pt x="1528191" y="2377186"/>
                              </a:lnTo>
                              <a:lnTo>
                                <a:pt x="1538617" y="2420582"/>
                              </a:lnTo>
                              <a:lnTo>
                                <a:pt x="1555229" y="2464346"/>
                              </a:lnTo>
                              <a:lnTo>
                                <a:pt x="1578063" y="2508478"/>
                              </a:lnTo>
                              <a:lnTo>
                                <a:pt x="1607185" y="2552928"/>
                              </a:lnTo>
                              <a:lnTo>
                                <a:pt x="1642656" y="2597645"/>
                              </a:lnTo>
                              <a:lnTo>
                                <a:pt x="1684528" y="2642616"/>
                              </a:lnTo>
                              <a:lnTo>
                                <a:pt x="1723085" y="2678912"/>
                              </a:lnTo>
                              <a:lnTo>
                                <a:pt x="1761324" y="2710408"/>
                              </a:lnTo>
                              <a:lnTo>
                                <a:pt x="1799170" y="2737167"/>
                              </a:lnTo>
                              <a:lnTo>
                                <a:pt x="1836585" y="2759214"/>
                              </a:lnTo>
                              <a:lnTo>
                                <a:pt x="1873504" y="2776601"/>
                              </a:lnTo>
                              <a:lnTo>
                                <a:pt x="1918322" y="2792006"/>
                              </a:lnTo>
                              <a:lnTo>
                                <a:pt x="1960968" y="2800693"/>
                              </a:lnTo>
                              <a:lnTo>
                                <a:pt x="2001481" y="2802915"/>
                              </a:lnTo>
                              <a:lnTo>
                                <a:pt x="2039874" y="2798953"/>
                              </a:lnTo>
                              <a:lnTo>
                                <a:pt x="2076589" y="2788602"/>
                              </a:lnTo>
                              <a:lnTo>
                                <a:pt x="2112454" y="2771368"/>
                              </a:lnTo>
                              <a:lnTo>
                                <a:pt x="2147455" y="2747416"/>
                              </a:lnTo>
                              <a:lnTo>
                                <a:pt x="2181606" y="2716911"/>
                              </a:lnTo>
                              <a:lnTo>
                                <a:pt x="2211463" y="2682722"/>
                              </a:lnTo>
                              <a:lnTo>
                                <a:pt x="2234273" y="2646984"/>
                              </a:lnTo>
                              <a:lnTo>
                                <a:pt x="2244953" y="2621483"/>
                              </a:lnTo>
                              <a:lnTo>
                                <a:pt x="2249894" y="2609710"/>
                              </a:lnTo>
                              <a:lnTo>
                                <a:pt x="2258187" y="2570861"/>
                              </a:lnTo>
                              <a:lnTo>
                                <a:pt x="2260041" y="2530856"/>
                              </a:lnTo>
                              <a:close/>
                            </a:path>
                            <a:path w="4171315" h="4403725">
                              <a:moveTo>
                                <a:pt x="2903410" y="1898713"/>
                              </a:moveTo>
                              <a:lnTo>
                                <a:pt x="2892425" y="1835531"/>
                              </a:lnTo>
                              <a:lnTo>
                                <a:pt x="2865031" y="1767636"/>
                              </a:lnTo>
                              <a:lnTo>
                                <a:pt x="2845397" y="1732191"/>
                              </a:lnTo>
                              <a:lnTo>
                                <a:pt x="2821559" y="1695831"/>
                              </a:lnTo>
                              <a:lnTo>
                                <a:pt x="2783128" y="1711452"/>
                              </a:lnTo>
                              <a:lnTo>
                                <a:pt x="2667889" y="1758823"/>
                              </a:lnTo>
                              <a:lnTo>
                                <a:pt x="2687942" y="1788236"/>
                              </a:lnTo>
                              <a:lnTo>
                                <a:pt x="2703474" y="1815719"/>
                              </a:lnTo>
                              <a:lnTo>
                                <a:pt x="2714675" y="1841309"/>
                              </a:lnTo>
                              <a:lnTo>
                                <a:pt x="2721737" y="1864995"/>
                              </a:lnTo>
                              <a:lnTo>
                                <a:pt x="2723718" y="1887347"/>
                              </a:lnTo>
                              <a:lnTo>
                                <a:pt x="2719984" y="1908327"/>
                              </a:lnTo>
                              <a:lnTo>
                                <a:pt x="2695575" y="1946402"/>
                              </a:lnTo>
                              <a:lnTo>
                                <a:pt x="2654503" y="1970443"/>
                              </a:lnTo>
                              <a:lnTo>
                                <a:pt x="2630690" y="1973021"/>
                              </a:lnTo>
                              <a:lnTo>
                                <a:pt x="2604770" y="1969135"/>
                              </a:lnTo>
                              <a:lnTo>
                                <a:pt x="2541295" y="1935657"/>
                              </a:lnTo>
                              <a:lnTo>
                                <a:pt x="2502319" y="1904365"/>
                              </a:lnTo>
                              <a:lnTo>
                                <a:pt x="2458593" y="1863217"/>
                              </a:lnTo>
                              <a:lnTo>
                                <a:pt x="2425052" y="1827504"/>
                              </a:lnTo>
                              <a:lnTo>
                                <a:pt x="2398547" y="1794510"/>
                              </a:lnTo>
                              <a:lnTo>
                                <a:pt x="2366518" y="1737233"/>
                              </a:lnTo>
                              <a:lnTo>
                                <a:pt x="2358237" y="1704390"/>
                              </a:lnTo>
                              <a:lnTo>
                                <a:pt x="2358479" y="1674964"/>
                              </a:lnTo>
                              <a:lnTo>
                                <a:pt x="2384171" y="1626108"/>
                              </a:lnTo>
                              <a:lnTo>
                                <a:pt x="2428240" y="1603121"/>
                              </a:lnTo>
                              <a:lnTo>
                                <a:pt x="2441384" y="1601851"/>
                              </a:lnTo>
                              <a:lnTo>
                                <a:pt x="2454986" y="1602105"/>
                              </a:lnTo>
                              <a:lnTo>
                                <a:pt x="2493505" y="1611642"/>
                              </a:lnTo>
                              <a:lnTo>
                                <a:pt x="2532761" y="1632966"/>
                              </a:lnTo>
                              <a:lnTo>
                                <a:pt x="2608199" y="1490218"/>
                              </a:lnTo>
                              <a:lnTo>
                                <a:pt x="2555481" y="1461084"/>
                              </a:lnTo>
                              <a:lnTo>
                                <a:pt x="2505570" y="1440662"/>
                              </a:lnTo>
                              <a:lnTo>
                                <a:pt x="2458529" y="1428572"/>
                              </a:lnTo>
                              <a:lnTo>
                                <a:pt x="2414397" y="1424432"/>
                              </a:lnTo>
                              <a:lnTo>
                                <a:pt x="2372131" y="1429385"/>
                              </a:lnTo>
                              <a:lnTo>
                                <a:pt x="2331237" y="1443939"/>
                              </a:lnTo>
                              <a:lnTo>
                                <a:pt x="2291626" y="1467904"/>
                              </a:lnTo>
                              <a:lnTo>
                                <a:pt x="2253234" y="1501140"/>
                              </a:lnTo>
                              <a:lnTo>
                                <a:pt x="2219223" y="1540979"/>
                              </a:lnTo>
                              <a:lnTo>
                                <a:pt x="2194560" y="1583207"/>
                              </a:lnTo>
                              <a:lnTo>
                                <a:pt x="2179320" y="1627797"/>
                              </a:lnTo>
                              <a:lnTo>
                                <a:pt x="2173617" y="1674749"/>
                              </a:lnTo>
                              <a:lnTo>
                                <a:pt x="2177542" y="1724025"/>
                              </a:lnTo>
                              <a:lnTo>
                                <a:pt x="2188146" y="1766570"/>
                              </a:lnTo>
                              <a:lnTo>
                                <a:pt x="2204936" y="1809699"/>
                              </a:lnTo>
                              <a:lnTo>
                                <a:pt x="2227986" y="1853438"/>
                              </a:lnTo>
                              <a:lnTo>
                                <a:pt x="2257412" y="1897773"/>
                              </a:lnTo>
                              <a:lnTo>
                                <a:pt x="2293315" y="1942693"/>
                              </a:lnTo>
                              <a:lnTo>
                                <a:pt x="2335784" y="1988185"/>
                              </a:lnTo>
                              <a:lnTo>
                                <a:pt x="2376741" y="2026716"/>
                              </a:lnTo>
                              <a:lnTo>
                                <a:pt x="2417153" y="2059787"/>
                              </a:lnTo>
                              <a:lnTo>
                                <a:pt x="2457005" y="2087511"/>
                              </a:lnTo>
                              <a:lnTo>
                                <a:pt x="2496274" y="2110003"/>
                              </a:lnTo>
                              <a:lnTo>
                                <a:pt x="2534920" y="2127377"/>
                              </a:lnTo>
                              <a:lnTo>
                                <a:pt x="2581097" y="2142363"/>
                              </a:lnTo>
                              <a:lnTo>
                                <a:pt x="2623794" y="2150580"/>
                              </a:lnTo>
                              <a:lnTo>
                                <a:pt x="2662948" y="2152332"/>
                              </a:lnTo>
                              <a:lnTo>
                                <a:pt x="2698496" y="2147951"/>
                              </a:lnTo>
                              <a:lnTo>
                                <a:pt x="2765336" y="2120328"/>
                              </a:lnTo>
                              <a:lnTo>
                                <a:pt x="2798305" y="2097024"/>
                              </a:lnTo>
                              <a:lnTo>
                                <a:pt x="2830957" y="2067560"/>
                              </a:lnTo>
                              <a:lnTo>
                                <a:pt x="2874670" y="2013115"/>
                              </a:lnTo>
                              <a:lnTo>
                                <a:pt x="2898013" y="1957324"/>
                              </a:lnTo>
                              <a:lnTo>
                                <a:pt x="2902635" y="1928583"/>
                              </a:lnTo>
                              <a:lnTo>
                                <a:pt x="2903410" y="1898713"/>
                              </a:lnTo>
                              <a:close/>
                            </a:path>
                            <a:path w="4171315" h="4403725">
                              <a:moveTo>
                                <a:pt x="3346399" y="1444447"/>
                              </a:moveTo>
                              <a:lnTo>
                                <a:pt x="3342475" y="1403692"/>
                              </a:lnTo>
                              <a:lnTo>
                                <a:pt x="3332505" y="1362100"/>
                              </a:lnTo>
                              <a:lnTo>
                                <a:pt x="3316224" y="1319657"/>
                              </a:lnTo>
                              <a:lnTo>
                                <a:pt x="3298380" y="1285138"/>
                              </a:lnTo>
                              <a:lnTo>
                                <a:pt x="3275952" y="1249578"/>
                              </a:lnTo>
                              <a:lnTo>
                                <a:pt x="3248901" y="1213040"/>
                              </a:lnTo>
                              <a:lnTo>
                                <a:pt x="3217202" y="1175588"/>
                              </a:lnTo>
                              <a:lnTo>
                                <a:pt x="3180842" y="1137285"/>
                              </a:lnTo>
                              <a:lnTo>
                                <a:pt x="3165538" y="1123035"/>
                              </a:lnTo>
                              <a:lnTo>
                                <a:pt x="3165538" y="1436776"/>
                              </a:lnTo>
                              <a:lnTo>
                                <a:pt x="3162427" y="1462278"/>
                              </a:lnTo>
                              <a:lnTo>
                                <a:pt x="3136011" y="1506601"/>
                              </a:lnTo>
                              <a:lnTo>
                                <a:pt x="3092208" y="1532293"/>
                              </a:lnTo>
                              <a:lnTo>
                                <a:pt x="3066516" y="1535112"/>
                              </a:lnTo>
                              <a:lnTo>
                                <a:pt x="3038221" y="1531112"/>
                              </a:lnTo>
                              <a:lnTo>
                                <a:pt x="2972905" y="1499577"/>
                              </a:lnTo>
                              <a:lnTo>
                                <a:pt x="2935592" y="1470914"/>
                              </a:lnTo>
                              <a:lnTo>
                                <a:pt x="2895219" y="1433449"/>
                              </a:lnTo>
                              <a:lnTo>
                                <a:pt x="2857474" y="1392796"/>
                              </a:lnTo>
                              <a:lnTo>
                                <a:pt x="2828569" y="1355242"/>
                              </a:lnTo>
                              <a:lnTo>
                                <a:pt x="2808376" y="1320850"/>
                              </a:lnTo>
                              <a:lnTo>
                                <a:pt x="2792780" y="1261414"/>
                              </a:lnTo>
                              <a:lnTo>
                                <a:pt x="2795473" y="1235837"/>
                              </a:lnTo>
                              <a:lnTo>
                                <a:pt x="2820162" y="1193038"/>
                              </a:lnTo>
                              <a:lnTo>
                                <a:pt x="2864167" y="1166964"/>
                              </a:lnTo>
                              <a:lnTo>
                                <a:pt x="2889910" y="1163624"/>
                              </a:lnTo>
                              <a:lnTo>
                                <a:pt x="2918079" y="1166876"/>
                              </a:lnTo>
                              <a:lnTo>
                                <a:pt x="2981617" y="1196771"/>
                              </a:lnTo>
                              <a:lnTo>
                                <a:pt x="3017101" y="1223619"/>
                              </a:lnTo>
                              <a:lnTo>
                                <a:pt x="3054985" y="1258570"/>
                              </a:lnTo>
                              <a:lnTo>
                                <a:pt x="3096399" y="1302829"/>
                              </a:lnTo>
                              <a:lnTo>
                                <a:pt x="3127959" y="1342745"/>
                              </a:lnTo>
                              <a:lnTo>
                                <a:pt x="3149727" y="1378229"/>
                              </a:lnTo>
                              <a:lnTo>
                                <a:pt x="3165538" y="1436776"/>
                              </a:lnTo>
                              <a:lnTo>
                                <a:pt x="3165538" y="1123035"/>
                              </a:lnTo>
                              <a:lnTo>
                                <a:pt x="3136455" y="1095921"/>
                              </a:lnTo>
                              <a:lnTo>
                                <a:pt x="3092335" y="1060919"/>
                              </a:lnTo>
                              <a:lnTo>
                                <a:pt x="3048520" y="1032230"/>
                              </a:lnTo>
                              <a:lnTo>
                                <a:pt x="3004997" y="1009789"/>
                              </a:lnTo>
                              <a:lnTo>
                                <a:pt x="2961805" y="993521"/>
                              </a:lnTo>
                              <a:lnTo>
                                <a:pt x="2918968" y="983361"/>
                              </a:lnTo>
                              <a:lnTo>
                                <a:pt x="2868879" y="979881"/>
                              </a:lnTo>
                              <a:lnTo>
                                <a:pt x="2821051" y="986269"/>
                              </a:lnTo>
                              <a:lnTo>
                                <a:pt x="2775470" y="1002411"/>
                              </a:lnTo>
                              <a:lnTo>
                                <a:pt x="2732113" y="1028153"/>
                              </a:lnTo>
                              <a:lnTo>
                                <a:pt x="2691003" y="1063371"/>
                              </a:lnTo>
                              <a:lnTo>
                                <a:pt x="2656713" y="1103668"/>
                              </a:lnTo>
                              <a:lnTo>
                                <a:pt x="2631808" y="1146606"/>
                              </a:lnTo>
                              <a:lnTo>
                                <a:pt x="2616403" y="1192149"/>
                              </a:lnTo>
                              <a:lnTo>
                                <a:pt x="2610612" y="1240243"/>
                              </a:lnTo>
                              <a:lnTo>
                                <a:pt x="2614549" y="1290828"/>
                              </a:lnTo>
                              <a:lnTo>
                                <a:pt x="2624975" y="1334223"/>
                              </a:lnTo>
                              <a:lnTo>
                                <a:pt x="2641587" y="1377988"/>
                              </a:lnTo>
                              <a:lnTo>
                                <a:pt x="2664422" y="1422120"/>
                              </a:lnTo>
                              <a:lnTo>
                                <a:pt x="2693543" y="1466570"/>
                              </a:lnTo>
                              <a:lnTo>
                                <a:pt x="2729014" y="1511287"/>
                              </a:lnTo>
                              <a:lnTo>
                                <a:pt x="2770886" y="1556258"/>
                              </a:lnTo>
                              <a:lnTo>
                                <a:pt x="2809443" y="1592554"/>
                              </a:lnTo>
                              <a:lnTo>
                                <a:pt x="2847683" y="1624050"/>
                              </a:lnTo>
                              <a:lnTo>
                                <a:pt x="2885554" y="1650809"/>
                              </a:lnTo>
                              <a:lnTo>
                                <a:pt x="2923006" y="1672856"/>
                              </a:lnTo>
                              <a:lnTo>
                                <a:pt x="2959989" y="1690243"/>
                              </a:lnTo>
                              <a:lnTo>
                                <a:pt x="3004743" y="1705635"/>
                              </a:lnTo>
                              <a:lnTo>
                                <a:pt x="3047403" y="1714271"/>
                              </a:lnTo>
                              <a:lnTo>
                                <a:pt x="3087941" y="1716443"/>
                              </a:lnTo>
                              <a:lnTo>
                                <a:pt x="3126359" y="1712468"/>
                              </a:lnTo>
                              <a:lnTo>
                                <a:pt x="3198838" y="1684972"/>
                              </a:lnTo>
                              <a:lnTo>
                                <a:pt x="3233864" y="1661007"/>
                              </a:lnTo>
                              <a:lnTo>
                                <a:pt x="3268091" y="1630426"/>
                              </a:lnTo>
                              <a:lnTo>
                                <a:pt x="3297872" y="1596301"/>
                              </a:lnTo>
                              <a:lnTo>
                                <a:pt x="3320643" y="1560601"/>
                              </a:lnTo>
                              <a:lnTo>
                                <a:pt x="3336252" y="1523288"/>
                              </a:lnTo>
                              <a:lnTo>
                                <a:pt x="3344545" y="1484376"/>
                              </a:lnTo>
                              <a:lnTo>
                                <a:pt x="3346399" y="1444447"/>
                              </a:lnTo>
                              <a:close/>
                            </a:path>
                            <a:path w="4171315" h="4403725">
                              <a:moveTo>
                                <a:pt x="3651758" y="1227975"/>
                              </a:moveTo>
                              <a:lnTo>
                                <a:pt x="3446399" y="1022604"/>
                              </a:lnTo>
                              <a:lnTo>
                                <a:pt x="3514090" y="954913"/>
                              </a:lnTo>
                              <a:lnTo>
                                <a:pt x="3546233" y="916901"/>
                              </a:lnTo>
                              <a:lnTo>
                                <a:pt x="3549700" y="910590"/>
                              </a:lnTo>
                              <a:lnTo>
                                <a:pt x="3567722" y="877760"/>
                              </a:lnTo>
                              <a:lnTo>
                                <a:pt x="3578428" y="837577"/>
                              </a:lnTo>
                              <a:lnTo>
                                <a:pt x="3578225" y="796417"/>
                              </a:lnTo>
                              <a:lnTo>
                                <a:pt x="3568128" y="754748"/>
                              </a:lnTo>
                              <a:lnTo>
                                <a:pt x="3549053" y="713003"/>
                              </a:lnTo>
                              <a:lnTo>
                                <a:pt x="3520910" y="671169"/>
                              </a:lnTo>
                              <a:lnTo>
                                <a:pt x="3483610" y="629285"/>
                              </a:lnTo>
                              <a:lnTo>
                                <a:pt x="3443084" y="593026"/>
                              </a:lnTo>
                              <a:lnTo>
                                <a:pt x="3403054" y="565632"/>
                              </a:lnTo>
                              <a:lnTo>
                                <a:pt x="3397504" y="563016"/>
                              </a:lnTo>
                              <a:lnTo>
                                <a:pt x="3397504" y="812673"/>
                              </a:lnTo>
                              <a:lnTo>
                                <a:pt x="3396742" y="828903"/>
                              </a:lnTo>
                              <a:lnTo>
                                <a:pt x="3390925" y="845553"/>
                              </a:lnTo>
                              <a:lnTo>
                                <a:pt x="3380206" y="862672"/>
                              </a:lnTo>
                              <a:lnTo>
                                <a:pt x="3364738" y="880237"/>
                              </a:lnTo>
                              <a:lnTo>
                                <a:pt x="3334385" y="910590"/>
                              </a:lnTo>
                              <a:lnTo>
                                <a:pt x="3210941" y="787146"/>
                              </a:lnTo>
                              <a:lnTo>
                                <a:pt x="3246120" y="751967"/>
                              </a:lnTo>
                              <a:lnTo>
                                <a:pt x="3263239" y="737082"/>
                              </a:lnTo>
                              <a:lnTo>
                                <a:pt x="3279800" y="727290"/>
                              </a:lnTo>
                              <a:lnTo>
                                <a:pt x="3295840" y="722553"/>
                              </a:lnTo>
                              <a:lnTo>
                                <a:pt x="3311398" y="722884"/>
                              </a:lnTo>
                              <a:lnTo>
                                <a:pt x="3354844" y="742772"/>
                              </a:lnTo>
                              <a:lnTo>
                                <a:pt x="3388779" y="782459"/>
                              </a:lnTo>
                              <a:lnTo>
                                <a:pt x="3397504" y="812673"/>
                              </a:lnTo>
                              <a:lnTo>
                                <a:pt x="3397504" y="563016"/>
                              </a:lnTo>
                              <a:lnTo>
                                <a:pt x="3363557" y="546963"/>
                              </a:lnTo>
                              <a:lnTo>
                                <a:pt x="3324606" y="536829"/>
                              </a:lnTo>
                              <a:lnTo>
                                <a:pt x="3286480" y="536219"/>
                              </a:lnTo>
                              <a:lnTo>
                                <a:pt x="3249650" y="545515"/>
                              </a:lnTo>
                              <a:lnTo>
                                <a:pt x="3214141" y="564603"/>
                              </a:lnTo>
                              <a:lnTo>
                                <a:pt x="3179953" y="593344"/>
                              </a:lnTo>
                              <a:lnTo>
                                <a:pt x="2974340" y="798830"/>
                              </a:lnTo>
                              <a:lnTo>
                                <a:pt x="3527552" y="1352042"/>
                              </a:lnTo>
                              <a:lnTo>
                                <a:pt x="3651758" y="1227975"/>
                              </a:lnTo>
                              <a:close/>
                            </a:path>
                            <a:path w="4171315" h="4403725">
                              <a:moveTo>
                                <a:pt x="4170934" y="708660"/>
                              </a:moveTo>
                              <a:lnTo>
                                <a:pt x="3939159" y="477012"/>
                              </a:lnTo>
                              <a:lnTo>
                                <a:pt x="3905631" y="381711"/>
                              </a:lnTo>
                              <a:lnTo>
                                <a:pt x="3806812" y="95250"/>
                              </a:lnTo>
                              <a:lnTo>
                                <a:pt x="3773297" y="0"/>
                              </a:lnTo>
                              <a:lnTo>
                                <a:pt x="3636645" y="136652"/>
                              </a:lnTo>
                              <a:lnTo>
                                <a:pt x="3654463" y="181178"/>
                              </a:lnTo>
                              <a:lnTo>
                                <a:pt x="3707142" y="315112"/>
                              </a:lnTo>
                              <a:lnTo>
                                <a:pt x="3742690" y="404241"/>
                              </a:lnTo>
                              <a:lnTo>
                                <a:pt x="3698176" y="386359"/>
                              </a:lnTo>
                              <a:lnTo>
                                <a:pt x="3564356" y="333527"/>
                              </a:lnTo>
                              <a:lnTo>
                                <a:pt x="3475355" y="297942"/>
                              </a:lnTo>
                              <a:lnTo>
                                <a:pt x="3338068" y="435229"/>
                              </a:lnTo>
                              <a:lnTo>
                                <a:pt x="3433381" y="468693"/>
                              </a:lnTo>
                              <a:lnTo>
                                <a:pt x="3720007" y="567385"/>
                              </a:lnTo>
                              <a:lnTo>
                                <a:pt x="3815334" y="600837"/>
                              </a:lnTo>
                              <a:lnTo>
                                <a:pt x="4047109" y="832485"/>
                              </a:lnTo>
                              <a:lnTo>
                                <a:pt x="417093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79.880005pt;margin-top:173.019974pt;width:328.45pt;height:346.75pt;mso-position-horizontal-relative:page;mso-position-vertical-relative:page;z-index:-25181184" id="docshape268" coordorigin="3598,3460" coordsize="6569,6935" path="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492"/>
        <w:gridCol w:w="941"/>
        <w:gridCol w:w="885"/>
      </w:tblGrid>
      <w:tr>
        <w:trPr>
          <w:trHeight w:val="212" w:hRule="atLeast"/>
        </w:trPr>
        <w:tc>
          <w:tcPr>
            <w:tcW w:w="6535" w:type="dxa"/>
            <w:gridSpan w:val="5"/>
          </w:tcPr>
          <w:p>
            <w:pPr>
              <w:pStyle w:val="TableParagraph"/>
              <w:spacing w:line="192" w:lineRule="exact" w:before="0"/>
              <w:rPr>
                <w:sz w:val="18"/>
              </w:rPr>
            </w:pPr>
            <w:r>
              <w:rPr>
                <w:sz w:val="18"/>
              </w:rPr>
              <w:t>Null</w:t>
            </w:r>
            <w:r>
              <w:rPr>
                <w:spacing w:val="-4"/>
                <w:sz w:val="18"/>
              </w:rPr>
              <w:t> </w:t>
            </w:r>
            <w:r>
              <w:rPr>
                <w:sz w:val="18"/>
              </w:rPr>
              <w:t>Hypothesis:</w:t>
            </w:r>
            <w:r>
              <w:rPr>
                <w:spacing w:val="-3"/>
                <w:sz w:val="18"/>
              </w:rPr>
              <w:t> </w:t>
            </w:r>
            <w:r>
              <w:rPr>
                <w:sz w:val="18"/>
              </w:rPr>
              <w:t>EXCH</w:t>
            </w:r>
            <w:r>
              <w:rPr>
                <w:spacing w:val="-4"/>
                <w:sz w:val="18"/>
              </w:rPr>
              <w:t> </w:t>
            </w:r>
            <w:r>
              <w:rPr>
                <w:sz w:val="18"/>
              </w:rPr>
              <w:t>has</w:t>
            </w:r>
            <w:r>
              <w:rPr>
                <w:spacing w:val="-3"/>
                <w:sz w:val="18"/>
              </w:rPr>
              <w:t> </w:t>
            </w:r>
            <w:r>
              <w:rPr>
                <w:sz w:val="18"/>
              </w:rPr>
              <w:t>a</w:t>
            </w:r>
            <w:r>
              <w:rPr>
                <w:spacing w:val="-5"/>
                <w:sz w:val="18"/>
              </w:rPr>
              <w:t> </w:t>
            </w:r>
            <w:r>
              <w:rPr>
                <w:sz w:val="18"/>
              </w:rPr>
              <w:t>unit</w:t>
            </w:r>
            <w:r>
              <w:rPr>
                <w:spacing w:val="-3"/>
                <w:sz w:val="18"/>
              </w:rPr>
              <w:t> </w:t>
            </w:r>
            <w:r>
              <w:rPr>
                <w:spacing w:val="-4"/>
                <w:sz w:val="18"/>
              </w:rPr>
              <w:t>root</w:t>
            </w:r>
          </w:p>
        </w:tc>
      </w:tr>
      <w:tr>
        <w:trPr>
          <w:trHeight w:val="224" w:hRule="atLeast"/>
        </w:trPr>
        <w:tc>
          <w:tcPr>
            <w:tcW w:w="1910" w:type="dxa"/>
          </w:tcPr>
          <w:p>
            <w:pPr>
              <w:pStyle w:val="TableParagraph"/>
              <w:spacing w:before="5"/>
              <w:rPr>
                <w:sz w:val="18"/>
              </w:rPr>
            </w:pPr>
            <w:r>
              <w:rPr>
                <w:sz w:val="18"/>
              </w:rPr>
              <w:t>Exogenous:</w:t>
            </w:r>
            <w:r>
              <w:rPr>
                <w:spacing w:val="-3"/>
                <w:sz w:val="18"/>
              </w:rPr>
              <w:t> </w:t>
            </w:r>
            <w:r>
              <w:rPr>
                <w:spacing w:val="-2"/>
                <w:sz w:val="18"/>
              </w:rPr>
              <w:t>Constant</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303" w:hRule="atLeast"/>
        </w:trPr>
        <w:tc>
          <w:tcPr>
            <w:tcW w:w="6535" w:type="dxa"/>
            <w:gridSpan w:val="5"/>
            <w:tcBorders>
              <w:bottom w:val="double" w:sz="6" w:space="0" w:color="000000"/>
            </w:tcBorders>
          </w:tcPr>
          <w:p>
            <w:pPr>
              <w:pStyle w:val="TableParagraph"/>
              <w:spacing w:line="240" w:lineRule="auto"/>
              <w:rPr>
                <w:sz w:val="18"/>
              </w:rPr>
            </w:pPr>
            <w:r>
              <w:rPr>
                <w:sz w:val="18"/>
              </w:rPr>
              <w:t>Lag</w:t>
            </w:r>
            <w:r>
              <w:rPr>
                <w:spacing w:val="-4"/>
                <w:sz w:val="18"/>
              </w:rPr>
              <w:t> </w:t>
            </w:r>
            <w:r>
              <w:rPr>
                <w:sz w:val="18"/>
              </w:rPr>
              <w:t>Length:</w:t>
            </w:r>
            <w:r>
              <w:rPr>
                <w:spacing w:val="-2"/>
                <w:sz w:val="18"/>
              </w:rPr>
              <w:t> </w:t>
            </w:r>
            <w:r>
              <w:rPr>
                <w:sz w:val="18"/>
              </w:rPr>
              <w:t>0</w:t>
            </w:r>
            <w:r>
              <w:rPr>
                <w:spacing w:val="-2"/>
                <w:sz w:val="18"/>
              </w:rPr>
              <w:t> </w:t>
            </w:r>
            <w:r>
              <w:rPr>
                <w:sz w:val="18"/>
              </w:rPr>
              <w:t>(Automatic</w:t>
            </w:r>
            <w:r>
              <w:rPr>
                <w:spacing w:val="1"/>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2"/>
                <w:sz w:val="18"/>
              </w:rPr>
              <w:t> maxlag=8)</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3"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182"/>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33" w:type="dxa"/>
            <w:gridSpan w:val="2"/>
            <w:tcBorders>
              <w:top w:val="double" w:sz="6" w:space="0" w:color="000000"/>
              <w:bottom w:val="single" w:sz="6" w:space="0" w:color="000000"/>
            </w:tcBorders>
          </w:tcPr>
          <w:p>
            <w:pPr>
              <w:pStyle w:val="TableParagraph"/>
              <w:spacing w:line="187" w:lineRule="exact" w:before="108"/>
              <w:ind w:left="1305"/>
              <w:rPr>
                <w:sz w:val="18"/>
              </w:rPr>
            </w:pPr>
            <w:r>
              <w:rPr>
                <w:spacing w:val="-2"/>
                <w:sz w:val="18"/>
              </w:rPr>
              <w:t>-0.981612</w:t>
            </w:r>
          </w:p>
        </w:tc>
        <w:tc>
          <w:tcPr>
            <w:tcW w:w="885" w:type="dxa"/>
            <w:tcBorders>
              <w:top w:val="double" w:sz="6" w:space="0" w:color="000000"/>
              <w:bottom w:val="single" w:sz="6" w:space="0" w:color="000000"/>
            </w:tcBorders>
          </w:tcPr>
          <w:p>
            <w:pPr>
              <w:pStyle w:val="TableParagraph"/>
              <w:spacing w:line="187" w:lineRule="exact" w:before="108"/>
              <w:ind w:left="132"/>
              <w:rPr>
                <w:sz w:val="18"/>
              </w:rPr>
            </w:pPr>
            <w:r>
              <w:rPr>
                <w:spacing w:val="-2"/>
                <w:sz w:val="18"/>
              </w:rPr>
              <w:t>0.7486</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7"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33" w:type="dxa"/>
            <w:gridSpan w:val="2"/>
            <w:tcBorders>
              <w:top w:val="single" w:sz="6" w:space="0" w:color="000000"/>
            </w:tcBorders>
          </w:tcPr>
          <w:p>
            <w:pPr>
              <w:pStyle w:val="TableParagraph"/>
              <w:spacing w:before="18"/>
              <w:ind w:left="1305"/>
              <w:rPr>
                <w:sz w:val="18"/>
              </w:rPr>
            </w:pPr>
            <w:r>
              <w:rPr>
                <w:spacing w:val="-2"/>
                <w:sz w:val="18"/>
              </w:rPr>
              <w:t>-3.639407</w:t>
            </w:r>
          </w:p>
        </w:tc>
        <w:tc>
          <w:tcPr>
            <w:tcW w:w="885"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7" w:type="dxa"/>
          </w:tcPr>
          <w:p>
            <w:pPr>
              <w:pStyle w:val="TableParagraph"/>
              <w:ind w:left="317"/>
              <w:rPr>
                <w:sz w:val="18"/>
              </w:rPr>
            </w:pPr>
            <w:r>
              <w:rPr>
                <w:sz w:val="18"/>
              </w:rPr>
              <w:t>5%</w:t>
            </w:r>
            <w:r>
              <w:rPr>
                <w:spacing w:val="-3"/>
                <w:sz w:val="18"/>
              </w:rPr>
              <w:t> </w:t>
            </w:r>
            <w:r>
              <w:rPr>
                <w:spacing w:val="-2"/>
                <w:sz w:val="18"/>
              </w:rPr>
              <w:t>level</w:t>
            </w:r>
          </w:p>
        </w:tc>
        <w:tc>
          <w:tcPr>
            <w:tcW w:w="2433" w:type="dxa"/>
            <w:gridSpan w:val="2"/>
          </w:tcPr>
          <w:p>
            <w:pPr>
              <w:pStyle w:val="TableParagraph"/>
              <w:ind w:left="1305"/>
              <w:rPr>
                <w:sz w:val="18"/>
              </w:rPr>
            </w:pPr>
            <w:r>
              <w:rPr>
                <w:spacing w:val="-2"/>
                <w:sz w:val="18"/>
              </w:rPr>
              <w:t>-2.951125</w:t>
            </w:r>
          </w:p>
        </w:tc>
        <w:tc>
          <w:tcPr>
            <w:tcW w:w="885"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33" w:type="dxa"/>
            <w:gridSpan w:val="2"/>
            <w:tcBorders>
              <w:bottom w:val="double" w:sz="6" w:space="0" w:color="000000"/>
            </w:tcBorders>
          </w:tcPr>
          <w:p>
            <w:pPr>
              <w:pStyle w:val="TableParagraph"/>
              <w:spacing w:line="240" w:lineRule="auto"/>
              <w:ind w:left="1305"/>
              <w:rPr>
                <w:sz w:val="18"/>
              </w:rPr>
            </w:pPr>
            <w:r>
              <w:rPr>
                <w:spacing w:val="-2"/>
                <w:sz w:val="18"/>
              </w:rPr>
              <w:t>-2.614300</w:t>
            </w:r>
          </w:p>
        </w:tc>
        <w:tc>
          <w:tcPr>
            <w:tcW w:w="885" w:type="dxa"/>
            <w:tcBorders>
              <w:bottom w:val="double" w:sz="6" w:space="0" w:color="000000"/>
            </w:tcBorders>
          </w:tcPr>
          <w:p>
            <w:pPr>
              <w:pStyle w:val="TableParagraph"/>
              <w:spacing w:line="240" w:lineRule="auto" w:before="0"/>
              <w:rPr>
                <w:rFonts w:ascii="Times New Roman"/>
                <w:sz w:val="18"/>
              </w:rPr>
            </w:pPr>
          </w:p>
        </w:tc>
      </w:tr>
      <w:tr>
        <w:trPr>
          <w:trHeight w:val="552" w:hRule="atLeast"/>
        </w:trPr>
        <w:tc>
          <w:tcPr>
            <w:tcW w:w="6535" w:type="dxa"/>
            <w:gridSpan w:val="5"/>
            <w:tcBorders>
              <w:top w:val="double" w:sz="6" w:space="0" w:color="000000"/>
            </w:tcBorders>
          </w:tcPr>
          <w:p>
            <w:pPr>
              <w:pStyle w:val="TableParagraph"/>
              <w:spacing w:line="240" w:lineRule="auto" w:before="108"/>
              <w:rPr>
                <w:sz w:val="18"/>
              </w:rPr>
            </w:pPr>
            <w:r>
              <w:rPr>
                <w:sz w:val="18"/>
              </w:rPr>
              <w:t>*MacKinnon</w:t>
            </w:r>
            <w:r>
              <w:rPr>
                <w:spacing w:val="-10"/>
                <w:sz w:val="18"/>
              </w:rPr>
              <w:t> </w:t>
            </w:r>
            <w:r>
              <w:rPr>
                <w:sz w:val="18"/>
              </w:rPr>
              <w:t>(1996)</w:t>
            </w:r>
            <w:r>
              <w:rPr>
                <w:spacing w:val="-9"/>
                <w:sz w:val="18"/>
              </w:rPr>
              <w:t> </w:t>
            </w:r>
            <w:r>
              <w:rPr>
                <w:sz w:val="18"/>
              </w:rPr>
              <w:t>one-sided</w:t>
            </w:r>
            <w:r>
              <w:rPr>
                <w:spacing w:val="-11"/>
                <w:sz w:val="18"/>
              </w:rPr>
              <w:t> </w:t>
            </w:r>
            <w:r>
              <w:rPr>
                <w:sz w:val="18"/>
              </w:rPr>
              <w:t>p-</w:t>
            </w:r>
            <w:r>
              <w:rPr>
                <w:spacing w:val="-2"/>
                <w:sz w:val="18"/>
              </w:rPr>
              <w:t>values.</w:t>
            </w:r>
          </w:p>
        </w:tc>
      </w:tr>
      <w:tr>
        <w:trPr>
          <w:trHeight w:val="450" w:hRule="atLeast"/>
        </w:trPr>
        <w:tc>
          <w:tcPr>
            <w:tcW w:w="6535" w:type="dxa"/>
            <w:gridSpan w:val="5"/>
          </w:tcPr>
          <w:p>
            <w:pPr>
              <w:pStyle w:val="TableParagraph"/>
              <w:spacing w:line="240" w:lineRule="auto" w:before="23"/>
              <w:rPr>
                <w:rFonts w:ascii="Times New Roman"/>
                <w:b/>
                <w:sz w:val="18"/>
              </w:rPr>
            </w:pPr>
          </w:p>
          <w:p>
            <w:pPr>
              <w:pStyle w:val="TableParagraph"/>
              <w:spacing w:line="200"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5" w:hRule="atLeast"/>
        </w:trPr>
        <w:tc>
          <w:tcPr>
            <w:tcW w:w="6535" w:type="dxa"/>
            <w:gridSpan w:val="5"/>
          </w:tcPr>
          <w:p>
            <w:pPr>
              <w:pStyle w:val="TableParagraph"/>
              <w:rPr>
                <w:sz w:val="18"/>
              </w:rPr>
            </w:pPr>
            <w:r>
              <w:rPr>
                <w:spacing w:val="-2"/>
                <w:sz w:val="18"/>
              </w:rPr>
              <w:t>Dependent</w:t>
            </w:r>
            <w:r>
              <w:rPr>
                <w:spacing w:val="4"/>
                <w:sz w:val="18"/>
              </w:rPr>
              <w:t> </w:t>
            </w:r>
            <w:r>
              <w:rPr>
                <w:spacing w:val="-2"/>
                <w:sz w:val="18"/>
              </w:rPr>
              <w:t>Variable:</w:t>
            </w:r>
            <w:r>
              <w:rPr>
                <w:spacing w:val="6"/>
                <w:sz w:val="18"/>
              </w:rPr>
              <w:t> </w:t>
            </w:r>
            <w:r>
              <w:rPr>
                <w:spacing w:val="-2"/>
                <w:sz w:val="18"/>
              </w:rPr>
              <w:t>D(EXCH)</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41" w:type="dxa"/>
          </w:tcPr>
          <w:p>
            <w:pPr>
              <w:pStyle w:val="TableParagraph"/>
              <w:spacing w:line="240" w:lineRule="auto" w:before="0"/>
              <w:rPr>
                <w:rFonts w:ascii="Times New Roman"/>
                <w:sz w:val="16"/>
              </w:rPr>
            </w:pPr>
          </w:p>
        </w:tc>
        <w:tc>
          <w:tcPr>
            <w:tcW w:w="885" w:type="dxa"/>
          </w:tcPr>
          <w:p>
            <w:pPr>
              <w:pStyle w:val="TableParagraph"/>
              <w:spacing w:line="240" w:lineRule="auto" w:before="0"/>
              <w:rPr>
                <w:rFonts w:ascii="Times New Roman"/>
                <w:sz w:val="16"/>
              </w:rPr>
            </w:pPr>
          </w:p>
        </w:tc>
      </w:tr>
      <w:tr>
        <w:trPr>
          <w:trHeight w:val="224" w:hRule="atLeast"/>
        </w:trPr>
        <w:tc>
          <w:tcPr>
            <w:tcW w:w="6535" w:type="dxa"/>
            <w:gridSpan w:val="5"/>
          </w:tcPr>
          <w:p>
            <w:pPr>
              <w:pStyle w:val="TableParagraph"/>
              <w:spacing w:line="198" w:lineRule="exact"/>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06:17</w:t>
            </w:r>
          </w:p>
        </w:tc>
      </w:tr>
      <w:tr>
        <w:trPr>
          <w:trHeight w:val="224" w:hRule="atLeast"/>
        </w:trPr>
        <w:tc>
          <w:tcPr>
            <w:tcW w:w="6535" w:type="dxa"/>
            <w:gridSpan w:val="5"/>
          </w:tcPr>
          <w:p>
            <w:pPr>
              <w:pStyle w:val="TableParagraph"/>
              <w:spacing w:before="5"/>
              <w:rPr>
                <w:sz w:val="18"/>
              </w:rPr>
            </w:pPr>
            <w:r>
              <w:rPr>
                <w:sz w:val="18"/>
              </w:rPr>
              <w:t>Sample</w:t>
            </w:r>
            <w:r>
              <w:rPr>
                <w:spacing w:val="-7"/>
                <w:sz w:val="18"/>
              </w:rPr>
              <w:t> </w:t>
            </w:r>
            <w:r>
              <w:rPr>
                <w:sz w:val="18"/>
              </w:rPr>
              <w:t>(adjusted):</w:t>
            </w:r>
            <w:r>
              <w:rPr>
                <w:spacing w:val="-6"/>
                <w:sz w:val="18"/>
              </w:rPr>
              <w:t> </w:t>
            </w:r>
            <w:r>
              <w:rPr>
                <w:sz w:val="18"/>
              </w:rPr>
              <w:t>1987</w:t>
            </w:r>
            <w:r>
              <w:rPr>
                <w:spacing w:val="-4"/>
                <w:sz w:val="18"/>
              </w:rPr>
              <w:t> 2020</w:t>
            </w:r>
          </w:p>
        </w:tc>
      </w:tr>
      <w:tr>
        <w:trPr>
          <w:trHeight w:val="303" w:hRule="atLeast"/>
        </w:trPr>
        <w:tc>
          <w:tcPr>
            <w:tcW w:w="6535" w:type="dxa"/>
            <w:gridSpan w:val="5"/>
            <w:tcBorders>
              <w:bottom w:val="double" w:sz="6" w:space="0" w:color="000000"/>
            </w:tcBorders>
          </w:tcPr>
          <w:p>
            <w:pPr>
              <w:pStyle w:val="TableParagraph"/>
              <w:spacing w:line="240" w:lineRule="auto"/>
              <w:rPr>
                <w:sz w:val="18"/>
              </w:rPr>
            </w:pPr>
            <w:r>
              <w:rPr>
                <w:sz w:val="18"/>
              </w:rPr>
              <w:t>Included</w:t>
            </w:r>
            <w:r>
              <w:rPr>
                <w:spacing w:val="-7"/>
                <w:sz w:val="18"/>
              </w:rPr>
              <w:t> </w:t>
            </w:r>
            <w:r>
              <w:rPr>
                <w:sz w:val="18"/>
              </w:rPr>
              <w:t>observations:</w:t>
            </w:r>
            <w:r>
              <w:rPr>
                <w:spacing w:val="-5"/>
                <w:sz w:val="18"/>
              </w:rPr>
              <w:t> </w:t>
            </w:r>
            <w:r>
              <w:rPr>
                <w:sz w:val="18"/>
              </w:rPr>
              <w:t>34</w:t>
            </w:r>
            <w:r>
              <w:rPr>
                <w:spacing w:val="-5"/>
                <w:sz w:val="18"/>
              </w:rPr>
              <w:t> </w:t>
            </w:r>
            <w:r>
              <w:rPr>
                <w:sz w:val="18"/>
              </w:rPr>
              <w:t>after</w:t>
            </w:r>
            <w:r>
              <w:rPr>
                <w:spacing w:val="-2"/>
                <w:sz w:val="18"/>
              </w:rPr>
              <w:t> 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41" w:type="dxa"/>
            <w:tcBorders>
              <w:top w:val="double" w:sz="6" w:space="0" w:color="000000"/>
              <w:bottom w:val="double" w:sz="6" w:space="0" w:color="000000"/>
            </w:tcBorders>
          </w:tcPr>
          <w:p>
            <w:pPr>
              <w:pStyle w:val="TableParagraph"/>
              <w:spacing w:line="240" w:lineRule="auto" w:before="108"/>
              <w:ind w:right="124"/>
              <w:jc w:val="right"/>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line="240" w:lineRule="auto" w:before="108"/>
              <w:ind w:left="341"/>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616"/>
              <w:rPr>
                <w:sz w:val="18"/>
              </w:rPr>
            </w:pPr>
            <w:r>
              <w:rPr>
                <w:spacing w:val="-2"/>
                <w:sz w:val="18"/>
              </w:rPr>
              <w:t>EXCH(-</w:t>
            </w:r>
            <w:r>
              <w:rPr>
                <w:spacing w:val="-5"/>
                <w:sz w:val="18"/>
              </w:rPr>
              <w:t>1)</w:t>
            </w:r>
          </w:p>
        </w:tc>
        <w:tc>
          <w:tcPr>
            <w:tcW w:w="1307" w:type="dxa"/>
            <w:tcBorders>
              <w:top w:val="double" w:sz="6" w:space="0" w:color="000000"/>
            </w:tcBorders>
          </w:tcPr>
          <w:p>
            <w:pPr>
              <w:pStyle w:val="TableParagraph"/>
              <w:spacing w:before="108"/>
              <w:ind w:right="105"/>
              <w:jc w:val="right"/>
              <w:rPr>
                <w:sz w:val="18"/>
              </w:rPr>
            </w:pPr>
            <w:r>
              <w:rPr>
                <w:spacing w:val="-2"/>
                <w:sz w:val="18"/>
              </w:rPr>
              <w:t>-0.052950</w:t>
            </w:r>
          </w:p>
        </w:tc>
        <w:tc>
          <w:tcPr>
            <w:tcW w:w="1492" w:type="dxa"/>
            <w:tcBorders>
              <w:top w:val="double" w:sz="6" w:space="0" w:color="000000"/>
            </w:tcBorders>
          </w:tcPr>
          <w:p>
            <w:pPr>
              <w:pStyle w:val="TableParagraph"/>
              <w:spacing w:before="108"/>
              <w:ind w:left="349"/>
              <w:rPr>
                <w:sz w:val="18"/>
              </w:rPr>
            </w:pPr>
            <w:r>
              <w:rPr>
                <w:spacing w:val="-2"/>
                <w:sz w:val="18"/>
              </w:rPr>
              <w:t>0.053942</w:t>
            </w:r>
          </w:p>
        </w:tc>
        <w:tc>
          <w:tcPr>
            <w:tcW w:w="941" w:type="dxa"/>
            <w:tcBorders>
              <w:top w:val="double" w:sz="6" w:space="0" w:color="000000"/>
            </w:tcBorders>
          </w:tcPr>
          <w:p>
            <w:pPr>
              <w:pStyle w:val="TableParagraph"/>
              <w:spacing w:before="108"/>
              <w:ind w:right="124"/>
              <w:jc w:val="right"/>
              <w:rPr>
                <w:sz w:val="18"/>
              </w:rPr>
            </w:pPr>
            <w:r>
              <w:rPr>
                <w:spacing w:val="-2"/>
                <w:sz w:val="18"/>
              </w:rPr>
              <w:t>-0.981612</w:t>
            </w:r>
          </w:p>
        </w:tc>
        <w:tc>
          <w:tcPr>
            <w:tcW w:w="885" w:type="dxa"/>
            <w:tcBorders>
              <w:top w:val="double" w:sz="6" w:space="0" w:color="000000"/>
            </w:tcBorders>
          </w:tcPr>
          <w:p>
            <w:pPr>
              <w:pStyle w:val="TableParagraph"/>
              <w:spacing w:before="108"/>
              <w:ind w:right="10"/>
              <w:jc w:val="right"/>
              <w:rPr>
                <w:sz w:val="18"/>
              </w:rPr>
            </w:pPr>
            <w:r>
              <w:rPr>
                <w:spacing w:val="-2"/>
                <w:sz w:val="18"/>
              </w:rPr>
              <w:t>0.3337</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10.04359</w:t>
            </w:r>
          </w:p>
        </w:tc>
        <w:tc>
          <w:tcPr>
            <w:tcW w:w="1492" w:type="dxa"/>
            <w:tcBorders>
              <w:bottom w:val="double" w:sz="6" w:space="0" w:color="000000"/>
            </w:tcBorders>
          </w:tcPr>
          <w:p>
            <w:pPr>
              <w:pStyle w:val="TableParagraph"/>
              <w:spacing w:line="240" w:lineRule="auto"/>
              <w:ind w:left="349"/>
              <w:rPr>
                <w:sz w:val="18"/>
              </w:rPr>
            </w:pPr>
            <w:r>
              <w:rPr>
                <w:spacing w:val="-2"/>
                <w:sz w:val="18"/>
              </w:rPr>
              <w:t>6.039110</w:t>
            </w:r>
          </w:p>
        </w:tc>
        <w:tc>
          <w:tcPr>
            <w:tcW w:w="941" w:type="dxa"/>
            <w:tcBorders>
              <w:bottom w:val="double" w:sz="6" w:space="0" w:color="000000"/>
            </w:tcBorders>
          </w:tcPr>
          <w:p>
            <w:pPr>
              <w:pStyle w:val="TableParagraph"/>
              <w:spacing w:line="240" w:lineRule="auto"/>
              <w:ind w:right="124"/>
              <w:jc w:val="right"/>
              <w:rPr>
                <w:sz w:val="18"/>
              </w:rPr>
            </w:pPr>
            <w:r>
              <w:rPr>
                <w:spacing w:val="-2"/>
                <w:sz w:val="18"/>
              </w:rPr>
              <w:t>1.663091</w:t>
            </w:r>
          </w:p>
        </w:tc>
        <w:tc>
          <w:tcPr>
            <w:tcW w:w="885" w:type="dxa"/>
            <w:tcBorders>
              <w:bottom w:val="double" w:sz="6" w:space="0" w:color="000000"/>
            </w:tcBorders>
          </w:tcPr>
          <w:p>
            <w:pPr>
              <w:pStyle w:val="TableParagraph"/>
              <w:spacing w:line="240" w:lineRule="auto"/>
              <w:ind w:right="10"/>
              <w:jc w:val="right"/>
              <w:rPr>
                <w:sz w:val="18"/>
              </w:rPr>
            </w:pPr>
            <w:r>
              <w:rPr>
                <w:spacing w:val="-2"/>
                <w:sz w:val="18"/>
              </w:rPr>
              <w:t>0.1061</w:t>
            </w:r>
          </w:p>
        </w:tc>
      </w:tr>
      <w:tr>
        <w:trPr>
          <w:trHeight w:val="325" w:hRule="atLeast"/>
        </w:trPr>
        <w:tc>
          <w:tcPr>
            <w:tcW w:w="1910" w:type="dxa"/>
            <w:tcBorders>
              <w:top w:val="double" w:sz="6" w:space="0" w:color="000000"/>
            </w:tcBorders>
          </w:tcPr>
          <w:p>
            <w:pPr>
              <w:pStyle w:val="TableParagraph"/>
              <w:spacing w:before="106"/>
              <w:rPr>
                <w:sz w:val="18"/>
              </w:rPr>
            </w:pPr>
            <w:r>
              <w:rPr>
                <w:spacing w:val="-2"/>
                <w:sz w:val="18"/>
              </w:rPr>
              <w:t>R-squared</w:t>
            </w:r>
          </w:p>
        </w:tc>
        <w:tc>
          <w:tcPr>
            <w:tcW w:w="1307" w:type="dxa"/>
            <w:tcBorders>
              <w:top w:val="double" w:sz="6" w:space="0" w:color="000000"/>
            </w:tcBorders>
          </w:tcPr>
          <w:p>
            <w:pPr>
              <w:pStyle w:val="TableParagraph"/>
              <w:spacing w:before="106"/>
              <w:ind w:right="105"/>
              <w:jc w:val="right"/>
              <w:rPr>
                <w:sz w:val="18"/>
              </w:rPr>
            </w:pPr>
            <w:r>
              <w:rPr>
                <w:spacing w:val="-2"/>
                <w:sz w:val="18"/>
              </w:rPr>
              <w:t>0.029231</w:t>
            </w:r>
          </w:p>
        </w:tc>
        <w:tc>
          <w:tcPr>
            <w:tcW w:w="2433" w:type="dxa"/>
            <w:gridSpan w:val="2"/>
            <w:tcBorders>
              <w:top w:val="double" w:sz="6" w:space="0" w:color="000000"/>
            </w:tcBorders>
          </w:tcPr>
          <w:p>
            <w:pPr>
              <w:pStyle w:val="TableParagraph"/>
              <w:spacing w:before="106"/>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885" w:type="dxa"/>
            <w:tcBorders>
              <w:top w:val="double" w:sz="6" w:space="0" w:color="000000"/>
            </w:tcBorders>
          </w:tcPr>
          <w:p>
            <w:pPr>
              <w:pStyle w:val="TableParagraph"/>
              <w:spacing w:before="106"/>
              <w:ind w:right="10"/>
              <w:jc w:val="right"/>
              <w:rPr>
                <w:sz w:val="18"/>
              </w:rPr>
            </w:pPr>
            <w:r>
              <w:rPr>
                <w:spacing w:val="-2"/>
                <w:sz w:val="18"/>
              </w:rPr>
              <w:t>5.190882</w:t>
            </w:r>
          </w:p>
        </w:tc>
      </w:tr>
      <w:tr>
        <w:trPr>
          <w:trHeight w:val="225" w:hRule="atLeast"/>
        </w:trPr>
        <w:tc>
          <w:tcPr>
            <w:tcW w:w="1910" w:type="dxa"/>
          </w:tcPr>
          <w:p>
            <w:pPr>
              <w:pStyle w:val="TableParagraph"/>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ind w:right="105"/>
              <w:jc w:val="right"/>
              <w:rPr>
                <w:sz w:val="18"/>
              </w:rPr>
            </w:pPr>
            <w:r>
              <w:rPr>
                <w:spacing w:val="-2"/>
                <w:sz w:val="18"/>
              </w:rPr>
              <w:t>-0.001105</w:t>
            </w:r>
          </w:p>
        </w:tc>
        <w:tc>
          <w:tcPr>
            <w:tcW w:w="2433" w:type="dxa"/>
            <w:gridSpan w:val="2"/>
          </w:tcPr>
          <w:p>
            <w:pPr>
              <w:pStyle w:val="TableParagraph"/>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885" w:type="dxa"/>
          </w:tcPr>
          <w:p>
            <w:pPr>
              <w:pStyle w:val="TableParagraph"/>
              <w:ind w:right="10"/>
              <w:jc w:val="right"/>
              <w:rPr>
                <w:sz w:val="18"/>
              </w:rPr>
            </w:pPr>
            <w:r>
              <w:rPr>
                <w:spacing w:val="-2"/>
                <w:sz w:val="18"/>
              </w:rPr>
              <w:t>20.21442</w:t>
            </w:r>
          </w:p>
        </w:tc>
      </w:tr>
      <w:tr>
        <w:trPr>
          <w:trHeight w:val="225" w:hRule="atLeast"/>
        </w:trPr>
        <w:tc>
          <w:tcPr>
            <w:tcW w:w="1910" w:type="dxa"/>
          </w:tcPr>
          <w:p>
            <w:pPr>
              <w:pStyle w:val="TableParagraph"/>
              <w:rPr>
                <w:sz w:val="18"/>
              </w:rPr>
            </w:pPr>
            <w:r>
              <w:rPr>
                <w:sz w:val="18"/>
              </w:rPr>
              <w:t>S.E.</w:t>
            </w:r>
            <w:r>
              <w:rPr>
                <w:spacing w:val="-2"/>
                <w:sz w:val="18"/>
              </w:rPr>
              <w:t> </w:t>
            </w:r>
            <w:r>
              <w:rPr>
                <w:sz w:val="18"/>
              </w:rPr>
              <w:t>of </w:t>
            </w:r>
            <w:r>
              <w:rPr>
                <w:spacing w:val="-2"/>
                <w:sz w:val="18"/>
              </w:rPr>
              <w:t>regression</w:t>
            </w:r>
          </w:p>
        </w:tc>
        <w:tc>
          <w:tcPr>
            <w:tcW w:w="1307" w:type="dxa"/>
          </w:tcPr>
          <w:p>
            <w:pPr>
              <w:pStyle w:val="TableParagraph"/>
              <w:ind w:right="105"/>
              <w:jc w:val="right"/>
              <w:rPr>
                <w:sz w:val="18"/>
              </w:rPr>
            </w:pPr>
            <w:r>
              <w:rPr>
                <w:spacing w:val="-2"/>
                <w:sz w:val="18"/>
              </w:rPr>
              <w:t>20.22558</w:t>
            </w:r>
          </w:p>
        </w:tc>
        <w:tc>
          <w:tcPr>
            <w:tcW w:w="2433" w:type="dxa"/>
            <w:gridSpan w:val="2"/>
          </w:tcPr>
          <w:p>
            <w:pPr>
              <w:pStyle w:val="TableParagraph"/>
              <w:ind w:left="105"/>
              <w:rPr>
                <w:sz w:val="18"/>
              </w:rPr>
            </w:pPr>
            <w:r>
              <w:rPr>
                <w:sz w:val="18"/>
              </w:rPr>
              <w:t>Akaike</w:t>
            </w:r>
            <w:r>
              <w:rPr>
                <w:spacing w:val="-3"/>
                <w:sz w:val="18"/>
              </w:rPr>
              <w:t> </w:t>
            </w:r>
            <w:r>
              <w:rPr>
                <w:sz w:val="18"/>
              </w:rPr>
              <w:t>info</w:t>
            </w:r>
            <w:r>
              <w:rPr>
                <w:spacing w:val="-2"/>
                <w:sz w:val="18"/>
              </w:rPr>
              <w:t> criterion</w:t>
            </w:r>
          </w:p>
        </w:tc>
        <w:tc>
          <w:tcPr>
            <w:tcW w:w="885" w:type="dxa"/>
          </w:tcPr>
          <w:p>
            <w:pPr>
              <w:pStyle w:val="TableParagraph"/>
              <w:ind w:right="10"/>
              <w:jc w:val="right"/>
              <w:rPr>
                <w:sz w:val="18"/>
              </w:rPr>
            </w:pPr>
            <w:r>
              <w:rPr>
                <w:spacing w:val="-2"/>
                <w:sz w:val="18"/>
              </w:rPr>
              <w:t>8.908796</w:t>
            </w:r>
          </w:p>
        </w:tc>
      </w:tr>
      <w:tr>
        <w:trPr>
          <w:trHeight w:val="224" w:hRule="atLeast"/>
        </w:trPr>
        <w:tc>
          <w:tcPr>
            <w:tcW w:w="1910" w:type="dxa"/>
          </w:tcPr>
          <w:p>
            <w:pPr>
              <w:pStyle w:val="TableParagraph"/>
              <w:spacing w:line="198" w:lineRule="exact"/>
              <w:rPr>
                <w:sz w:val="18"/>
              </w:rPr>
            </w:pPr>
            <w:r>
              <w:rPr>
                <w:sz w:val="18"/>
              </w:rPr>
              <w:t>Sum</w:t>
            </w:r>
            <w:r>
              <w:rPr>
                <w:spacing w:val="-4"/>
                <w:sz w:val="18"/>
              </w:rPr>
              <w:t> </w:t>
            </w:r>
            <w:r>
              <w:rPr>
                <w:sz w:val="18"/>
              </w:rPr>
              <w:t>squared</w:t>
            </w:r>
            <w:r>
              <w:rPr>
                <w:spacing w:val="-2"/>
                <w:sz w:val="18"/>
              </w:rPr>
              <w:t> </w:t>
            </w:r>
            <w:r>
              <w:rPr>
                <w:spacing w:val="-4"/>
                <w:sz w:val="18"/>
              </w:rPr>
              <w:t>resid</w:t>
            </w:r>
          </w:p>
        </w:tc>
        <w:tc>
          <w:tcPr>
            <w:tcW w:w="1307" w:type="dxa"/>
          </w:tcPr>
          <w:p>
            <w:pPr>
              <w:pStyle w:val="TableParagraph"/>
              <w:spacing w:line="198" w:lineRule="exact"/>
              <w:ind w:right="105"/>
              <w:jc w:val="right"/>
              <w:rPr>
                <w:sz w:val="18"/>
              </w:rPr>
            </w:pPr>
            <w:r>
              <w:rPr>
                <w:spacing w:val="-2"/>
                <w:sz w:val="18"/>
              </w:rPr>
              <w:t>13090.38</w:t>
            </w:r>
          </w:p>
        </w:tc>
        <w:tc>
          <w:tcPr>
            <w:tcW w:w="1492" w:type="dxa"/>
          </w:tcPr>
          <w:p>
            <w:pPr>
              <w:pStyle w:val="TableParagraph"/>
              <w:spacing w:line="198" w:lineRule="exact"/>
              <w:ind w:left="105"/>
              <w:rPr>
                <w:sz w:val="18"/>
              </w:rPr>
            </w:pPr>
            <w:r>
              <w:rPr>
                <w:sz w:val="18"/>
              </w:rPr>
              <w:t>Schwarz</w:t>
            </w:r>
            <w:r>
              <w:rPr>
                <w:spacing w:val="-4"/>
                <w:sz w:val="18"/>
              </w:rPr>
              <w:t> </w:t>
            </w:r>
            <w:r>
              <w:rPr>
                <w:spacing w:val="-2"/>
                <w:sz w:val="18"/>
              </w:rPr>
              <w:t>criterion</w:t>
            </w:r>
          </w:p>
        </w:tc>
        <w:tc>
          <w:tcPr>
            <w:tcW w:w="941" w:type="dxa"/>
          </w:tcPr>
          <w:p>
            <w:pPr>
              <w:pStyle w:val="TableParagraph"/>
              <w:spacing w:line="240" w:lineRule="auto" w:before="0"/>
              <w:rPr>
                <w:rFonts w:ascii="Times New Roman"/>
                <w:sz w:val="16"/>
              </w:rPr>
            </w:pPr>
          </w:p>
        </w:tc>
        <w:tc>
          <w:tcPr>
            <w:tcW w:w="885" w:type="dxa"/>
          </w:tcPr>
          <w:p>
            <w:pPr>
              <w:pStyle w:val="TableParagraph"/>
              <w:spacing w:line="198" w:lineRule="exact"/>
              <w:ind w:right="10"/>
              <w:jc w:val="right"/>
              <w:rPr>
                <w:sz w:val="18"/>
              </w:rPr>
            </w:pPr>
            <w:r>
              <w:rPr>
                <w:spacing w:val="-2"/>
                <w:sz w:val="18"/>
              </w:rPr>
              <w:t>8.998582</w:t>
            </w:r>
          </w:p>
        </w:tc>
      </w:tr>
      <w:tr>
        <w:trPr>
          <w:trHeight w:val="224" w:hRule="atLeast"/>
        </w:trPr>
        <w:tc>
          <w:tcPr>
            <w:tcW w:w="1910" w:type="dxa"/>
          </w:tcPr>
          <w:p>
            <w:pPr>
              <w:pStyle w:val="TableParagraph"/>
              <w:spacing w:before="5"/>
              <w:rPr>
                <w:sz w:val="18"/>
              </w:rPr>
            </w:pPr>
            <w:r>
              <w:rPr>
                <w:sz w:val="18"/>
              </w:rPr>
              <w:t>Log</w:t>
            </w:r>
            <w:r>
              <w:rPr>
                <w:spacing w:val="-3"/>
                <w:sz w:val="18"/>
              </w:rPr>
              <w:t> </w:t>
            </w:r>
            <w:r>
              <w:rPr>
                <w:spacing w:val="-2"/>
                <w:sz w:val="18"/>
              </w:rPr>
              <w:t>likelihood</w:t>
            </w:r>
          </w:p>
        </w:tc>
        <w:tc>
          <w:tcPr>
            <w:tcW w:w="1307" w:type="dxa"/>
          </w:tcPr>
          <w:p>
            <w:pPr>
              <w:pStyle w:val="TableParagraph"/>
              <w:spacing w:before="5"/>
              <w:ind w:right="105"/>
              <w:jc w:val="right"/>
              <w:rPr>
                <w:sz w:val="18"/>
              </w:rPr>
            </w:pPr>
            <w:r>
              <w:rPr>
                <w:spacing w:val="-2"/>
                <w:sz w:val="18"/>
              </w:rPr>
              <w:t>-149.4495</w:t>
            </w:r>
          </w:p>
        </w:tc>
        <w:tc>
          <w:tcPr>
            <w:tcW w:w="2433" w:type="dxa"/>
            <w:gridSpan w:val="2"/>
          </w:tcPr>
          <w:p>
            <w:pPr>
              <w:pStyle w:val="TableParagraph"/>
              <w:spacing w:before="5"/>
              <w:ind w:left="105"/>
              <w:rPr>
                <w:sz w:val="18"/>
              </w:rPr>
            </w:pPr>
            <w:r>
              <w:rPr>
                <w:spacing w:val="-2"/>
                <w:sz w:val="18"/>
              </w:rPr>
              <w:t>Hannan-Quinn</w:t>
            </w:r>
            <w:r>
              <w:rPr>
                <w:spacing w:val="11"/>
                <w:sz w:val="18"/>
              </w:rPr>
              <w:t> </w:t>
            </w:r>
            <w:r>
              <w:rPr>
                <w:spacing w:val="-2"/>
                <w:sz w:val="18"/>
              </w:rPr>
              <w:t>criter.</w:t>
            </w:r>
          </w:p>
        </w:tc>
        <w:tc>
          <w:tcPr>
            <w:tcW w:w="885" w:type="dxa"/>
          </w:tcPr>
          <w:p>
            <w:pPr>
              <w:pStyle w:val="TableParagraph"/>
              <w:spacing w:before="5"/>
              <w:ind w:right="10"/>
              <w:jc w:val="right"/>
              <w:rPr>
                <w:sz w:val="18"/>
              </w:rPr>
            </w:pPr>
            <w:r>
              <w:rPr>
                <w:spacing w:val="-2"/>
                <w:sz w:val="18"/>
              </w:rPr>
              <w:t>8.939416</w:t>
            </w:r>
          </w:p>
        </w:tc>
      </w:tr>
      <w:tr>
        <w:trPr>
          <w:trHeight w:val="225" w:hRule="atLeast"/>
        </w:trPr>
        <w:tc>
          <w:tcPr>
            <w:tcW w:w="1910" w:type="dxa"/>
          </w:tcPr>
          <w:p>
            <w:pPr>
              <w:pStyle w:val="TableParagraph"/>
              <w:rPr>
                <w:sz w:val="18"/>
              </w:rPr>
            </w:pPr>
            <w:r>
              <w:rPr>
                <w:spacing w:val="-2"/>
                <w:sz w:val="18"/>
              </w:rPr>
              <w:t>F-statistic</w:t>
            </w:r>
          </w:p>
        </w:tc>
        <w:tc>
          <w:tcPr>
            <w:tcW w:w="1307" w:type="dxa"/>
          </w:tcPr>
          <w:p>
            <w:pPr>
              <w:pStyle w:val="TableParagraph"/>
              <w:ind w:right="105"/>
              <w:jc w:val="right"/>
              <w:rPr>
                <w:sz w:val="18"/>
              </w:rPr>
            </w:pPr>
            <w:r>
              <w:rPr>
                <w:spacing w:val="-2"/>
                <w:sz w:val="18"/>
              </w:rPr>
              <w:t>0.963563</w:t>
            </w:r>
          </w:p>
        </w:tc>
        <w:tc>
          <w:tcPr>
            <w:tcW w:w="2433" w:type="dxa"/>
            <w:gridSpan w:val="2"/>
          </w:tcPr>
          <w:p>
            <w:pPr>
              <w:pStyle w:val="TableParagraph"/>
              <w:ind w:left="105"/>
              <w:rPr>
                <w:sz w:val="18"/>
              </w:rPr>
            </w:pPr>
            <w:r>
              <w:rPr>
                <w:spacing w:val="-2"/>
                <w:sz w:val="18"/>
              </w:rPr>
              <w:t>Durbin-Watson</w:t>
            </w:r>
            <w:r>
              <w:rPr>
                <w:spacing w:val="13"/>
                <w:sz w:val="18"/>
              </w:rPr>
              <w:t> </w:t>
            </w:r>
            <w:r>
              <w:rPr>
                <w:spacing w:val="-4"/>
                <w:sz w:val="18"/>
              </w:rPr>
              <w:t>stat</w:t>
            </w:r>
          </w:p>
        </w:tc>
        <w:tc>
          <w:tcPr>
            <w:tcW w:w="885" w:type="dxa"/>
          </w:tcPr>
          <w:p>
            <w:pPr>
              <w:pStyle w:val="TableParagraph"/>
              <w:ind w:right="10"/>
              <w:jc w:val="right"/>
              <w:rPr>
                <w:sz w:val="18"/>
              </w:rPr>
            </w:pPr>
            <w:r>
              <w:rPr>
                <w:spacing w:val="-2"/>
                <w:sz w:val="18"/>
              </w:rPr>
              <w:t>1.982897</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0.333655</w:t>
            </w:r>
          </w:p>
        </w:tc>
        <w:tc>
          <w:tcPr>
            <w:tcW w:w="2433" w:type="dxa"/>
            <w:gridSpan w:val="2"/>
            <w:tcBorders>
              <w:bottom w:val="double" w:sz="6" w:space="0" w:color="000000"/>
            </w:tcBorders>
          </w:tcPr>
          <w:p>
            <w:pPr>
              <w:pStyle w:val="TableParagraph"/>
              <w:spacing w:line="240" w:lineRule="auto" w:before="0"/>
              <w:rPr>
                <w:rFonts w:ascii="Times New Roman"/>
                <w:sz w:val="18"/>
              </w:rPr>
            </w:pPr>
          </w:p>
        </w:tc>
        <w:tc>
          <w:tcPr>
            <w:tcW w:w="885"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35808">
                <wp:simplePos x="0" y="0"/>
                <wp:positionH relativeFrom="page">
                  <wp:posOffset>950112</wp:posOffset>
                </wp:positionH>
                <wp:positionV relativeFrom="page">
                  <wp:posOffset>5006974</wp:posOffset>
                </wp:positionV>
                <wp:extent cx="2725420" cy="2851150"/>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2725420" cy="2851150"/>
                        </a:xfrm>
                        <a:custGeom>
                          <a:avLst/>
                          <a:gdLst/>
                          <a:ahLst/>
                          <a:cxnLst/>
                          <a:rect l="l" t="t" r="r" b="b"/>
                          <a:pathLst>
                            <a:path w="2725420" h="2851150">
                              <a:moveTo>
                                <a:pt x="677011" y="2727325"/>
                              </a:moveTo>
                              <a:lnTo>
                                <a:pt x="123825" y="2174240"/>
                              </a:lnTo>
                              <a:lnTo>
                                <a:pt x="0" y="2298065"/>
                              </a:lnTo>
                              <a:lnTo>
                                <a:pt x="553186" y="2851150"/>
                              </a:lnTo>
                              <a:lnTo>
                                <a:pt x="677011" y="2727325"/>
                              </a:lnTo>
                              <a:close/>
                            </a:path>
                            <a:path w="2725420" h="2851150">
                              <a:moveTo>
                                <a:pt x="1052677" y="2298128"/>
                              </a:moveTo>
                              <a:lnTo>
                                <a:pt x="1048994" y="2245868"/>
                              </a:lnTo>
                              <a:lnTo>
                                <a:pt x="1033970" y="2190204"/>
                              </a:lnTo>
                              <a:lnTo>
                                <a:pt x="1007338" y="2134997"/>
                              </a:lnTo>
                              <a:lnTo>
                                <a:pt x="970724" y="2082050"/>
                              </a:lnTo>
                              <a:lnTo>
                                <a:pt x="925931" y="2031746"/>
                              </a:lnTo>
                              <a:lnTo>
                                <a:pt x="596112" y="1701927"/>
                              </a:lnTo>
                              <a:lnTo>
                                <a:pt x="472795" y="1825244"/>
                              </a:lnTo>
                              <a:lnTo>
                                <a:pt x="810361" y="2162937"/>
                              </a:lnTo>
                              <a:lnTo>
                                <a:pt x="830872" y="2185746"/>
                              </a:lnTo>
                              <a:lnTo>
                                <a:pt x="846518" y="2208212"/>
                              </a:lnTo>
                              <a:lnTo>
                                <a:pt x="857364" y="2230310"/>
                              </a:lnTo>
                              <a:lnTo>
                                <a:pt x="863447" y="2251964"/>
                              </a:lnTo>
                              <a:lnTo>
                                <a:pt x="864400" y="2272804"/>
                              </a:lnTo>
                              <a:lnTo>
                                <a:pt x="860463" y="2292248"/>
                              </a:lnTo>
                              <a:lnTo>
                                <a:pt x="838047" y="2326894"/>
                              </a:lnTo>
                              <a:lnTo>
                                <a:pt x="803135" y="2349462"/>
                              </a:lnTo>
                              <a:lnTo>
                                <a:pt x="783590" y="2353246"/>
                              </a:lnTo>
                              <a:lnTo>
                                <a:pt x="762609" y="2351913"/>
                              </a:lnTo>
                              <a:lnTo>
                                <a:pt x="718540" y="2335238"/>
                              </a:lnTo>
                              <a:lnTo>
                                <a:pt x="673709" y="2299589"/>
                              </a:lnTo>
                              <a:lnTo>
                                <a:pt x="336143" y="1961896"/>
                              </a:lnTo>
                              <a:lnTo>
                                <a:pt x="212750" y="2085213"/>
                              </a:lnTo>
                              <a:lnTo>
                                <a:pt x="542518" y="2415032"/>
                              </a:lnTo>
                              <a:lnTo>
                                <a:pt x="589267" y="2455938"/>
                              </a:lnTo>
                              <a:lnTo>
                                <a:pt x="647547" y="2497201"/>
                              </a:lnTo>
                              <a:lnTo>
                                <a:pt x="690029" y="2519197"/>
                              </a:lnTo>
                              <a:lnTo>
                                <a:pt x="737844" y="2534412"/>
                              </a:lnTo>
                              <a:lnTo>
                                <a:pt x="785317" y="2541803"/>
                              </a:lnTo>
                              <a:lnTo>
                                <a:pt x="807148" y="2541905"/>
                              </a:lnTo>
                              <a:lnTo>
                                <a:pt x="827760" y="2539746"/>
                              </a:lnTo>
                              <a:lnTo>
                                <a:pt x="867854" y="2527871"/>
                              </a:lnTo>
                              <a:lnTo>
                                <a:pt x="908151" y="2504567"/>
                              </a:lnTo>
                              <a:lnTo>
                                <a:pt x="945184" y="2475331"/>
                              </a:lnTo>
                              <a:lnTo>
                                <a:pt x="976985" y="2446274"/>
                              </a:lnTo>
                              <a:lnTo>
                                <a:pt x="1019340" y="2394864"/>
                              </a:lnTo>
                              <a:lnTo>
                                <a:pt x="1045311" y="2341626"/>
                              </a:lnTo>
                              <a:lnTo>
                                <a:pt x="1050315" y="2320988"/>
                              </a:lnTo>
                              <a:lnTo>
                                <a:pt x="1052677" y="2298128"/>
                              </a:lnTo>
                              <a:close/>
                            </a:path>
                            <a:path w="2725420" h="2851150">
                              <a:moveTo>
                                <a:pt x="1514894" y="1800758"/>
                              </a:moveTo>
                              <a:lnTo>
                                <a:pt x="1510919" y="1760004"/>
                              </a:lnTo>
                              <a:lnTo>
                                <a:pt x="1500898" y="1718437"/>
                              </a:lnTo>
                              <a:lnTo>
                                <a:pt x="1484604" y="1676019"/>
                              </a:lnTo>
                              <a:lnTo>
                                <a:pt x="1466773" y="1641500"/>
                              </a:lnTo>
                              <a:lnTo>
                                <a:pt x="1444371" y="1605927"/>
                              </a:lnTo>
                              <a:lnTo>
                                <a:pt x="1417307" y="1569351"/>
                              </a:lnTo>
                              <a:lnTo>
                                <a:pt x="1385633" y="1531886"/>
                              </a:lnTo>
                              <a:lnTo>
                                <a:pt x="1374317" y="1519974"/>
                              </a:lnTo>
                              <a:lnTo>
                                <a:pt x="1349222" y="1493520"/>
                              </a:lnTo>
                              <a:lnTo>
                                <a:pt x="1334046" y="1479397"/>
                              </a:lnTo>
                              <a:lnTo>
                                <a:pt x="1334046" y="1793036"/>
                              </a:lnTo>
                              <a:lnTo>
                                <a:pt x="1330934" y="1818589"/>
                              </a:lnTo>
                              <a:lnTo>
                                <a:pt x="1304518" y="1862963"/>
                              </a:lnTo>
                              <a:lnTo>
                                <a:pt x="1260602" y="1888655"/>
                              </a:lnTo>
                              <a:lnTo>
                                <a:pt x="1234897" y="1891474"/>
                              </a:lnTo>
                              <a:lnTo>
                                <a:pt x="1206601" y="1887474"/>
                              </a:lnTo>
                              <a:lnTo>
                                <a:pt x="1141285" y="1855914"/>
                              </a:lnTo>
                              <a:lnTo>
                                <a:pt x="1103972" y="1827225"/>
                              </a:lnTo>
                              <a:lnTo>
                                <a:pt x="1063599" y="1789696"/>
                              </a:lnTo>
                              <a:lnTo>
                                <a:pt x="1025931" y="1749107"/>
                              </a:lnTo>
                              <a:lnTo>
                                <a:pt x="997051" y="1711591"/>
                              </a:lnTo>
                              <a:lnTo>
                                <a:pt x="976833" y="1677212"/>
                              </a:lnTo>
                              <a:lnTo>
                                <a:pt x="961161" y="1617764"/>
                              </a:lnTo>
                              <a:lnTo>
                                <a:pt x="963866" y="1592186"/>
                              </a:lnTo>
                              <a:lnTo>
                                <a:pt x="988669" y="1549273"/>
                              </a:lnTo>
                              <a:lnTo>
                                <a:pt x="1032649" y="1523263"/>
                              </a:lnTo>
                              <a:lnTo>
                                <a:pt x="1058367" y="1519974"/>
                              </a:lnTo>
                              <a:lnTo>
                                <a:pt x="1086497" y="1523263"/>
                              </a:lnTo>
                              <a:lnTo>
                                <a:pt x="1150048" y="1553133"/>
                              </a:lnTo>
                              <a:lnTo>
                                <a:pt x="1185506" y="1579981"/>
                              </a:lnTo>
                              <a:lnTo>
                                <a:pt x="1223365" y="1614932"/>
                              </a:lnTo>
                              <a:lnTo>
                                <a:pt x="1264780" y="1659191"/>
                              </a:lnTo>
                              <a:lnTo>
                                <a:pt x="1296352" y="1699094"/>
                              </a:lnTo>
                              <a:lnTo>
                                <a:pt x="1318158" y="1734540"/>
                              </a:lnTo>
                              <a:lnTo>
                                <a:pt x="1334046" y="1793036"/>
                              </a:lnTo>
                              <a:lnTo>
                                <a:pt x="1334046" y="1479397"/>
                              </a:lnTo>
                              <a:lnTo>
                                <a:pt x="1304836" y="1452206"/>
                              </a:lnTo>
                              <a:lnTo>
                                <a:pt x="1260716" y="1417243"/>
                              </a:lnTo>
                              <a:lnTo>
                                <a:pt x="1216901" y="1388579"/>
                              </a:lnTo>
                              <a:lnTo>
                                <a:pt x="1173378" y="1366139"/>
                              </a:lnTo>
                              <a:lnTo>
                                <a:pt x="1130185" y="1349883"/>
                              </a:lnTo>
                              <a:lnTo>
                                <a:pt x="1087348" y="1339723"/>
                              </a:lnTo>
                              <a:lnTo>
                                <a:pt x="1037310" y="1336192"/>
                              </a:lnTo>
                              <a:lnTo>
                                <a:pt x="989495" y="1342542"/>
                              </a:lnTo>
                              <a:lnTo>
                                <a:pt x="943914" y="1358671"/>
                              </a:lnTo>
                              <a:lnTo>
                                <a:pt x="900569" y="1384452"/>
                              </a:lnTo>
                              <a:lnTo>
                                <a:pt x="859510" y="1419733"/>
                              </a:lnTo>
                              <a:lnTo>
                                <a:pt x="825169" y="1460017"/>
                              </a:lnTo>
                              <a:lnTo>
                                <a:pt x="800252" y="1502918"/>
                              </a:lnTo>
                              <a:lnTo>
                                <a:pt x="784847" y="1548434"/>
                              </a:lnTo>
                              <a:lnTo>
                                <a:pt x="779043" y="1596491"/>
                              </a:lnTo>
                              <a:lnTo>
                                <a:pt x="782929" y="1647063"/>
                              </a:lnTo>
                              <a:lnTo>
                                <a:pt x="793407" y="1690458"/>
                              </a:lnTo>
                              <a:lnTo>
                                <a:pt x="810056" y="1734261"/>
                              </a:lnTo>
                              <a:lnTo>
                                <a:pt x="832916" y="1778419"/>
                              </a:lnTo>
                              <a:lnTo>
                                <a:pt x="862050" y="1822894"/>
                              </a:lnTo>
                              <a:lnTo>
                                <a:pt x="897521" y="1867649"/>
                              </a:lnTo>
                              <a:lnTo>
                                <a:pt x="939393" y="1912620"/>
                              </a:lnTo>
                              <a:lnTo>
                                <a:pt x="977900" y="1948903"/>
                              </a:lnTo>
                              <a:lnTo>
                                <a:pt x="1016127" y="1980374"/>
                              </a:lnTo>
                              <a:lnTo>
                                <a:pt x="1053998" y="2007082"/>
                              </a:lnTo>
                              <a:lnTo>
                                <a:pt x="1091438" y="2029104"/>
                              </a:lnTo>
                              <a:lnTo>
                                <a:pt x="1128369" y="2046478"/>
                              </a:lnTo>
                              <a:lnTo>
                                <a:pt x="1173124" y="2061946"/>
                              </a:lnTo>
                              <a:lnTo>
                                <a:pt x="1215783" y="2070620"/>
                              </a:lnTo>
                              <a:lnTo>
                                <a:pt x="1256322" y="2072805"/>
                              </a:lnTo>
                              <a:lnTo>
                                <a:pt x="1294739" y="2068830"/>
                              </a:lnTo>
                              <a:lnTo>
                                <a:pt x="1331429" y="2058530"/>
                              </a:lnTo>
                              <a:lnTo>
                                <a:pt x="1367269" y="2041296"/>
                              </a:lnTo>
                              <a:lnTo>
                                <a:pt x="1402270" y="2017306"/>
                              </a:lnTo>
                              <a:lnTo>
                                <a:pt x="1436471" y="1986788"/>
                              </a:lnTo>
                              <a:lnTo>
                                <a:pt x="1466303" y="1952650"/>
                              </a:lnTo>
                              <a:lnTo>
                                <a:pt x="1489087" y="1916912"/>
                              </a:lnTo>
                              <a:lnTo>
                                <a:pt x="1504708" y="1879600"/>
                              </a:lnTo>
                              <a:lnTo>
                                <a:pt x="1513052" y="1840738"/>
                              </a:lnTo>
                              <a:lnTo>
                                <a:pt x="1514894" y="1800758"/>
                              </a:lnTo>
                              <a:close/>
                            </a:path>
                            <a:path w="2725420" h="2851150">
                              <a:moveTo>
                                <a:pt x="1687042" y="1432687"/>
                              </a:moveTo>
                              <a:lnTo>
                                <a:pt x="1568297" y="1313815"/>
                              </a:lnTo>
                              <a:lnTo>
                                <a:pt x="1406880" y="1475359"/>
                              </a:lnTo>
                              <a:lnTo>
                                <a:pt x="1525625" y="1594104"/>
                              </a:lnTo>
                              <a:lnTo>
                                <a:pt x="1687042" y="1432687"/>
                              </a:lnTo>
                              <a:close/>
                            </a:path>
                            <a:path w="2725420" h="2851150">
                              <a:moveTo>
                                <a:pt x="2011400" y="1392936"/>
                              </a:moveTo>
                              <a:lnTo>
                                <a:pt x="1458188" y="839724"/>
                              </a:lnTo>
                              <a:lnTo>
                                <a:pt x="1334363" y="963549"/>
                              </a:lnTo>
                              <a:lnTo>
                                <a:pt x="1887575" y="1516761"/>
                              </a:lnTo>
                              <a:lnTo>
                                <a:pt x="2011400" y="1392936"/>
                              </a:lnTo>
                              <a:close/>
                            </a:path>
                            <a:path w="2725420" h="2851150">
                              <a:moveTo>
                                <a:pt x="2223617" y="1180719"/>
                              </a:moveTo>
                              <a:lnTo>
                                <a:pt x="2018385" y="975360"/>
                              </a:lnTo>
                              <a:lnTo>
                                <a:pt x="2086076" y="907669"/>
                              </a:lnTo>
                              <a:lnTo>
                                <a:pt x="2118207" y="869683"/>
                              </a:lnTo>
                              <a:lnTo>
                                <a:pt x="2121674" y="863346"/>
                              </a:lnTo>
                              <a:lnTo>
                                <a:pt x="2139670" y="830580"/>
                              </a:lnTo>
                              <a:lnTo>
                                <a:pt x="2150364" y="790448"/>
                              </a:lnTo>
                              <a:lnTo>
                                <a:pt x="2150211" y="749300"/>
                              </a:lnTo>
                              <a:lnTo>
                                <a:pt x="2140051" y="707618"/>
                              </a:lnTo>
                              <a:lnTo>
                                <a:pt x="2125281" y="675309"/>
                              </a:lnTo>
                              <a:lnTo>
                                <a:pt x="2120950" y="665822"/>
                              </a:lnTo>
                              <a:lnTo>
                                <a:pt x="2092820" y="623951"/>
                              </a:lnTo>
                              <a:lnTo>
                                <a:pt x="2055596" y="582041"/>
                              </a:lnTo>
                              <a:lnTo>
                                <a:pt x="2015070" y="545795"/>
                              </a:lnTo>
                              <a:lnTo>
                                <a:pt x="1975040" y="518439"/>
                              </a:lnTo>
                              <a:lnTo>
                                <a:pt x="1969490" y="515823"/>
                              </a:lnTo>
                              <a:lnTo>
                                <a:pt x="1969490" y="765429"/>
                              </a:lnTo>
                              <a:lnTo>
                                <a:pt x="1968703" y="781672"/>
                              </a:lnTo>
                              <a:lnTo>
                                <a:pt x="1962848" y="798372"/>
                              </a:lnTo>
                              <a:lnTo>
                                <a:pt x="1952091" y="815530"/>
                              </a:lnTo>
                              <a:lnTo>
                                <a:pt x="1936597" y="833120"/>
                              </a:lnTo>
                              <a:lnTo>
                                <a:pt x="1906371" y="863346"/>
                              </a:lnTo>
                              <a:lnTo>
                                <a:pt x="1782927" y="739902"/>
                              </a:lnTo>
                              <a:lnTo>
                                <a:pt x="1818106" y="704723"/>
                              </a:lnTo>
                              <a:lnTo>
                                <a:pt x="1835226" y="689838"/>
                              </a:lnTo>
                              <a:lnTo>
                                <a:pt x="1851787" y="680046"/>
                              </a:lnTo>
                              <a:lnTo>
                                <a:pt x="1867827" y="675309"/>
                              </a:lnTo>
                              <a:lnTo>
                                <a:pt x="1883384" y="675640"/>
                              </a:lnTo>
                              <a:lnTo>
                                <a:pt x="1926831" y="695528"/>
                              </a:lnTo>
                              <a:lnTo>
                                <a:pt x="1960765" y="735203"/>
                              </a:lnTo>
                              <a:lnTo>
                                <a:pt x="1969490" y="765429"/>
                              </a:lnTo>
                              <a:lnTo>
                                <a:pt x="1969490" y="515823"/>
                              </a:lnTo>
                              <a:lnTo>
                                <a:pt x="1935543" y="499770"/>
                              </a:lnTo>
                              <a:lnTo>
                                <a:pt x="1896592" y="489585"/>
                              </a:lnTo>
                              <a:lnTo>
                                <a:pt x="1858441" y="488988"/>
                              </a:lnTo>
                              <a:lnTo>
                                <a:pt x="1821573" y="498335"/>
                              </a:lnTo>
                              <a:lnTo>
                                <a:pt x="1786013" y="517474"/>
                              </a:lnTo>
                              <a:lnTo>
                                <a:pt x="1751812" y="546227"/>
                              </a:lnTo>
                              <a:lnTo>
                                <a:pt x="1546326" y="751586"/>
                              </a:lnTo>
                              <a:lnTo>
                                <a:pt x="2099538" y="1304798"/>
                              </a:lnTo>
                              <a:lnTo>
                                <a:pt x="2223617" y="1180719"/>
                              </a:lnTo>
                              <a:close/>
                            </a:path>
                            <a:path w="2725420" h="2851150">
                              <a:moveTo>
                                <a:pt x="2725140" y="679196"/>
                              </a:moveTo>
                              <a:lnTo>
                                <a:pt x="2308441" y="262636"/>
                              </a:lnTo>
                              <a:lnTo>
                                <a:pt x="2434564" y="136525"/>
                              </a:lnTo>
                              <a:lnTo>
                                <a:pt x="2298039" y="0"/>
                              </a:lnTo>
                              <a:lnTo>
                                <a:pt x="1922373" y="375666"/>
                              </a:lnTo>
                              <a:lnTo>
                                <a:pt x="2058898" y="512191"/>
                              </a:lnTo>
                              <a:lnTo>
                                <a:pt x="2184882" y="386207"/>
                              </a:lnTo>
                              <a:lnTo>
                                <a:pt x="2601569" y="802767"/>
                              </a:lnTo>
                              <a:lnTo>
                                <a:pt x="2725140" y="6791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394.249969pt;width:214.6pt;height:224.5pt;mso-position-horizontal-relative:page;mso-position-vertical-relative:page;z-index:-25180672" id="docshape269" coordorigin="1496,7885" coordsize="4292,449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m5788,8955l5132,8299,5330,8100,5115,7885,4524,8477,4739,8692,4937,8493,5593,9149,5788,895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36320">
                <wp:simplePos x="0" y="0"/>
                <wp:positionH relativeFrom="page">
                  <wp:posOffset>3275965</wp:posOffset>
                </wp:positionH>
                <wp:positionV relativeFrom="page">
                  <wp:posOffset>2197353</wp:posOffset>
                </wp:positionV>
                <wp:extent cx="3179445" cy="3209290"/>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3179445" cy="3209290"/>
                        </a:xfrm>
                        <a:custGeom>
                          <a:avLst/>
                          <a:gdLst/>
                          <a:ahLst/>
                          <a:cxnLst/>
                          <a:rect l="l" t="t" r="r" b="b"/>
                          <a:pathLst>
                            <a:path w="3179445" h="3209290">
                              <a:moveTo>
                                <a:pt x="802767" y="3085338"/>
                              </a:moveTo>
                              <a:lnTo>
                                <a:pt x="386207" y="2668651"/>
                              </a:lnTo>
                              <a:lnTo>
                                <a:pt x="512191" y="2542667"/>
                              </a:lnTo>
                              <a:lnTo>
                                <a:pt x="375666" y="2406142"/>
                              </a:lnTo>
                              <a:lnTo>
                                <a:pt x="0" y="2781808"/>
                              </a:lnTo>
                              <a:lnTo>
                                <a:pt x="136652" y="2918333"/>
                              </a:lnTo>
                              <a:lnTo>
                                <a:pt x="262636" y="2792349"/>
                              </a:lnTo>
                              <a:lnTo>
                                <a:pt x="679196" y="3208909"/>
                              </a:lnTo>
                              <a:lnTo>
                                <a:pt x="802767" y="3085338"/>
                              </a:lnTo>
                              <a:close/>
                            </a:path>
                            <a:path w="3179445" h="3209290">
                              <a:moveTo>
                                <a:pt x="1268552" y="2530856"/>
                              </a:moveTo>
                              <a:lnTo>
                                <a:pt x="1264627" y="2490063"/>
                              </a:lnTo>
                              <a:lnTo>
                                <a:pt x="1254658" y="2448458"/>
                              </a:lnTo>
                              <a:lnTo>
                                <a:pt x="1238377" y="2406015"/>
                              </a:lnTo>
                              <a:lnTo>
                                <a:pt x="1220482" y="2371560"/>
                              </a:lnTo>
                              <a:lnTo>
                                <a:pt x="1198041" y="2336038"/>
                              </a:lnTo>
                              <a:lnTo>
                                <a:pt x="1170927" y="2299449"/>
                              </a:lnTo>
                              <a:lnTo>
                                <a:pt x="1139278" y="2262073"/>
                              </a:lnTo>
                              <a:lnTo>
                                <a:pt x="1127887" y="2250097"/>
                              </a:lnTo>
                              <a:lnTo>
                                <a:pt x="1102868" y="2223770"/>
                              </a:lnTo>
                              <a:lnTo>
                                <a:pt x="1087691" y="2209635"/>
                              </a:lnTo>
                              <a:lnTo>
                                <a:pt x="1087691" y="2523134"/>
                              </a:lnTo>
                              <a:lnTo>
                                <a:pt x="1084554" y="2548661"/>
                              </a:lnTo>
                              <a:lnTo>
                                <a:pt x="1058037" y="2593086"/>
                              </a:lnTo>
                              <a:lnTo>
                                <a:pt x="1014298" y="2618714"/>
                              </a:lnTo>
                              <a:lnTo>
                                <a:pt x="988644" y="2621483"/>
                              </a:lnTo>
                              <a:lnTo>
                                <a:pt x="960374" y="2617470"/>
                              </a:lnTo>
                              <a:lnTo>
                                <a:pt x="895057" y="2585936"/>
                              </a:lnTo>
                              <a:lnTo>
                                <a:pt x="857745" y="2557272"/>
                              </a:lnTo>
                              <a:lnTo>
                                <a:pt x="817372" y="2519807"/>
                              </a:lnTo>
                              <a:lnTo>
                                <a:pt x="779627" y="2479154"/>
                              </a:lnTo>
                              <a:lnTo>
                                <a:pt x="750722" y="2441600"/>
                              </a:lnTo>
                              <a:lnTo>
                                <a:pt x="730529" y="2407208"/>
                              </a:lnTo>
                              <a:lnTo>
                                <a:pt x="714908" y="2347785"/>
                              </a:lnTo>
                              <a:lnTo>
                                <a:pt x="717575" y="2322245"/>
                              </a:lnTo>
                              <a:lnTo>
                                <a:pt x="742315" y="2279396"/>
                              </a:lnTo>
                              <a:lnTo>
                                <a:pt x="786295" y="2253386"/>
                              </a:lnTo>
                              <a:lnTo>
                                <a:pt x="812012" y="2250097"/>
                              </a:lnTo>
                              <a:lnTo>
                                <a:pt x="840143" y="2253386"/>
                              </a:lnTo>
                              <a:lnTo>
                                <a:pt x="903643" y="2283256"/>
                              </a:lnTo>
                              <a:lnTo>
                                <a:pt x="939126" y="2310104"/>
                              </a:lnTo>
                              <a:lnTo>
                                <a:pt x="977011" y="2345055"/>
                              </a:lnTo>
                              <a:lnTo>
                                <a:pt x="1018451" y="2389289"/>
                              </a:lnTo>
                              <a:lnTo>
                                <a:pt x="1050048" y="2429167"/>
                              </a:lnTo>
                              <a:lnTo>
                                <a:pt x="1071854" y="2464612"/>
                              </a:lnTo>
                              <a:lnTo>
                                <a:pt x="1087691" y="2523134"/>
                              </a:lnTo>
                              <a:lnTo>
                                <a:pt x="1087691" y="2209635"/>
                              </a:lnTo>
                              <a:lnTo>
                                <a:pt x="1058481" y="2182406"/>
                              </a:lnTo>
                              <a:lnTo>
                                <a:pt x="1014361" y="2147405"/>
                              </a:lnTo>
                              <a:lnTo>
                                <a:pt x="970546" y="2118715"/>
                              </a:lnTo>
                              <a:lnTo>
                                <a:pt x="927023" y="2096274"/>
                              </a:lnTo>
                              <a:lnTo>
                                <a:pt x="883831" y="2080006"/>
                              </a:lnTo>
                              <a:lnTo>
                                <a:pt x="840994" y="2069846"/>
                              </a:lnTo>
                              <a:lnTo>
                                <a:pt x="790956" y="2066315"/>
                              </a:lnTo>
                              <a:lnTo>
                                <a:pt x="743140" y="2072665"/>
                              </a:lnTo>
                              <a:lnTo>
                                <a:pt x="697560" y="2088769"/>
                              </a:lnTo>
                              <a:lnTo>
                                <a:pt x="654215" y="2114512"/>
                              </a:lnTo>
                              <a:lnTo>
                                <a:pt x="613156" y="2149729"/>
                              </a:lnTo>
                              <a:lnTo>
                                <a:pt x="578866" y="2190026"/>
                              </a:lnTo>
                              <a:lnTo>
                                <a:pt x="553961" y="2232964"/>
                              </a:lnTo>
                              <a:lnTo>
                                <a:pt x="538556" y="2278507"/>
                              </a:lnTo>
                              <a:lnTo>
                                <a:pt x="532765" y="2326602"/>
                              </a:lnTo>
                              <a:lnTo>
                                <a:pt x="536702" y="2377186"/>
                              </a:lnTo>
                              <a:lnTo>
                                <a:pt x="547128" y="2420582"/>
                              </a:lnTo>
                              <a:lnTo>
                                <a:pt x="563740" y="2464346"/>
                              </a:lnTo>
                              <a:lnTo>
                                <a:pt x="586574" y="2508478"/>
                              </a:lnTo>
                              <a:lnTo>
                                <a:pt x="615696" y="2552928"/>
                              </a:lnTo>
                              <a:lnTo>
                                <a:pt x="651167" y="2597645"/>
                              </a:lnTo>
                              <a:lnTo>
                                <a:pt x="693039" y="2642616"/>
                              </a:lnTo>
                              <a:lnTo>
                                <a:pt x="731596" y="2678912"/>
                              </a:lnTo>
                              <a:lnTo>
                                <a:pt x="769835" y="2710408"/>
                              </a:lnTo>
                              <a:lnTo>
                                <a:pt x="807681" y="2737167"/>
                              </a:lnTo>
                              <a:lnTo>
                                <a:pt x="845096" y="2759214"/>
                              </a:lnTo>
                              <a:lnTo>
                                <a:pt x="882015" y="2776601"/>
                              </a:lnTo>
                              <a:lnTo>
                                <a:pt x="926833" y="2792006"/>
                              </a:lnTo>
                              <a:lnTo>
                                <a:pt x="969479" y="2800693"/>
                              </a:lnTo>
                              <a:lnTo>
                                <a:pt x="1009992" y="2802915"/>
                              </a:lnTo>
                              <a:lnTo>
                                <a:pt x="1048385" y="2798953"/>
                              </a:lnTo>
                              <a:lnTo>
                                <a:pt x="1085100" y="2788602"/>
                              </a:lnTo>
                              <a:lnTo>
                                <a:pt x="1120965" y="2771368"/>
                              </a:lnTo>
                              <a:lnTo>
                                <a:pt x="1155966" y="2747416"/>
                              </a:lnTo>
                              <a:lnTo>
                                <a:pt x="1190117" y="2716911"/>
                              </a:lnTo>
                              <a:lnTo>
                                <a:pt x="1219974" y="2682722"/>
                              </a:lnTo>
                              <a:lnTo>
                                <a:pt x="1242783" y="2646984"/>
                              </a:lnTo>
                              <a:lnTo>
                                <a:pt x="1253464" y="2621483"/>
                              </a:lnTo>
                              <a:lnTo>
                                <a:pt x="1258404" y="2609710"/>
                              </a:lnTo>
                              <a:lnTo>
                                <a:pt x="1266698" y="2570861"/>
                              </a:lnTo>
                              <a:lnTo>
                                <a:pt x="1268552" y="2530856"/>
                              </a:lnTo>
                              <a:close/>
                            </a:path>
                            <a:path w="3179445" h="3209290">
                              <a:moveTo>
                                <a:pt x="1911921" y="1898713"/>
                              </a:moveTo>
                              <a:lnTo>
                                <a:pt x="1900936" y="1835531"/>
                              </a:lnTo>
                              <a:lnTo>
                                <a:pt x="1873542" y="1767636"/>
                              </a:lnTo>
                              <a:lnTo>
                                <a:pt x="1853907" y="1732191"/>
                              </a:lnTo>
                              <a:lnTo>
                                <a:pt x="1830070" y="1695831"/>
                              </a:lnTo>
                              <a:lnTo>
                                <a:pt x="1791639" y="1711452"/>
                              </a:lnTo>
                              <a:lnTo>
                                <a:pt x="1676400" y="1758823"/>
                              </a:lnTo>
                              <a:lnTo>
                                <a:pt x="1696453" y="1788236"/>
                              </a:lnTo>
                              <a:lnTo>
                                <a:pt x="1711985" y="1815719"/>
                              </a:lnTo>
                              <a:lnTo>
                                <a:pt x="1723186" y="1841309"/>
                              </a:lnTo>
                              <a:lnTo>
                                <a:pt x="1730248" y="1864995"/>
                              </a:lnTo>
                              <a:lnTo>
                                <a:pt x="1732229" y="1887347"/>
                              </a:lnTo>
                              <a:lnTo>
                                <a:pt x="1728495" y="1908327"/>
                              </a:lnTo>
                              <a:lnTo>
                                <a:pt x="1704086" y="1946402"/>
                              </a:lnTo>
                              <a:lnTo>
                                <a:pt x="1663014" y="1970443"/>
                              </a:lnTo>
                              <a:lnTo>
                                <a:pt x="1639201" y="1973021"/>
                              </a:lnTo>
                              <a:lnTo>
                                <a:pt x="1613281" y="1969135"/>
                              </a:lnTo>
                              <a:lnTo>
                                <a:pt x="1549806" y="1935657"/>
                              </a:lnTo>
                              <a:lnTo>
                                <a:pt x="1510830" y="1904365"/>
                              </a:lnTo>
                              <a:lnTo>
                                <a:pt x="1467104" y="1863217"/>
                              </a:lnTo>
                              <a:lnTo>
                                <a:pt x="1433563" y="1827504"/>
                              </a:lnTo>
                              <a:lnTo>
                                <a:pt x="1407058" y="1794510"/>
                              </a:lnTo>
                              <a:lnTo>
                                <a:pt x="1375029" y="1737233"/>
                              </a:lnTo>
                              <a:lnTo>
                                <a:pt x="1366748" y="1704390"/>
                              </a:lnTo>
                              <a:lnTo>
                                <a:pt x="1366989" y="1674964"/>
                              </a:lnTo>
                              <a:lnTo>
                                <a:pt x="1392682" y="1626108"/>
                              </a:lnTo>
                              <a:lnTo>
                                <a:pt x="1436751" y="1603121"/>
                              </a:lnTo>
                              <a:lnTo>
                                <a:pt x="1449895" y="1601851"/>
                              </a:lnTo>
                              <a:lnTo>
                                <a:pt x="1463497" y="1602105"/>
                              </a:lnTo>
                              <a:lnTo>
                                <a:pt x="1502016" y="1611642"/>
                              </a:lnTo>
                              <a:lnTo>
                                <a:pt x="1541272" y="1632966"/>
                              </a:lnTo>
                              <a:lnTo>
                                <a:pt x="1616710" y="1490218"/>
                              </a:lnTo>
                              <a:lnTo>
                                <a:pt x="1563992" y="1461084"/>
                              </a:lnTo>
                              <a:lnTo>
                                <a:pt x="1514081" y="1440662"/>
                              </a:lnTo>
                              <a:lnTo>
                                <a:pt x="1467040" y="1428572"/>
                              </a:lnTo>
                              <a:lnTo>
                                <a:pt x="1422908" y="1424432"/>
                              </a:lnTo>
                              <a:lnTo>
                                <a:pt x="1380642" y="1429385"/>
                              </a:lnTo>
                              <a:lnTo>
                                <a:pt x="1339748" y="1443939"/>
                              </a:lnTo>
                              <a:lnTo>
                                <a:pt x="1300137" y="1467904"/>
                              </a:lnTo>
                              <a:lnTo>
                                <a:pt x="1261745" y="1501140"/>
                              </a:lnTo>
                              <a:lnTo>
                                <a:pt x="1227734" y="1540979"/>
                              </a:lnTo>
                              <a:lnTo>
                                <a:pt x="1203071" y="1583207"/>
                              </a:lnTo>
                              <a:lnTo>
                                <a:pt x="1187831" y="1627797"/>
                              </a:lnTo>
                              <a:lnTo>
                                <a:pt x="1182128" y="1674749"/>
                              </a:lnTo>
                              <a:lnTo>
                                <a:pt x="1186053" y="1724025"/>
                              </a:lnTo>
                              <a:lnTo>
                                <a:pt x="1196657" y="1766570"/>
                              </a:lnTo>
                              <a:lnTo>
                                <a:pt x="1213446" y="1809699"/>
                              </a:lnTo>
                              <a:lnTo>
                                <a:pt x="1236497" y="1853438"/>
                              </a:lnTo>
                              <a:lnTo>
                                <a:pt x="1265923" y="1897773"/>
                              </a:lnTo>
                              <a:lnTo>
                                <a:pt x="1301826" y="1942693"/>
                              </a:lnTo>
                              <a:lnTo>
                                <a:pt x="1344295" y="1988185"/>
                              </a:lnTo>
                              <a:lnTo>
                                <a:pt x="1385252" y="2026716"/>
                              </a:lnTo>
                              <a:lnTo>
                                <a:pt x="1425663" y="2059787"/>
                              </a:lnTo>
                              <a:lnTo>
                                <a:pt x="1465516" y="2087511"/>
                              </a:lnTo>
                              <a:lnTo>
                                <a:pt x="1504784" y="2110003"/>
                              </a:lnTo>
                              <a:lnTo>
                                <a:pt x="1543431" y="2127377"/>
                              </a:lnTo>
                              <a:lnTo>
                                <a:pt x="1589608" y="2142363"/>
                              </a:lnTo>
                              <a:lnTo>
                                <a:pt x="1632305" y="2150580"/>
                              </a:lnTo>
                              <a:lnTo>
                                <a:pt x="1671459" y="2152332"/>
                              </a:lnTo>
                              <a:lnTo>
                                <a:pt x="1707007" y="2147951"/>
                              </a:lnTo>
                              <a:lnTo>
                                <a:pt x="1773847" y="2120328"/>
                              </a:lnTo>
                              <a:lnTo>
                                <a:pt x="1806816" y="2097024"/>
                              </a:lnTo>
                              <a:lnTo>
                                <a:pt x="1839468" y="2067560"/>
                              </a:lnTo>
                              <a:lnTo>
                                <a:pt x="1883181" y="2013115"/>
                              </a:lnTo>
                              <a:lnTo>
                                <a:pt x="1906524" y="1957324"/>
                              </a:lnTo>
                              <a:lnTo>
                                <a:pt x="1911146" y="1928583"/>
                              </a:lnTo>
                              <a:lnTo>
                                <a:pt x="1911921" y="1898713"/>
                              </a:lnTo>
                              <a:close/>
                            </a:path>
                            <a:path w="3179445" h="3209290">
                              <a:moveTo>
                                <a:pt x="2354910" y="1444447"/>
                              </a:moveTo>
                              <a:lnTo>
                                <a:pt x="2350986" y="1403692"/>
                              </a:lnTo>
                              <a:lnTo>
                                <a:pt x="2341016" y="1362100"/>
                              </a:lnTo>
                              <a:lnTo>
                                <a:pt x="2324735" y="1319657"/>
                              </a:lnTo>
                              <a:lnTo>
                                <a:pt x="2306891" y="1285138"/>
                              </a:lnTo>
                              <a:lnTo>
                                <a:pt x="2284463" y="1249578"/>
                              </a:lnTo>
                              <a:lnTo>
                                <a:pt x="2257412" y="1213040"/>
                              </a:lnTo>
                              <a:lnTo>
                                <a:pt x="2225713" y="1175588"/>
                              </a:lnTo>
                              <a:lnTo>
                                <a:pt x="2189353" y="1137285"/>
                              </a:lnTo>
                              <a:lnTo>
                                <a:pt x="2174049" y="1123035"/>
                              </a:lnTo>
                              <a:lnTo>
                                <a:pt x="2174049" y="1436776"/>
                              </a:lnTo>
                              <a:lnTo>
                                <a:pt x="2170938" y="1462278"/>
                              </a:lnTo>
                              <a:lnTo>
                                <a:pt x="2144522" y="1506601"/>
                              </a:lnTo>
                              <a:lnTo>
                                <a:pt x="2100719" y="1532293"/>
                              </a:lnTo>
                              <a:lnTo>
                                <a:pt x="2075027" y="1535112"/>
                              </a:lnTo>
                              <a:lnTo>
                                <a:pt x="2046732" y="1531112"/>
                              </a:lnTo>
                              <a:lnTo>
                                <a:pt x="1981415" y="1499577"/>
                              </a:lnTo>
                              <a:lnTo>
                                <a:pt x="1944103" y="1470914"/>
                              </a:lnTo>
                              <a:lnTo>
                                <a:pt x="1903730" y="1433449"/>
                              </a:lnTo>
                              <a:lnTo>
                                <a:pt x="1865985" y="1392796"/>
                              </a:lnTo>
                              <a:lnTo>
                                <a:pt x="1837080" y="1355242"/>
                              </a:lnTo>
                              <a:lnTo>
                                <a:pt x="1816887" y="1320850"/>
                              </a:lnTo>
                              <a:lnTo>
                                <a:pt x="1801291" y="1261414"/>
                              </a:lnTo>
                              <a:lnTo>
                                <a:pt x="1803984" y="1235837"/>
                              </a:lnTo>
                              <a:lnTo>
                                <a:pt x="1828673" y="1193038"/>
                              </a:lnTo>
                              <a:lnTo>
                                <a:pt x="1872678" y="1166964"/>
                              </a:lnTo>
                              <a:lnTo>
                                <a:pt x="1898421" y="1163624"/>
                              </a:lnTo>
                              <a:lnTo>
                                <a:pt x="1926590" y="1166876"/>
                              </a:lnTo>
                              <a:lnTo>
                                <a:pt x="1990128" y="1196771"/>
                              </a:lnTo>
                              <a:lnTo>
                                <a:pt x="2025611" y="1223619"/>
                              </a:lnTo>
                              <a:lnTo>
                                <a:pt x="2063496" y="1258570"/>
                              </a:lnTo>
                              <a:lnTo>
                                <a:pt x="2104910" y="1302829"/>
                              </a:lnTo>
                              <a:lnTo>
                                <a:pt x="2136470" y="1342745"/>
                              </a:lnTo>
                              <a:lnTo>
                                <a:pt x="2158238" y="1378229"/>
                              </a:lnTo>
                              <a:lnTo>
                                <a:pt x="2174049" y="1436776"/>
                              </a:lnTo>
                              <a:lnTo>
                                <a:pt x="2174049" y="1123035"/>
                              </a:lnTo>
                              <a:lnTo>
                                <a:pt x="2144966" y="1095921"/>
                              </a:lnTo>
                              <a:lnTo>
                                <a:pt x="2100846" y="1060919"/>
                              </a:lnTo>
                              <a:lnTo>
                                <a:pt x="2057031" y="1032230"/>
                              </a:lnTo>
                              <a:lnTo>
                                <a:pt x="2013508" y="1009789"/>
                              </a:lnTo>
                              <a:lnTo>
                                <a:pt x="1970316" y="993521"/>
                              </a:lnTo>
                              <a:lnTo>
                                <a:pt x="1927479" y="983361"/>
                              </a:lnTo>
                              <a:lnTo>
                                <a:pt x="1877390" y="979881"/>
                              </a:lnTo>
                              <a:lnTo>
                                <a:pt x="1829562" y="986269"/>
                              </a:lnTo>
                              <a:lnTo>
                                <a:pt x="1783981" y="1002411"/>
                              </a:lnTo>
                              <a:lnTo>
                                <a:pt x="1740623" y="1028153"/>
                              </a:lnTo>
                              <a:lnTo>
                                <a:pt x="1699514" y="1063371"/>
                              </a:lnTo>
                              <a:lnTo>
                                <a:pt x="1665224" y="1103668"/>
                              </a:lnTo>
                              <a:lnTo>
                                <a:pt x="1640319" y="1146606"/>
                              </a:lnTo>
                              <a:lnTo>
                                <a:pt x="1624914" y="1192149"/>
                              </a:lnTo>
                              <a:lnTo>
                                <a:pt x="1619123" y="1240243"/>
                              </a:lnTo>
                              <a:lnTo>
                                <a:pt x="1623060" y="1290828"/>
                              </a:lnTo>
                              <a:lnTo>
                                <a:pt x="1633486" y="1334223"/>
                              </a:lnTo>
                              <a:lnTo>
                                <a:pt x="1650098" y="1377988"/>
                              </a:lnTo>
                              <a:lnTo>
                                <a:pt x="1672932" y="1422120"/>
                              </a:lnTo>
                              <a:lnTo>
                                <a:pt x="1702054" y="1466570"/>
                              </a:lnTo>
                              <a:lnTo>
                                <a:pt x="1737525" y="1511287"/>
                              </a:lnTo>
                              <a:lnTo>
                                <a:pt x="1779397" y="1556258"/>
                              </a:lnTo>
                              <a:lnTo>
                                <a:pt x="1817954" y="1592554"/>
                              </a:lnTo>
                              <a:lnTo>
                                <a:pt x="1856193" y="1624050"/>
                              </a:lnTo>
                              <a:lnTo>
                                <a:pt x="1894065" y="1650809"/>
                              </a:lnTo>
                              <a:lnTo>
                                <a:pt x="1931517" y="1672856"/>
                              </a:lnTo>
                              <a:lnTo>
                                <a:pt x="1968500" y="1690243"/>
                              </a:lnTo>
                              <a:lnTo>
                                <a:pt x="2013254" y="1705635"/>
                              </a:lnTo>
                              <a:lnTo>
                                <a:pt x="2055914" y="1714271"/>
                              </a:lnTo>
                              <a:lnTo>
                                <a:pt x="2096452" y="1716443"/>
                              </a:lnTo>
                              <a:lnTo>
                                <a:pt x="2134870" y="1712468"/>
                              </a:lnTo>
                              <a:lnTo>
                                <a:pt x="2207349" y="1684972"/>
                              </a:lnTo>
                              <a:lnTo>
                                <a:pt x="2242375" y="1661007"/>
                              </a:lnTo>
                              <a:lnTo>
                                <a:pt x="2276602" y="1630426"/>
                              </a:lnTo>
                              <a:lnTo>
                                <a:pt x="2306383" y="1596301"/>
                              </a:lnTo>
                              <a:lnTo>
                                <a:pt x="2329154" y="1560601"/>
                              </a:lnTo>
                              <a:lnTo>
                                <a:pt x="2344763" y="1523288"/>
                              </a:lnTo>
                              <a:lnTo>
                                <a:pt x="2353056" y="1484376"/>
                              </a:lnTo>
                              <a:lnTo>
                                <a:pt x="2354910" y="1444447"/>
                              </a:lnTo>
                              <a:close/>
                            </a:path>
                            <a:path w="3179445" h="3209290">
                              <a:moveTo>
                                <a:pt x="2660269" y="1227975"/>
                              </a:moveTo>
                              <a:lnTo>
                                <a:pt x="2454910" y="1022604"/>
                              </a:lnTo>
                              <a:lnTo>
                                <a:pt x="2522601" y="954913"/>
                              </a:lnTo>
                              <a:lnTo>
                                <a:pt x="2554744" y="916901"/>
                              </a:lnTo>
                              <a:lnTo>
                                <a:pt x="2558211" y="910590"/>
                              </a:lnTo>
                              <a:lnTo>
                                <a:pt x="2576233" y="877760"/>
                              </a:lnTo>
                              <a:lnTo>
                                <a:pt x="2586939" y="837577"/>
                              </a:lnTo>
                              <a:lnTo>
                                <a:pt x="2586736" y="796417"/>
                              </a:lnTo>
                              <a:lnTo>
                                <a:pt x="2576639" y="754748"/>
                              </a:lnTo>
                              <a:lnTo>
                                <a:pt x="2557564" y="713003"/>
                              </a:lnTo>
                              <a:lnTo>
                                <a:pt x="2529421" y="671169"/>
                              </a:lnTo>
                              <a:lnTo>
                                <a:pt x="2492121" y="629285"/>
                              </a:lnTo>
                              <a:lnTo>
                                <a:pt x="2451595" y="593026"/>
                              </a:lnTo>
                              <a:lnTo>
                                <a:pt x="2411565" y="565632"/>
                              </a:lnTo>
                              <a:lnTo>
                                <a:pt x="2406015" y="563016"/>
                              </a:lnTo>
                              <a:lnTo>
                                <a:pt x="2406015" y="812673"/>
                              </a:lnTo>
                              <a:lnTo>
                                <a:pt x="2405253" y="828903"/>
                              </a:lnTo>
                              <a:lnTo>
                                <a:pt x="2399436" y="845553"/>
                              </a:lnTo>
                              <a:lnTo>
                                <a:pt x="2388717" y="862672"/>
                              </a:lnTo>
                              <a:lnTo>
                                <a:pt x="2373249" y="880237"/>
                              </a:lnTo>
                              <a:lnTo>
                                <a:pt x="2342896" y="910590"/>
                              </a:lnTo>
                              <a:lnTo>
                                <a:pt x="2219452" y="787146"/>
                              </a:lnTo>
                              <a:lnTo>
                                <a:pt x="2254631" y="751967"/>
                              </a:lnTo>
                              <a:lnTo>
                                <a:pt x="2271750" y="737082"/>
                              </a:lnTo>
                              <a:lnTo>
                                <a:pt x="2288311" y="727290"/>
                              </a:lnTo>
                              <a:lnTo>
                                <a:pt x="2304351" y="722553"/>
                              </a:lnTo>
                              <a:lnTo>
                                <a:pt x="2319909" y="722884"/>
                              </a:lnTo>
                              <a:lnTo>
                                <a:pt x="2363355" y="742772"/>
                              </a:lnTo>
                              <a:lnTo>
                                <a:pt x="2397290" y="782459"/>
                              </a:lnTo>
                              <a:lnTo>
                                <a:pt x="2406015" y="812673"/>
                              </a:lnTo>
                              <a:lnTo>
                                <a:pt x="2406015" y="563016"/>
                              </a:lnTo>
                              <a:lnTo>
                                <a:pt x="2372068" y="546963"/>
                              </a:lnTo>
                              <a:lnTo>
                                <a:pt x="2333117" y="536829"/>
                              </a:lnTo>
                              <a:lnTo>
                                <a:pt x="2294991" y="536219"/>
                              </a:lnTo>
                              <a:lnTo>
                                <a:pt x="2258161" y="545515"/>
                              </a:lnTo>
                              <a:lnTo>
                                <a:pt x="2222652" y="564603"/>
                              </a:lnTo>
                              <a:lnTo>
                                <a:pt x="2188464" y="593344"/>
                              </a:lnTo>
                              <a:lnTo>
                                <a:pt x="1982851" y="798830"/>
                              </a:lnTo>
                              <a:lnTo>
                                <a:pt x="2536063" y="1352042"/>
                              </a:lnTo>
                              <a:lnTo>
                                <a:pt x="2660269" y="1227975"/>
                              </a:lnTo>
                              <a:close/>
                            </a:path>
                            <a:path w="3179445" h="3209290">
                              <a:moveTo>
                                <a:pt x="3179445" y="708660"/>
                              </a:moveTo>
                              <a:lnTo>
                                <a:pt x="2947670" y="477012"/>
                              </a:lnTo>
                              <a:lnTo>
                                <a:pt x="2914142" y="381711"/>
                              </a:lnTo>
                              <a:lnTo>
                                <a:pt x="2815323" y="95250"/>
                              </a:lnTo>
                              <a:lnTo>
                                <a:pt x="2781808" y="0"/>
                              </a:lnTo>
                              <a:lnTo>
                                <a:pt x="2645156" y="136652"/>
                              </a:lnTo>
                              <a:lnTo>
                                <a:pt x="2662974" y="181178"/>
                              </a:lnTo>
                              <a:lnTo>
                                <a:pt x="2715653" y="315112"/>
                              </a:lnTo>
                              <a:lnTo>
                                <a:pt x="2751201" y="404241"/>
                              </a:lnTo>
                              <a:lnTo>
                                <a:pt x="2706687" y="386359"/>
                              </a:lnTo>
                              <a:lnTo>
                                <a:pt x="2572867" y="333527"/>
                              </a:lnTo>
                              <a:lnTo>
                                <a:pt x="2483866" y="297942"/>
                              </a:lnTo>
                              <a:lnTo>
                                <a:pt x="2346579" y="435229"/>
                              </a:lnTo>
                              <a:lnTo>
                                <a:pt x="2441892" y="468693"/>
                              </a:lnTo>
                              <a:lnTo>
                                <a:pt x="2728518" y="567385"/>
                              </a:lnTo>
                              <a:lnTo>
                                <a:pt x="2823845" y="600837"/>
                              </a:lnTo>
                              <a:lnTo>
                                <a:pt x="3055620" y="832485"/>
                              </a:lnTo>
                              <a:lnTo>
                                <a:pt x="3179445"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57.950012pt;margin-top:173.019974pt;width:250.35pt;height:252.7pt;mso-position-horizontal-relative:page;mso-position-vertical-relative:page;z-index:-25180160" id="docshape270" coordorigin="5159,3460" coordsize="5007,5054" path="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4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7"/>
        <w:gridCol w:w="1492"/>
        <w:gridCol w:w="911"/>
        <w:gridCol w:w="915"/>
      </w:tblGrid>
      <w:tr>
        <w:trPr>
          <w:trHeight w:val="213" w:hRule="atLeast"/>
        </w:trPr>
        <w:tc>
          <w:tcPr>
            <w:tcW w:w="6535" w:type="dxa"/>
            <w:gridSpan w:val="5"/>
          </w:tcPr>
          <w:p>
            <w:pPr>
              <w:pStyle w:val="TableParagraph"/>
              <w:spacing w:line="193" w:lineRule="exact" w:before="0"/>
              <w:rPr>
                <w:sz w:val="18"/>
              </w:rPr>
            </w:pPr>
            <w:r>
              <w:rPr>
                <w:sz w:val="18"/>
              </w:rPr>
              <w:t>Null</w:t>
            </w:r>
            <w:r>
              <w:rPr>
                <w:spacing w:val="-4"/>
                <w:sz w:val="18"/>
              </w:rPr>
              <w:t> </w:t>
            </w:r>
            <w:r>
              <w:rPr>
                <w:sz w:val="18"/>
              </w:rPr>
              <w:t>Hypothesis:</w:t>
            </w:r>
            <w:r>
              <w:rPr>
                <w:spacing w:val="-4"/>
                <w:sz w:val="18"/>
              </w:rPr>
              <w:t> </w:t>
            </w:r>
            <w:r>
              <w:rPr>
                <w:sz w:val="18"/>
              </w:rPr>
              <w:t>D(EXCH)</w:t>
            </w:r>
            <w:r>
              <w:rPr>
                <w:spacing w:val="-4"/>
                <w:sz w:val="18"/>
              </w:rPr>
              <w:t> </w:t>
            </w:r>
            <w:r>
              <w:rPr>
                <w:sz w:val="18"/>
              </w:rPr>
              <w:t>has</w:t>
            </w:r>
            <w:r>
              <w:rPr>
                <w:spacing w:val="-6"/>
                <w:sz w:val="18"/>
              </w:rPr>
              <w:t> </w:t>
            </w:r>
            <w:r>
              <w:rPr>
                <w:sz w:val="18"/>
              </w:rPr>
              <w:t>a</w:t>
            </w:r>
            <w:r>
              <w:rPr>
                <w:spacing w:val="-4"/>
                <w:sz w:val="18"/>
              </w:rPr>
              <w:t> </w:t>
            </w:r>
            <w:r>
              <w:rPr>
                <w:sz w:val="18"/>
              </w:rPr>
              <w:t>unit</w:t>
            </w:r>
            <w:r>
              <w:rPr>
                <w:spacing w:val="-4"/>
                <w:sz w:val="18"/>
              </w:rPr>
              <w:t> 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11" w:type="dxa"/>
          </w:tcPr>
          <w:p>
            <w:pPr>
              <w:pStyle w:val="TableParagraph"/>
              <w:spacing w:line="240" w:lineRule="auto" w:before="0"/>
              <w:rPr>
                <w:rFonts w:ascii="Times New Roman"/>
                <w:sz w:val="16"/>
              </w:rPr>
            </w:pPr>
          </w:p>
        </w:tc>
        <w:tc>
          <w:tcPr>
            <w:tcW w:w="915" w:type="dxa"/>
          </w:tcPr>
          <w:p>
            <w:pPr>
              <w:pStyle w:val="TableParagraph"/>
              <w:spacing w:line="240" w:lineRule="auto" w:before="0"/>
              <w:rPr>
                <w:rFonts w:ascii="Times New Roman"/>
                <w:sz w:val="16"/>
              </w:rPr>
            </w:pP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Lag</w:t>
            </w:r>
            <w:r>
              <w:rPr>
                <w:spacing w:val="-4"/>
                <w:sz w:val="18"/>
              </w:rPr>
              <w:t> </w:t>
            </w:r>
            <w:r>
              <w:rPr>
                <w:sz w:val="18"/>
              </w:rPr>
              <w:t>Length:</w:t>
            </w:r>
            <w:r>
              <w:rPr>
                <w:spacing w:val="-2"/>
                <w:sz w:val="18"/>
              </w:rPr>
              <w:t> </w:t>
            </w:r>
            <w:r>
              <w:rPr>
                <w:sz w:val="18"/>
              </w:rPr>
              <w:t>0</w:t>
            </w:r>
            <w:r>
              <w:rPr>
                <w:spacing w:val="-2"/>
                <w:sz w:val="18"/>
              </w:rPr>
              <w:t> </w:t>
            </w:r>
            <w:r>
              <w:rPr>
                <w:sz w:val="18"/>
              </w:rPr>
              <w:t>(Automatic</w:t>
            </w:r>
            <w:r>
              <w:rPr>
                <w:spacing w:val="1"/>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7"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03" w:type="dxa"/>
            <w:gridSpan w:val="2"/>
            <w:tcBorders>
              <w:top w:val="double" w:sz="6" w:space="0" w:color="000000"/>
              <w:bottom w:val="double" w:sz="6" w:space="0" w:color="000000"/>
            </w:tcBorders>
          </w:tcPr>
          <w:p>
            <w:pPr>
              <w:pStyle w:val="TableParagraph"/>
              <w:spacing w:line="240" w:lineRule="auto" w:before="108"/>
              <w:ind w:left="1341"/>
              <w:rPr>
                <w:sz w:val="18"/>
              </w:rPr>
            </w:pPr>
            <w:r>
              <w:rPr>
                <w:sz w:val="18"/>
              </w:rPr>
              <w:t>t-</w:t>
            </w:r>
            <w:r>
              <w:rPr>
                <w:spacing w:val="-2"/>
                <w:sz w:val="18"/>
              </w:rPr>
              <w:t>Statistic</w:t>
            </w:r>
          </w:p>
        </w:tc>
        <w:tc>
          <w:tcPr>
            <w:tcW w:w="915" w:type="dxa"/>
            <w:tcBorders>
              <w:top w:val="double" w:sz="6" w:space="0" w:color="000000"/>
              <w:bottom w:val="double" w:sz="6" w:space="0" w:color="000000"/>
            </w:tcBorders>
          </w:tcPr>
          <w:p>
            <w:pPr>
              <w:pStyle w:val="TableParagraph"/>
              <w:spacing w:line="240" w:lineRule="auto" w:before="108"/>
              <w:ind w:left="212"/>
              <w:rPr>
                <w:sz w:val="18"/>
              </w:rPr>
            </w:pPr>
            <w:r>
              <w:rPr>
                <w:spacing w:val="-2"/>
                <w:sz w:val="18"/>
              </w:rPr>
              <w:t>Prob.*</w:t>
            </w:r>
          </w:p>
        </w:tc>
      </w:tr>
      <w:tr>
        <w:trPr>
          <w:trHeight w:val="315" w:hRule="atLeast"/>
        </w:trPr>
        <w:tc>
          <w:tcPr>
            <w:tcW w:w="3217"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03" w:type="dxa"/>
            <w:gridSpan w:val="2"/>
            <w:tcBorders>
              <w:top w:val="double" w:sz="6" w:space="0" w:color="000000"/>
              <w:bottom w:val="single" w:sz="6" w:space="0" w:color="000000"/>
            </w:tcBorders>
          </w:tcPr>
          <w:p>
            <w:pPr>
              <w:pStyle w:val="TableParagraph"/>
              <w:spacing w:line="187" w:lineRule="exact" w:before="108"/>
              <w:ind w:left="1305"/>
              <w:rPr>
                <w:sz w:val="18"/>
              </w:rPr>
            </w:pPr>
            <w:r>
              <w:rPr>
                <w:spacing w:val="-2"/>
                <w:sz w:val="18"/>
              </w:rPr>
              <w:t>-5.654742</w:t>
            </w:r>
          </w:p>
        </w:tc>
        <w:tc>
          <w:tcPr>
            <w:tcW w:w="915" w:type="dxa"/>
            <w:tcBorders>
              <w:top w:val="double" w:sz="6" w:space="0" w:color="000000"/>
              <w:bottom w:val="single" w:sz="6" w:space="0" w:color="000000"/>
            </w:tcBorders>
          </w:tcPr>
          <w:p>
            <w:pPr>
              <w:pStyle w:val="TableParagraph"/>
              <w:spacing w:line="187" w:lineRule="exact" w:before="108"/>
              <w:ind w:left="162"/>
              <w:rPr>
                <w:sz w:val="18"/>
              </w:rPr>
            </w:pPr>
            <w:r>
              <w:rPr>
                <w:spacing w:val="-2"/>
                <w:sz w:val="18"/>
              </w:rPr>
              <w:t>0.0000</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7"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03" w:type="dxa"/>
            <w:gridSpan w:val="2"/>
            <w:tcBorders>
              <w:top w:val="single" w:sz="6" w:space="0" w:color="000000"/>
            </w:tcBorders>
          </w:tcPr>
          <w:p>
            <w:pPr>
              <w:pStyle w:val="TableParagraph"/>
              <w:spacing w:before="18"/>
              <w:ind w:left="1305"/>
              <w:rPr>
                <w:sz w:val="18"/>
              </w:rPr>
            </w:pPr>
            <w:r>
              <w:rPr>
                <w:spacing w:val="-2"/>
                <w:sz w:val="18"/>
              </w:rPr>
              <w:t>-3.646342</w:t>
            </w:r>
          </w:p>
        </w:tc>
        <w:tc>
          <w:tcPr>
            <w:tcW w:w="915"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7" w:type="dxa"/>
          </w:tcPr>
          <w:p>
            <w:pPr>
              <w:pStyle w:val="TableParagraph"/>
              <w:ind w:left="317"/>
              <w:rPr>
                <w:sz w:val="18"/>
              </w:rPr>
            </w:pPr>
            <w:r>
              <w:rPr>
                <w:sz w:val="18"/>
              </w:rPr>
              <w:t>5%</w:t>
            </w:r>
            <w:r>
              <w:rPr>
                <w:spacing w:val="-3"/>
                <w:sz w:val="18"/>
              </w:rPr>
              <w:t> </w:t>
            </w:r>
            <w:r>
              <w:rPr>
                <w:spacing w:val="-2"/>
                <w:sz w:val="18"/>
              </w:rPr>
              <w:t>level</w:t>
            </w:r>
          </w:p>
        </w:tc>
        <w:tc>
          <w:tcPr>
            <w:tcW w:w="2403" w:type="dxa"/>
            <w:gridSpan w:val="2"/>
          </w:tcPr>
          <w:p>
            <w:pPr>
              <w:pStyle w:val="TableParagraph"/>
              <w:ind w:left="1305"/>
              <w:rPr>
                <w:sz w:val="18"/>
              </w:rPr>
            </w:pPr>
            <w:r>
              <w:rPr>
                <w:spacing w:val="-2"/>
                <w:sz w:val="18"/>
              </w:rPr>
              <w:t>-2.954021</w:t>
            </w:r>
          </w:p>
        </w:tc>
        <w:tc>
          <w:tcPr>
            <w:tcW w:w="915"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7" w:type="dxa"/>
            <w:tcBorders>
              <w:bottom w:val="double" w:sz="6" w:space="0" w:color="000000"/>
            </w:tcBorders>
          </w:tcPr>
          <w:p>
            <w:pPr>
              <w:pStyle w:val="TableParagraph"/>
              <w:spacing w:line="240" w:lineRule="auto"/>
              <w:ind w:left="266"/>
              <w:rPr>
                <w:sz w:val="18"/>
              </w:rPr>
            </w:pPr>
            <w:r>
              <w:rPr>
                <w:sz w:val="18"/>
              </w:rPr>
              <w:t>10%</w:t>
            </w:r>
            <w:r>
              <w:rPr>
                <w:spacing w:val="-4"/>
                <w:sz w:val="18"/>
              </w:rPr>
              <w:t> </w:t>
            </w:r>
            <w:r>
              <w:rPr>
                <w:spacing w:val="-2"/>
                <w:sz w:val="18"/>
              </w:rPr>
              <w:t>level</w:t>
            </w:r>
          </w:p>
        </w:tc>
        <w:tc>
          <w:tcPr>
            <w:tcW w:w="2403" w:type="dxa"/>
            <w:gridSpan w:val="2"/>
            <w:tcBorders>
              <w:bottom w:val="double" w:sz="6" w:space="0" w:color="000000"/>
            </w:tcBorders>
          </w:tcPr>
          <w:p>
            <w:pPr>
              <w:pStyle w:val="TableParagraph"/>
              <w:spacing w:line="240" w:lineRule="auto"/>
              <w:ind w:left="1305"/>
              <w:rPr>
                <w:sz w:val="18"/>
              </w:rPr>
            </w:pPr>
            <w:r>
              <w:rPr>
                <w:spacing w:val="-2"/>
                <w:sz w:val="18"/>
              </w:rPr>
              <w:t>-2.615817</w:t>
            </w:r>
          </w:p>
        </w:tc>
        <w:tc>
          <w:tcPr>
            <w:tcW w:w="915"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5"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5"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5"/>
                <w:sz w:val="18"/>
              </w:rPr>
              <w:t> </w:t>
            </w:r>
            <w:r>
              <w:rPr>
                <w:spacing w:val="-2"/>
                <w:sz w:val="18"/>
              </w:rPr>
              <w:t>Equation</w:t>
            </w:r>
          </w:p>
        </w:tc>
      </w:tr>
      <w:tr>
        <w:trPr>
          <w:trHeight w:val="224" w:hRule="atLeast"/>
        </w:trPr>
        <w:tc>
          <w:tcPr>
            <w:tcW w:w="6535"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D(EXCH,2)</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7"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11" w:type="dxa"/>
          </w:tcPr>
          <w:p>
            <w:pPr>
              <w:pStyle w:val="TableParagraph"/>
              <w:spacing w:line="240" w:lineRule="auto" w:before="0"/>
              <w:rPr>
                <w:rFonts w:ascii="Times New Roman"/>
                <w:sz w:val="16"/>
              </w:rPr>
            </w:pPr>
          </w:p>
        </w:tc>
        <w:tc>
          <w:tcPr>
            <w:tcW w:w="915" w:type="dxa"/>
          </w:tcPr>
          <w:p>
            <w:pPr>
              <w:pStyle w:val="TableParagraph"/>
              <w:spacing w:line="240" w:lineRule="auto" w:before="0"/>
              <w:rPr>
                <w:rFonts w:ascii="Times New Roman"/>
                <w:sz w:val="16"/>
              </w:rPr>
            </w:pPr>
          </w:p>
        </w:tc>
      </w:tr>
      <w:tr>
        <w:trPr>
          <w:trHeight w:val="225" w:hRule="atLeast"/>
        </w:trPr>
        <w:tc>
          <w:tcPr>
            <w:tcW w:w="6535" w:type="dxa"/>
            <w:gridSpan w:val="5"/>
          </w:tcPr>
          <w:p>
            <w:pPr>
              <w:pStyle w:val="TableParagraph"/>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06:17</w:t>
            </w:r>
          </w:p>
        </w:tc>
      </w:tr>
      <w:tr>
        <w:trPr>
          <w:trHeight w:val="224" w:hRule="atLeast"/>
        </w:trPr>
        <w:tc>
          <w:tcPr>
            <w:tcW w:w="6535"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1988</w:t>
            </w:r>
            <w:r>
              <w:rPr>
                <w:spacing w:val="-4"/>
                <w:sz w:val="18"/>
              </w:rPr>
              <w:t> 2020</w:t>
            </w:r>
          </w:p>
        </w:tc>
      </w:tr>
      <w:tr>
        <w:trPr>
          <w:trHeight w:val="302" w:hRule="atLeast"/>
        </w:trPr>
        <w:tc>
          <w:tcPr>
            <w:tcW w:w="6535"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33</w:t>
            </w:r>
            <w:r>
              <w:rPr>
                <w:spacing w:val="-5"/>
                <w:sz w:val="18"/>
              </w:rPr>
              <w:t> </w:t>
            </w:r>
            <w:r>
              <w:rPr>
                <w:sz w:val="18"/>
              </w:rPr>
              <w:t>after</w:t>
            </w:r>
            <w:r>
              <w:rPr>
                <w:spacing w:val="-2"/>
                <w:sz w:val="18"/>
              </w:rPr>
              <w:t> 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7" w:type="dxa"/>
            <w:tcBorders>
              <w:top w:val="double" w:sz="6" w:space="0" w:color="000000"/>
              <w:bottom w:val="double" w:sz="6" w:space="0" w:color="000000"/>
            </w:tcBorders>
          </w:tcPr>
          <w:p>
            <w:pPr>
              <w:pStyle w:val="TableParagraph"/>
              <w:spacing w:line="240" w:lineRule="auto" w:before="108"/>
              <w:ind w:right="105"/>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8"/>
              <w:ind w:left="330"/>
              <w:rPr>
                <w:sz w:val="18"/>
              </w:rPr>
            </w:pPr>
            <w:r>
              <w:rPr>
                <w:sz w:val="18"/>
              </w:rPr>
              <w:t>Std.</w:t>
            </w:r>
            <w:r>
              <w:rPr>
                <w:spacing w:val="-2"/>
                <w:sz w:val="18"/>
              </w:rPr>
              <w:t> Error</w:t>
            </w:r>
          </w:p>
        </w:tc>
        <w:tc>
          <w:tcPr>
            <w:tcW w:w="911" w:type="dxa"/>
            <w:tcBorders>
              <w:top w:val="double" w:sz="6" w:space="0" w:color="000000"/>
              <w:bottom w:val="double" w:sz="6" w:space="0" w:color="000000"/>
            </w:tcBorders>
          </w:tcPr>
          <w:p>
            <w:pPr>
              <w:pStyle w:val="TableParagraph"/>
              <w:spacing w:line="240" w:lineRule="auto" w:before="108"/>
              <w:ind w:right="94"/>
              <w:jc w:val="right"/>
              <w:rPr>
                <w:sz w:val="18"/>
              </w:rPr>
            </w:pPr>
            <w:r>
              <w:rPr>
                <w:sz w:val="18"/>
              </w:rPr>
              <w:t>t-</w:t>
            </w:r>
            <w:r>
              <w:rPr>
                <w:spacing w:val="-2"/>
                <w:sz w:val="18"/>
              </w:rPr>
              <w:t>Statistic</w:t>
            </w:r>
          </w:p>
        </w:tc>
        <w:tc>
          <w:tcPr>
            <w:tcW w:w="915" w:type="dxa"/>
            <w:tcBorders>
              <w:top w:val="double" w:sz="6" w:space="0" w:color="000000"/>
              <w:bottom w:val="double" w:sz="6" w:space="0" w:color="000000"/>
            </w:tcBorders>
          </w:tcPr>
          <w:p>
            <w:pPr>
              <w:pStyle w:val="TableParagraph"/>
              <w:spacing w:line="240" w:lineRule="auto" w:before="108"/>
              <w:ind w:left="371"/>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491"/>
              <w:rPr>
                <w:sz w:val="18"/>
              </w:rPr>
            </w:pPr>
            <w:r>
              <w:rPr>
                <w:spacing w:val="-2"/>
                <w:sz w:val="18"/>
              </w:rPr>
              <w:t>D(EXCH(-</w:t>
            </w:r>
            <w:r>
              <w:rPr>
                <w:spacing w:val="-5"/>
                <w:sz w:val="18"/>
              </w:rPr>
              <w:t>1))</w:t>
            </w:r>
          </w:p>
        </w:tc>
        <w:tc>
          <w:tcPr>
            <w:tcW w:w="1307" w:type="dxa"/>
            <w:tcBorders>
              <w:top w:val="double" w:sz="6" w:space="0" w:color="000000"/>
            </w:tcBorders>
          </w:tcPr>
          <w:p>
            <w:pPr>
              <w:pStyle w:val="TableParagraph"/>
              <w:spacing w:before="108"/>
              <w:ind w:right="105"/>
              <w:jc w:val="right"/>
              <w:rPr>
                <w:sz w:val="18"/>
              </w:rPr>
            </w:pPr>
            <w:r>
              <w:rPr>
                <w:spacing w:val="-2"/>
                <w:sz w:val="18"/>
              </w:rPr>
              <w:t>-1.015695</w:t>
            </w:r>
          </w:p>
        </w:tc>
        <w:tc>
          <w:tcPr>
            <w:tcW w:w="1492" w:type="dxa"/>
            <w:tcBorders>
              <w:top w:val="double" w:sz="6" w:space="0" w:color="000000"/>
            </w:tcBorders>
          </w:tcPr>
          <w:p>
            <w:pPr>
              <w:pStyle w:val="TableParagraph"/>
              <w:spacing w:before="108"/>
              <w:ind w:left="349"/>
              <w:rPr>
                <w:sz w:val="18"/>
              </w:rPr>
            </w:pPr>
            <w:r>
              <w:rPr>
                <w:spacing w:val="-2"/>
                <w:sz w:val="18"/>
              </w:rPr>
              <w:t>0.179618</w:t>
            </w:r>
          </w:p>
        </w:tc>
        <w:tc>
          <w:tcPr>
            <w:tcW w:w="911" w:type="dxa"/>
            <w:tcBorders>
              <w:top w:val="double" w:sz="6" w:space="0" w:color="000000"/>
            </w:tcBorders>
          </w:tcPr>
          <w:p>
            <w:pPr>
              <w:pStyle w:val="TableParagraph"/>
              <w:spacing w:before="108"/>
              <w:ind w:right="94"/>
              <w:jc w:val="right"/>
              <w:rPr>
                <w:sz w:val="18"/>
              </w:rPr>
            </w:pPr>
            <w:r>
              <w:rPr>
                <w:spacing w:val="-2"/>
                <w:sz w:val="18"/>
              </w:rPr>
              <w:t>-5.654742</w:t>
            </w:r>
          </w:p>
        </w:tc>
        <w:tc>
          <w:tcPr>
            <w:tcW w:w="915" w:type="dxa"/>
            <w:tcBorders>
              <w:top w:val="double" w:sz="6" w:space="0" w:color="000000"/>
            </w:tcBorders>
          </w:tcPr>
          <w:p>
            <w:pPr>
              <w:pStyle w:val="TableParagraph"/>
              <w:spacing w:before="108"/>
              <w:ind w:right="10"/>
              <w:jc w:val="right"/>
              <w:rPr>
                <w:sz w:val="18"/>
              </w:rPr>
            </w:pPr>
            <w:r>
              <w:rPr>
                <w:spacing w:val="-2"/>
                <w:sz w:val="18"/>
              </w:rPr>
              <w:t>0.0000</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5.370908</w:t>
            </w:r>
          </w:p>
        </w:tc>
        <w:tc>
          <w:tcPr>
            <w:tcW w:w="1492" w:type="dxa"/>
            <w:tcBorders>
              <w:bottom w:val="double" w:sz="6" w:space="0" w:color="000000"/>
            </w:tcBorders>
          </w:tcPr>
          <w:p>
            <w:pPr>
              <w:pStyle w:val="TableParagraph"/>
              <w:spacing w:line="240" w:lineRule="auto"/>
              <w:ind w:left="349"/>
              <w:rPr>
                <w:sz w:val="18"/>
              </w:rPr>
            </w:pPr>
            <w:r>
              <w:rPr>
                <w:spacing w:val="-2"/>
                <w:sz w:val="18"/>
              </w:rPr>
              <w:t>3.751980</w:t>
            </w:r>
          </w:p>
        </w:tc>
        <w:tc>
          <w:tcPr>
            <w:tcW w:w="911" w:type="dxa"/>
            <w:tcBorders>
              <w:bottom w:val="double" w:sz="6" w:space="0" w:color="000000"/>
            </w:tcBorders>
          </w:tcPr>
          <w:p>
            <w:pPr>
              <w:pStyle w:val="TableParagraph"/>
              <w:spacing w:line="240" w:lineRule="auto"/>
              <w:ind w:right="94"/>
              <w:jc w:val="right"/>
              <w:rPr>
                <w:sz w:val="18"/>
              </w:rPr>
            </w:pPr>
            <w:r>
              <w:rPr>
                <w:spacing w:val="-2"/>
                <w:sz w:val="18"/>
              </w:rPr>
              <w:t>1.431486</w:t>
            </w:r>
          </w:p>
        </w:tc>
        <w:tc>
          <w:tcPr>
            <w:tcW w:w="915" w:type="dxa"/>
            <w:tcBorders>
              <w:bottom w:val="double" w:sz="6" w:space="0" w:color="000000"/>
            </w:tcBorders>
          </w:tcPr>
          <w:p>
            <w:pPr>
              <w:pStyle w:val="TableParagraph"/>
              <w:spacing w:line="240" w:lineRule="auto"/>
              <w:ind w:right="10"/>
              <w:jc w:val="right"/>
              <w:rPr>
                <w:sz w:val="18"/>
              </w:rPr>
            </w:pPr>
            <w:r>
              <w:rPr>
                <w:spacing w:val="-2"/>
                <w:sz w:val="18"/>
              </w:rPr>
              <w:t>0.1623</w:t>
            </w:r>
          </w:p>
        </w:tc>
      </w:tr>
      <w:tr>
        <w:trPr>
          <w:trHeight w:val="326" w:hRule="atLeast"/>
        </w:trPr>
        <w:tc>
          <w:tcPr>
            <w:tcW w:w="1910" w:type="dxa"/>
            <w:tcBorders>
              <w:top w:val="double" w:sz="6" w:space="0" w:color="000000"/>
            </w:tcBorders>
          </w:tcPr>
          <w:p>
            <w:pPr>
              <w:pStyle w:val="TableParagraph"/>
              <w:spacing w:line="198" w:lineRule="exact" w:before="108"/>
              <w:rPr>
                <w:sz w:val="18"/>
              </w:rPr>
            </w:pPr>
            <w:r>
              <w:rPr>
                <w:spacing w:val="-2"/>
                <w:sz w:val="18"/>
              </w:rPr>
              <w:t>R-squared</w:t>
            </w:r>
          </w:p>
        </w:tc>
        <w:tc>
          <w:tcPr>
            <w:tcW w:w="1307" w:type="dxa"/>
            <w:tcBorders>
              <w:top w:val="double" w:sz="6" w:space="0" w:color="000000"/>
            </w:tcBorders>
          </w:tcPr>
          <w:p>
            <w:pPr>
              <w:pStyle w:val="TableParagraph"/>
              <w:spacing w:line="198" w:lineRule="exact" w:before="108"/>
              <w:ind w:right="105"/>
              <w:jc w:val="right"/>
              <w:rPr>
                <w:sz w:val="18"/>
              </w:rPr>
            </w:pPr>
            <w:r>
              <w:rPr>
                <w:spacing w:val="-2"/>
                <w:sz w:val="18"/>
              </w:rPr>
              <w:t>0.507750</w:t>
            </w:r>
          </w:p>
        </w:tc>
        <w:tc>
          <w:tcPr>
            <w:tcW w:w="2403" w:type="dxa"/>
            <w:gridSpan w:val="2"/>
            <w:tcBorders>
              <w:top w:val="double" w:sz="6" w:space="0" w:color="000000"/>
            </w:tcBorders>
          </w:tcPr>
          <w:p>
            <w:pPr>
              <w:pStyle w:val="TableParagraph"/>
              <w:spacing w:line="198" w:lineRule="exact" w:before="108"/>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915" w:type="dxa"/>
            <w:tcBorders>
              <w:top w:val="double" w:sz="6" w:space="0" w:color="000000"/>
            </w:tcBorders>
          </w:tcPr>
          <w:p>
            <w:pPr>
              <w:pStyle w:val="TableParagraph"/>
              <w:spacing w:line="198" w:lineRule="exact" w:before="108"/>
              <w:ind w:right="10"/>
              <w:jc w:val="right"/>
              <w:rPr>
                <w:sz w:val="18"/>
              </w:rPr>
            </w:pPr>
            <w:r>
              <w:rPr>
                <w:spacing w:val="-2"/>
                <w:sz w:val="18"/>
              </w:rPr>
              <w:t>-0.021818</w:t>
            </w:r>
          </w:p>
        </w:tc>
      </w:tr>
      <w:tr>
        <w:trPr>
          <w:trHeight w:val="224" w:hRule="atLeast"/>
        </w:trPr>
        <w:tc>
          <w:tcPr>
            <w:tcW w:w="1910"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307" w:type="dxa"/>
          </w:tcPr>
          <w:p>
            <w:pPr>
              <w:pStyle w:val="TableParagraph"/>
              <w:spacing w:before="5"/>
              <w:ind w:right="105"/>
              <w:jc w:val="right"/>
              <w:rPr>
                <w:sz w:val="18"/>
              </w:rPr>
            </w:pPr>
            <w:r>
              <w:rPr>
                <w:spacing w:val="-2"/>
                <w:sz w:val="18"/>
              </w:rPr>
              <w:t>0.491871</w:t>
            </w:r>
          </w:p>
        </w:tc>
        <w:tc>
          <w:tcPr>
            <w:tcW w:w="2403" w:type="dxa"/>
            <w:gridSpan w:val="2"/>
          </w:tcPr>
          <w:p>
            <w:pPr>
              <w:pStyle w:val="TableParagraph"/>
              <w:spacing w:before="5"/>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915" w:type="dxa"/>
          </w:tcPr>
          <w:p>
            <w:pPr>
              <w:pStyle w:val="TableParagraph"/>
              <w:spacing w:before="5"/>
              <w:ind w:right="10"/>
              <w:jc w:val="right"/>
              <w:rPr>
                <w:sz w:val="18"/>
              </w:rPr>
            </w:pPr>
            <w:r>
              <w:rPr>
                <w:spacing w:val="-2"/>
                <w:sz w:val="18"/>
              </w:rPr>
              <w:t>29.24339</w:t>
            </w:r>
          </w:p>
        </w:tc>
      </w:tr>
      <w:tr>
        <w:trPr>
          <w:trHeight w:val="225" w:hRule="atLeast"/>
        </w:trPr>
        <w:tc>
          <w:tcPr>
            <w:tcW w:w="1910" w:type="dxa"/>
          </w:tcPr>
          <w:p>
            <w:pPr>
              <w:pStyle w:val="TableParagraph"/>
              <w:rPr>
                <w:sz w:val="18"/>
              </w:rPr>
            </w:pPr>
            <w:r>
              <w:rPr>
                <w:sz w:val="18"/>
              </w:rPr>
              <w:t>S.E.</w:t>
            </w:r>
            <w:r>
              <w:rPr>
                <w:spacing w:val="-2"/>
                <w:sz w:val="18"/>
              </w:rPr>
              <w:t> </w:t>
            </w:r>
            <w:r>
              <w:rPr>
                <w:sz w:val="18"/>
              </w:rPr>
              <w:t>of </w:t>
            </w:r>
            <w:r>
              <w:rPr>
                <w:spacing w:val="-2"/>
                <w:sz w:val="18"/>
              </w:rPr>
              <w:t>regression</w:t>
            </w:r>
          </w:p>
        </w:tc>
        <w:tc>
          <w:tcPr>
            <w:tcW w:w="1307" w:type="dxa"/>
          </w:tcPr>
          <w:p>
            <w:pPr>
              <w:pStyle w:val="TableParagraph"/>
              <w:ind w:right="105"/>
              <w:jc w:val="right"/>
              <w:rPr>
                <w:sz w:val="18"/>
              </w:rPr>
            </w:pPr>
            <w:r>
              <w:rPr>
                <w:spacing w:val="-2"/>
                <w:sz w:val="18"/>
              </w:rPr>
              <w:t>20.84562</w:t>
            </w:r>
          </w:p>
        </w:tc>
        <w:tc>
          <w:tcPr>
            <w:tcW w:w="2403" w:type="dxa"/>
            <w:gridSpan w:val="2"/>
          </w:tcPr>
          <w:p>
            <w:pPr>
              <w:pStyle w:val="TableParagraph"/>
              <w:ind w:left="105"/>
              <w:rPr>
                <w:sz w:val="18"/>
              </w:rPr>
            </w:pPr>
            <w:r>
              <w:rPr>
                <w:sz w:val="18"/>
              </w:rPr>
              <w:t>Akaike</w:t>
            </w:r>
            <w:r>
              <w:rPr>
                <w:spacing w:val="-3"/>
                <w:sz w:val="18"/>
              </w:rPr>
              <w:t> </w:t>
            </w:r>
            <w:r>
              <w:rPr>
                <w:sz w:val="18"/>
              </w:rPr>
              <w:t>info</w:t>
            </w:r>
            <w:r>
              <w:rPr>
                <w:spacing w:val="-2"/>
                <w:sz w:val="18"/>
              </w:rPr>
              <w:t> criterion</w:t>
            </w:r>
          </w:p>
        </w:tc>
        <w:tc>
          <w:tcPr>
            <w:tcW w:w="915" w:type="dxa"/>
          </w:tcPr>
          <w:p>
            <w:pPr>
              <w:pStyle w:val="TableParagraph"/>
              <w:ind w:right="10"/>
              <w:jc w:val="right"/>
              <w:rPr>
                <w:sz w:val="18"/>
              </w:rPr>
            </w:pPr>
            <w:r>
              <w:rPr>
                <w:spacing w:val="-2"/>
                <w:sz w:val="18"/>
              </w:rPr>
              <w:t>8.970857</w:t>
            </w:r>
          </w:p>
        </w:tc>
      </w:tr>
      <w:tr>
        <w:trPr>
          <w:trHeight w:val="225" w:hRule="atLeast"/>
        </w:trPr>
        <w:tc>
          <w:tcPr>
            <w:tcW w:w="1910"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307" w:type="dxa"/>
          </w:tcPr>
          <w:p>
            <w:pPr>
              <w:pStyle w:val="TableParagraph"/>
              <w:ind w:right="105"/>
              <w:jc w:val="right"/>
              <w:rPr>
                <w:sz w:val="18"/>
              </w:rPr>
            </w:pPr>
            <w:r>
              <w:rPr>
                <w:spacing w:val="-2"/>
                <w:sz w:val="18"/>
              </w:rPr>
              <w:t>13470.74</w:t>
            </w:r>
          </w:p>
        </w:tc>
        <w:tc>
          <w:tcPr>
            <w:tcW w:w="1492" w:type="dxa"/>
          </w:tcPr>
          <w:p>
            <w:pPr>
              <w:pStyle w:val="TableParagraph"/>
              <w:ind w:left="105"/>
              <w:rPr>
                <w:sz w:val="18"/>
              </w:rPr>
            </w:pPr>
            <w:r>
              <w:rPr>
                <w:sz w:val="18"/>
              </w:rPr>
              <w:t>Schwarz</w:t>
            </w:r>
            <w:r>
              <w:rPr>
                <w:spacing w:val="-4"/>
                <w:sz w:val="18"/>
              </w:rPr>
              <w:t> </w:t>
            </w:r>
            <w:r>
              <w:rPr>
                <w:spacing w:val="-2"/>
                <w:sz w:val="18"/>
              </w:rPr>
              <w:t>criterion</w:t>
            </w:r>
          </w:p>
        </w:tc>
        <w:tc>
          <w:tcPr>
            <w:tcW w:w="911" w:type="dxa"/>
          </w:tcPr>
          <w:p>
            <w:pPr>
              <w:pStyle w:val="TableParagraph"/>
              <w:spacing w:line="240" w:lineRule="auto" w:before="0"/>
              <w:rPr>
                <w:rFonts w:ascii="Times New Roman"/>
                <w:sz w:val="16"/>
              </w:rPr>
            </w:pPr>
          </w:p>
        </w:tc>
        <w:tc>
          <w:tcPr>
            <w:tcW w:w="915" w:type="dxa"/>
          </w:tcPr>
          <w:p>
            <w:pPr>
              <w:pStyle w:val="TableParagraph"/>
              <w:ind w:right="10"/>
              <w:jc w:val="right"/>
              <w:rPr>
                <w:sz w:val="18"/>
              </w:rPr>
            </w:pPr>
            <w:r>
              <w:rPr>
                <w:spacing w:val="-2"/>
                <w:sz w:val="18"/>
              </w:rPr>
              <w:t>9.061554</w:t>
            </w:r>
          </w:p>
        </w:tc>
      </w:tr>
      <w:tr>
        <w:trPr>
          <w:trHeight w:val="224" w:hRule="atLeast"/>
        </w:trPr>
        <w:tc>
          <w:tcPr>
            <w:tcW w:w="1910" w:type="dxa"/>
          </w:tcPr>
          <w:p>
            <w:pPr>
              <w:pStyle w:val="TableParagraph"/>
              <w:spacing w:line="198" w:lineRule="exact"/>
              <w:rPr>
                <w:sz w:val="18"/>
              </w:rPr>
            </w:pPr>
            <w:r>
              <w:rPr>
                <w:sz w:val="18"/>
              </w:rPr>
              <w:t>Log</w:t>
            </w:r>
            <w:r>
              <w:rPr>
                <w:spacing w:val="-3"/>
                <w:sz w:val="18"/>
              </w:rPr>
              <w:t> </w:t>
            </w:r>
            <w:r>
              <w:rPr>
                <w:spacing w:val="-2"/>
                <w:sz w:val="18"/>
              </w:rPr>
              <w:t>likelihood</w:t>
            </w:r>
          </w:p>
        </w:tc>
        <w:tc>
          <w:tcPr>
            <w:tcW w:w="1307" w:type="dxa"/>
          </w:tcPr>
          <w:p>
            <w:pPr>
              <w:pStyle w:val="TableParagraph"/>
              <w:spacing w:line="198" w:lineRule="exact"/>
              <w:ind w:right="105"/>
              <w:jc w:val="right"/>
              <w:rPr>
                <w:sz w:val="18"/>
              </w:rPr>
            </w:pPr>
            <w:r>
              <w:rPr>
                <w:spacing w:val="-2"/>
                <w:sz w:val="18"/>
              </w:rPr>
              <w:t>-146.0191</w:t>
            </w:r>
          </w:p>
        </w:tc>
        <w:tc>
          <w:tcPr>
            <w:tcW w:w="2403" w:type="dxa"/>
            <w:gridSpan w:val="2"/>
          </w:tcPr>
          <w:p>
            <w:pPr>
              <w:pStyle w:val="TableParagraph"/>
              <w:spacing w:line="198" w:lineRule="exact"/>
              <w:ind w:left="105"/>
              <w:rPr>
                <w:sz w:val="18"/>
              </w:rPr>
            </w:pPr>
            <w:r>
              <w:rPr>
                <w:spacing w:val="-2"/>
                <w:sz w:val="18"/>
              </w:rPr>
              <w:t>Hannan-Quinn</w:t>
            </w:r>
            <w:r>
              <w:rPr>
                <w:spacing w:val="11"/>
                <w:sz w:val="18"/>
              </w:rPr>
              <w:t> </w:t>
            </w:r>
            <w:r>
              <w:rPr>
                <w:spacing w:val="-2"/>
                <w:sz w:val="18"/>
              </w:rPr>
              <w:t>criter.</w:t>
            </w:r>
          </w:p>
        </w:tc>
        <w:tc>
          <w:tcPr>
            <w:tcW w:w="915" w:type="dxa"/>
          </w:tcPr>
          <w:p>
            <w:pPr>
              <w:pStyle w:val="TableParagraph"/>
              <w:spacing w:line="198" w:lineRule="exact"/>
              <w:ind w:right="10"/>
              <w:jc w:val="right"/>
              <w:rPr>
                <w:sz w:val="18"/>
              </w:rPr>
            </w:pPr>
            <w:r>
              <w:rPr>
                <w:spacing w:val="-2"/>
                <w:sz w:val="18"/>
              </w:rPr>
              <w:t>9.001374</w:t>
            </w:r>
          </w:p>
        </w:tc>
      </w:tr>
      <w:tr>
        <w:trPr>
          <w:trHeight w:val="224" w:hRule="atLeast"/>
        </w:trPr>
        <w:tc>
          <w:tcPr>
            <w:tcW w:w="1910" w:type="dxa"/>
          </w:tcPr>
          <w:p>
            <w:pPr>
              <w:pStyle w:val="TableParagraph"/>
              <w:spacing w:before="5"/>
              <w:rPr>
                <w:sz w:val="18"/>
              </w:rPr>
            </w:pPr>
            <w:r>
              <w:rPr>
                <w:spacing w:val="-2"/>
                <w:sz w:val="18"/>
              </w:rPr>
              <w:t>F-statistic</w:t>
            </w:r>
          </w:p>
        </w:tc>
        <w:tc>
          <w:tcPr>
            <w:tcW w:w="1307" w:type="dxa"/>
          </w:tcPr>
          <w:p>
            <w:pPr>
              <w:pStyle w:val="TableParagraph"/>
              <w:spacing w:before="5"/>
              <w:ind w:right="105"/>
              <w:jc w:val="right"/>
              <w:rPr>
                <w:sz w:val="18"/>
              </w:rPr>
            </w:pPr>
            <w:r>
              <w:rPr>
                <w:spacing w:val="-2"/>
                <w:sz w:val="18"/>
              </w:rPr>
              <w:t>31.97611</w:t>
            </w:r>
          </w:p>
        </w:tc>
        <w:tc>
          <w:tcPr>
            <w:tcW w:w="2403" w:type="dxa"/>
            <w:gridSpan w:val="2"/>
          </w:tcPr>
          <w:p>
            <w:pPr>
              <w:pStyle w:val="TableParagraph"/>
              <w:spacing w:before="5"/>
              <w:ind w:left="105"/>
              <w:rPr>
                <w:sz w:val="18"/>
              </w:rPr>
            </w:pPr>
            <w:r>
              <w:rPr>
                <w:spacing w:val="-2"/>
                <w:sz w:val="18"/>
              </w:rPr>
              <w:t>Durbin-Watson</w:t>
            </w:r>
            <w:r>
              <w:rPr>
                <w:spacing w:val="13"/>
                <w:sz w:val="18"/>
              </w:rPr>
              <w:t> </w:t>
            </w:r>
            <w:r>
              <w:rPr>
                <w:spacing w:val="-4"/>
                <w:sz w:val="18"/>
              </w:rPr>
              <w:t>stat</w:t>
            </w:r>
          </w:p>
        </w:tc>
        <w:tc>
          <w:tcPr>
            <w:tcW w:w="915" w:type="dxa"/>
          </w:tcPr>
          <w:p>
            <w:pPr>
              <w:pStyle w:val="TableParagraph"/>
              <w:spacing w:before="5"/>
              <w:ind w:right="10"/>
              <w:jc w:val="right"/>
              <w:rPr>
                <w:sz w:val="18"/>
              </w:rPr>
            </w:pPr>
            <w:r>
              <w:rPr>
                <w:spacing w:val="-2"/>
                <w:sz w:val="18"/>
              </w:rPr>
              <w:t>2.008742</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7" w:type="dxa"/>
            <w:tcBorders>
              <w:bottom w:val="double" w:sz="6" w:space="0" w:color="000000"/>
            </w:tcBorders>
          </w:tcPr>
          <w:p>
            <w:pPr>
              <w:pStyle w:val="TableParagraph"/>
              <w:spacing w:line="240" w:lineRule="auto"/>
              <w:ind w:right="105"/>
              <w:jc w:val="right"/>
              <w:rPr>
                <w:sz w:val="18"/>
              </w:rPr>
            </w:pPr>
            <w:r>
              <w:rPr>
                <w:spacing w:val="-2"/>
                <w:sz w:val="18"/>
              </w:rPr>
              <w:t>0.000003</w:t>
            </w:r>
          </w:p>
        </w:tc>
        <w:tc>
          <w:tcPr>
            <w:tcW w:w="2403" w:type="dxa"/>
            <w:gridSpan w:val="2"/>
            <w:tcBorders>
              <w:bottom w:val="double" w:sz="6" w:space="0" w:color="000000"/>
            </w:tcBorders>
          </w:tcPr>
          <w:p>
            <w:pPr>
              <w:pStyle w:val="TableParagraph"/>
              <w:spacing w:line="240" w:lineRule="auto" w:before="0"/>
              <w:rPr>
                <w:rFonts w:ascii="Times New Roman"/>
                <w:sz w:val="18"/>
              </w:rPr>
            </w:pPr>
          </w:p>
        </w:tc>
        <w:tc>
          <w:tcPr>
            <w:tcW w:w="915"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36832">
                <wp:simplePos x="0" y="0"/>
                <wp:positionH relativeFrom="page">
                  <wp:posOffset>950112</wp:posOffset>
                </wp:positionH>
                <wp:positionV relativeFrom="page">
                  <wp:posOffset>5495962</wp:posOffset>
                </wp:positionV>
                <wp:extent cx="2223770" cy="2362200"/>
                <wp:effectExtent l="0" t="0" r="0" b="0"/>
                <wp:wrapNone/>
                <wp:docPr id="271" name="Graphic 271"/>
                <wp:cNvGraphicFramePr>
                  <a:graphicFrameLocks/>
                </wp:cNvGraphicFramePr>
                <a:graphic>
                  <a:graphicData uri="http://schemas.microsoft.com/office/word/2010/wordprocessingShape">
                    <wps:wsp>
                      <wps:cNvPr id="271" name="Graphic 271"/>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79648" id="docshape271"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37344">
                <wp:simplePos x="0" y="0"/>
                <wp:positionH relativeFrom="page">
                  <wp:posOffset>2872486</wp:posOffset>
                </wp:positionH>
                <wp:positionV relativeFrom="page">
                  <wp:posOffset>2197353</wp:posOffset>
                </wp:positionV>
                <wp:extent cx="3583304" cy="3612515"/>
                <wp:effectExtent l="0" t="0" r="0" b="0"/>
                <wp:wrapNone/>
                <wp:docPr id="272" name="Graphic 272"/>
                <wp:cNvGraphicFramePr>
                  <a:graphicFrameLocks/>
                </wp:cNvGraphicFramePr>
                <a:graphic>
                  <a:graphicData uri="http://schemas.microsoft.com/office/word/2010/wordprocessingShape">
                    <wps:wsp>
                      <wps:cNvPr id="272" name="Graphic 272"/>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79136" id="docshape272"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4"/>
        <w:gridCol w:w="1251"/>
        <w:gridCol w:w="1491"/>
        <w:gridCol w:w="940"/>
        <w:gridCol w:w="884"/>
      </w:tblGrid>
      <w:tr>
        <w:trPr>
          <w:trHeight w:val="213" w:hRule="atLeast"/>
        </w:trPr>
        <w:tc>
          <w:tcPr>
            <w:tcW w:w="6530" w:type="dxa"/>
            <w:gridSpan w:val="5"/>
          </w:tcPr>
          <w:p>
            <w:pPr>
              <w:pStyle w:val="TableParagraph"/>
              <w:spacing w:line="193" w:lineRule="exact" w:before="0"/>
              <w:rPr>
                <w:sz w:val="18"/>
              </w:rPr>
            </w:pPr>
            <w:r>
              <w:rPr>
                <w:sz w:val="18"/>
              </w:rPr>
              <w:t>Null</w:t>
            </w:r>
            <w:r>
              <w:rPr>
                <w:spacing w:val="-3"/>
                <w:sz w:val="18"/>
              </w:rPr>
              <w:t> </w:t>
            </w:r>
            <w:r>
              <w:rPr>
                <w:sz w:val="18"/>
              </w:rPr>
              <w:t>Hypothesis:</w:t>
            </w:r>
            <w:r>
              <w:rPr>
                <w:spacing w:val="-3"/>
                <w:sz w:val="18"/>
              </w:rPr>
              <w:t> </w:t>
            </w:r>
            <w:r>
              <w:rPr>
                <w:sz w:val="18"/>
              </w:rPr>
              <w:t>CPS_GDP</w:t>
            </w:r>
            <w:r>
              <w:rPr>
                <w:spacing w:val="-3"/>
                <w:sz w:val="18"/>
              </w:rPr>
              <w:t> </w:t>
            </w:r>
            <w:r>
              <w:rPr>
                <w:sz w:val="18"/>
              </w:rPr>
              <w:t>has</w:t>
            </w:r>
            <w:r>
              <w:rPr>
                <w:spacing w:val="-2"/>
                <w:sz w:val="18"/>
              </w:rPr>
              <w:t> </w:t>
            </w:r>
            <w:r>
              <w:rPr>
                <w:sz w:val="18"/>
              </w:rPr>
              <w:t>a</w:t>
            </w:r>
            <w:r>
              <w:rPr>
                <w:spacing w:val="-4"/>
                <w:sz w:val="18"/>
              </w:rPr>
              <w:t> </w:t>
            </w:r>
            <w:r>
              <w:rPr>
                <w:sz w:val="18"/>
              </w:rPr>
              <w:t>unit</w:t>
            </w:r>
            <w:r>
              <w:rPr>
                <w:spacing w:val="-5"/>
                <w:sz w:val="18"/>
              </w:rPr>
              <w:t> </w:t>
            </w:r>
            <w:r>
              <w:rPr>
                <w:spacing w:val="-4"/>
                <w:sz w:val="18"/>
              </w:rPr>
              <w:t>root</w:t>
            </w:r>
          </w:p>
        </w:tc>
      </w:tr>
      <w:tr>
        <w:trPr>
          <w:trHeight w:val="224" w:hRule="atLeast"/>
        </w:trPr>
        <w:tc>
          <w:tcPr>
            <w:tcW w:w="1964" w:type="dxa"/>
          </w:tcPr>
          <w:p>
            <w:pPr>
              <w:pStyle w:val="TableParagraph"/>
              <w:spacing w:line="198" w:lineRule="exact"/>
              <w:rPr>
                <w:sz w:val="18"/>
              </w:rPr>
            </w:pPr>
            <w:r>
              <w:rPr>
                <w:sz w:val="18"/>
              </w:rPr>
              <w:t>Exogenous:</w:t>
            </w:r>
            <w:r>
              <w:rPr>
                <w:spacing w:val="-3"/>
                <w:sz w:val="18"/>
              </w:rPr>
              <w:t> </w:t>
            </w:r>
            <w:r>
              <w:rPr>
                <w:spacing w:val="-2"/>
                <w:sz w:val="18"/>
              </w:rPr>
              <w:t>Constant</w:t>
            </w:r>
          </w:p>
        </w:tc>
        <w:tc>
          <w:tcPr>
            <w:tcW w:w="1251"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302" w:hRule="atLeast"/>
        </w:trPr>
        <w:tc>
          <w:tcPr>
            <w:tcW w:w="6530" w:type="dxa"/>
            <w:gridSpan w:val="5"/>
            <w:tcBorders>
              <w:bottom w:val="double" w:sz="6" w:space="0" w:color="000000"/>
            </w:tcBorders>
          </w:tcPr>
          <w:p>
            <w:pPr>
              <w:pStyle w:val="TableParagraph"/>
              <w:spacing w:line="240" w:lineRule="auto" w:before="5"/>
              <w:rPr>
                <w:sz w:val="18"/>
              </w:rPr>
            </w:pPr>
            <w:r>
              <w:rPr>
                <w:sz w:val="18"/>
              </w:rPr>
              <w:t>Lag</w:t>
            </w:r>
            <w:r>
              <w:rPr>
                <w:spacing w:val="-4"/>
                <w:sz w:val="18"/>
              </w:rPr>
              <w:t> </w:t>
            </w:r>
            <w:r>
              <w:rPr>
                <w:sz w:val="18"/>
              </w:rPr>
              <w:t>Length:</w:t>
            </w:r>
            <w:r>
              <w:rPr>
                <w:spacing w:val="-2"/>
                <w:sz w:val="18"/>
              </w:rPr>
              <w:t> </w:t>
            </w:r>
            <w:r>
              <w:rPr>
                <w:sz w:val="18"/>
              </w:rPr>
              <w:t>2</w:t>
            </w:r>
            <w:r>
              <w:rPr>
                <w:spacing w:val="-2"/>
                <w:sz w:val="18"/>
              </w:rPr>
              <w:t> </w:t>
            </w:r>
            <w:r>
              <w:rPr>
                <w:sz w:val="18"/>
              </w:rPr>
              <w:t>(Automatic</w:t>
            </w:r>
            <w:r>
              <w:rPr>
                <w:spacing w:val="1"/>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3" w:hRule="atLeast"/>
        </w:trPr>
        <w:tc>
          <w:tcPr>
            <w:tcW w:w="1964"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251"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1" w:type="dxa"/>
            <w:gridSpan w:val="2"/>
            <w:tcBorders>
              <w:top w:val="double" w:sz="6" w:space="0" w:color="000000"/>
              <w:bottom w:val="double" w:sz="6" w:space="0" w:color="000000"/>
            </w:tcBorders>
          </w:tcPr>
          <w:p>
            <w:pPr>
              <w:pStyle w:val="TableParagraph"/>
              <w:spacing w:line="240" w:lineRule="auto" w:before="108"/>
              <w:ind w:left="1343"/>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8"/>
              <w:ind w:left="186"/>
              <w:rPr>
                <w:sz w:val="18"/>
              </w:rPr>
            </w:pPr>
            <w:r>
              <w:rPr>
                <w:spacing w:val="-2"/>
                <w:sz w:val="18"/>
              </w:rPr>
              <w:t>Prob.*</w:t>
            </w:r>
          </w:p>
        </w:tc>
      </w:tr>
      <w:tr>
        <w:trPr>
          <w:trHeight w:val="315" w:hRule="atLeast"/>
        </w:trPr>
        <w:tc>
          <w:tcPr>
            <w:tcW w:w="3215"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31" w:type="dxa"/>
            <w:gridSpan w:val="2"/>
            <w:tcBorders>
              <w:top w:val="double" w:sz="6" w:space="0" w:color="000000"/>
              <w:bottom w:val="single" w:sz="6" w:space="0" w:color="000000"/>
            </w:tcBorders>
          </w:tcPr>
          <w:p>
            <w:pPr>
              <w:pStyle w:val="TableParagraph"/>
              <w:spacing w:line="187" w:lineRule="exact" w:before="108"/>
              <w:ind w:left="1307"/>
              <w:rPr>
                <w:sz w:val="18"/>
              </w:rPr>
            </w:pPr>
            <w:r>
              <w:rPr>
                <w:spacing w:val="-2"/>
                <w:sz w:val="18"/>
              </w:rPr>
              <w:t>-0.683402</w:t>
            </w:r>
          </w:p>
        </w:tc>
        <w:tc>
          <w:tcPr>
            <w:tcW w:w="884" w:type="dxa"/>
            <w:tcBorders>
              <w:top w:val="double" w:sz="6" w:space="0" w:color="000000"/>
              <w:bottom w:val="single" w:sz="6" w:space="0" w:color="000000"/>
            </w:tcBorders>
          </w:tcPr>
          <w:p>
            <w:pPr>
              <w:pStyle w:val="TableParagraph"/>
              <w:spacing w:line="187" w:lineRule="exact" w:before="108"/>
              <w:ind w:left="136"/>
              <w:rPr>
                <w:sz w:val="18"/>
              </w:rPr>
            </w:pPr>
            <w:r>
              <w:rPr>
                <w:spacing w:val="-2"/>
                <w:sz w:val="18"/>
              </w:rPr>
              <w:t>0.8370</w:t>
            </w:r>
          </w:p>
        </w:tc>
      </w:tr>
      <w:tr>
        <w:trPr>
          <w:trHeight w:val="237" w:hRule="atLeast"/>
        </w:trPr>
        <w:tc>
          <w:tcPr>
            <w:tcW w:w="1964" w:type="dxa"/>
            <w:tcBorders>
              <w:top w:val="single" w:sz="6" w:space="0" w:color="000000"/>
            </w:tcBorders>
          </w:tcPr>
          <w:p>
            <w:pPr>
              <w:pStyle w:val="TableParagraph"/>
              <w:spacing w:before="18"/>
              <w:rPr>
                <w:sz w:val="18"/>
              </w:rPr>
            </w:pPr>
            <w:r>
              <w:rPr>
                <w:sz w:val="18"/>
              </w:rPr>
              <w:t>Test</w:t>
            </w:r>
            <w:r>
              <w:rPr>
                <w:spacing w:val="-4"/>
                <w:sz w:val="18"/>
              </w:rPr>
              <w:t> </w:t>
            </w:r>
            <w:r>
              <w:rPr>
                <w:sz w:val="18"/>
              </w:rPr>
              <w:t>critical </w:t>
            </w:r>
            <w:r>
              <w:rPr>
                <w:spacing w:val="-2"/>
                <w:sz w:val="18"/>
              </w:rPr>
              <w:t>values:</w:t>
            </w:r>
          </w:p>
        </w:tc>
        <w:tc>
          <w:tcPr>
            <w:tcW w:w="1251" w:type="dxa"/>
            <w:tcBorders>
              <w:top w:val="single" w:sz="6" w:space="0" w:color="000000"/>
            </w:tcBorders>
          </w:tcPr>
          <w:p>
            <w:pPr>
              <w:pStyle w:val="TableParagraph"/>
              <w:spacing w:before="18"/>
              <w:ind w:left="263"/>
              <w:rPr>
                <w:sz w:val="18"/>
              </w:rPr>
            </w:pPr>
            <w:r>
              <w:rPr>
                <w:sz w:val="18"/>
              </w:rPr>
              <w:t>1%</w:t>
            </w:r>
            <w:r>
              <w:rPr>
                <w:spacing w:val="-3"/>
                <w:sz w:val="18"/>
              </w:rPr>
              <w:t> </w:t>
            </w:r>
            <w:r>
              <w:rPr>
                <w:spacing w:val="-2"/>
                <w:sz w:val="18"/>
              </w:rPr>
              <w:t>level</w:t>
            </w:r>
          </w:p>
        </w:tc>
        <w:tc>
          <w:tcPr>
            <w:tcW w:w="2431" w:type="dxa"/>
            <w:gridSpan w:val="2"/>
            <w:tcBorders>
              <w:top w:val="single" w:sz="6" w:space="0" w:color="000000"/>
            </w:tcBorders>
          </w:tcPr>
          <w:p>
            <w:pPr>
              <w:pStyle w:val="TableParagraph"/>
              <w:spacing w:before="18"/>
              <w:ind w:left="1307"/>
              <w:rPr>
                <w:sz w:val="18"/>
              </w:rPr>
            </w:pPr>
            <w:r>
              <w:rPr>
                <w:spacing w:val="-2"/>
                <w:sz w:val="18"/>
              </w:rPr>
              <w:t>-3.653730</w:t>
            </w:r>
          </w:p>
        </w:tc>
        <w:tc>
          <w:tcPr>
            <w:tcW w:w="884"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64" w:type="dxa"/>
          </w:tcPr>
          <w:p>
            <w:pPr>
              <w:pStyle w:val="TableParagraph"/>
              <w:spacing w:line="240" w:lineRule="auto" w:before="0"/>
              <w:rPr>
                <w:rFonts w:ascii="Times New Roman"/>
                <w:sz w:val="16"/>
              </w:rPr>
            </w:pPr>
          </w:p>
        </w:tc>
        <w:tc>
          <w:tcPr>
            <w:tcW w:w="1251" w:type="dxa"/>
          </w:tcPr>
          <w:p>
            <w:pPr>
              <w:pStyle w:val="TableParagraph"/>
              <w:ind w:left="263"/>
              <w:rPr>
                <w:sz w:val="18"/>
              </w:rPr>
            </w:pPr>
            <w:r>
              <w:rPr>
                <w:sz w:val="18"/>
              </w:rPr>
              <w:t>5%</w:t>
            </w:r>
            <w:r>
              <w:rPr>
                <w:spacing w:val="-3"/>
                <w:sz w:val="18"/>
              </w:rPr>
              <w:t> </w:t>
            </w:r>
            <w:r>
              <w:rPr>
                <w:spacing w:val="-2"/>
                <w:sz w:val="18"/>
              </w:rPr>
              <w:t>level</w:t>
            </w:r>
          </w:p>
        </w:tc>
        <w:tc>
          <w:tcPr>
            <w:tcW w:w="2431" w:type="dxa"/>
            <w:gridSpan w:val="2"/>
          </w:tcPr>
          <w:p>
            <w:pPr>
              <w:pStyle w:val="TableParagraph"/>
              <w:ind w:left="1307"/>
              <w:rPr>
                <w:sz w:val="18"/>
              </w:rPr>
            </w:pPr>
            <w:r>
              <w:rPr>
                <w:spacing w:val="-2"/>
                <w:sz w:val="18"/>
              </w:rPr>
              <w:t>-2.957110</w:t>
            </w:r>
          </w:p>
        </w:tc>
        <w:tc>
          <w:tcPr>
            <w:tcW w:w="884" w:type="dxa"/>
          </w:tcPr>
          <w:p>
            <w:pPr>
              <w:pStyle w:val="TableParagraph"/>
              <w:spacing w:line="240" w:lineRule="auto" w:before="0"/>
              <w:rPr>
                <w:rFonts w:ascii="Times New Roman"/>
                <w:sz w:val="16"/>
              </w:rPr>
            </w:pPr>
          </w:p>
        </w:tc>
      </w:tr>
      <w:tr>
        <w:trPr>
          <w:trHeight w:val="301" w:hRule="atLeast"/>
        </w:trPr>
        <w:tc>
          <w:tcPr>
            <w:tcW w:w="1964" w:type="dxa"/>
            <w:tcBorders>
              <w:bottom w:val="double" w:sz="6" w:space="0" w:color="000000"/>
            </w:tcBorders>
          </w:tcPr>
          <w:p>
            <w:pPr>
              <w:pStyle w:val="TableParagraph"/>
              <w:spacing w:line="240" w:lineRule="auto" w:before="0"/>
              <w:rPr>
                <w:rFonts w:ascii="Times New Roman"/>
                <w:sz w:val="18"/>
              </w:rPr>
            </w:pPr>
          </w:p>
        </w:tc>
        <w:tc>
          <w:tcPr>
            <w:tcW w:w="1251" w:type="dxa"/>
            <w:tcBorders>
              <w:bottom w:val="double" w:sz="6" w:space="0" w:color="000000"/>
            </w:tcBorders>
          </w:tcPr>
          <w:p>
            <w:pPr>
              <w:pStyle w:val="TableParagraph"/>
              <w:spacing w:line="240" w:lineRule="auto"/>
              <w:ind w:left="212"/>
              <w:rPr>
                <w:sz w:val="18"/>
              </w:rPr>
            </w:pPr>
            <w:r>
              <w:rPr>
                <w:sz w:val="18"/>
              </w:rPr>
              <w:t>10%</w:t>
            </w:r>
            <w:r>
              <w:rPr>
                <w:spacing w:val="-4"/>
                <w:sz w:val="18"/>
              </w:rPr>
              <w:t> </w:t>
            </w:r>
            <w:r>
              <w:rPr>
                <w:spacing w:val="-2"/>
                <w:sz w:val="18"/>
              </w:rPr>
              <w:t>level</w:t>
            </w:r>
          </w:p>
        </w:tc>
        <w:tc>
          <w:tcPr>
            <w:tcW w:w="2431" w:type="dxa"/>
            <w:gridSpan w:val="2"/>
            <w:tcBorders>
              <w:bottom w:val="double" w:sz="6" w:space="0" w:color="000000"/>
            </w:tcBorders>
          </w:tcPr>
          <w:p>
            <w:pPr>
              <w:pStyle w:val="TableParagraph"/>
              <w:spacing w:line="240" w:lineRule="auto"/>
              <w:ind w:left="1307"/>
              <w:rPr>
                <w:sz w:val="18"/>
              </w:rPr>
            </w:pPr>
            <w:r>
              <w:rPr>
                <w:spacing w:val="-2"/>
                <w:sz w:val="18"/>
              </w:rPr>
              <w:t>-2.617434</w:t>
            </w:r>
          </w:p>
        </w:tc>
        <w:tc>
          <w:tcPr>
            <w:tcW w:w="884"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0"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0"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0"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D(CPS_GDP)</w:t>
            </w:r>
          </w:p>
        </w:tc>
      </w:tr>
      <w:tr>
        <w:trPr>
          <w:trHeight w:val="225" w:hRule="atLeast"/>
        </w:trPr>
        <w:tc>
          <w:tcPr>
            <w:tcW w:w="1964"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251"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225" w:hRule="atLeast"/>
        </w:trPr>
        <w:tc>
          <w:tcPr>
            <w:tcW w:w="6530" w:type="dxa"/>
            <w:gridSpan w:val="5"/>
          </w:tcPr>
          <w:p>
            <w:pPr>
              <w:pStyle w:val="TableParagraph"/>
              <w:rPr>
                <w:sz w:val="18"/>
              </w:rPr>
            </w:pPr>
            <w:r>
              <w:rPr>
                <w:sz w:val="18"/>
              </w:rPr>
              <w:t>Date:</w:t>
            </w:r>
            <w:r>
              <w:rPr>
                <w:spacing w:val="-2"/>
                <w:sz w:val="18"/>
              </w:rPr>
              <w:t> </w:t>
            </w:r>
            <w:r>
              <w:rPr>
                <w:sz w:val="18"/>
              </w:rPr>
              <w:t>10/11/21</w:t>
            </w:r>
            <w:r>
              <w:rPr>
                <w:spacing w:val="65"/>
                <w:w w:val="150"/>
                <w:sz w:val="18"/>
              </w:rPr>
              <w:t> </w:t>
            </w:r>
            <w:r>
              <w:rPr>
                <w:sz w:val="18"/>
              </w:rPr>
              <w:t>Time:</w:t>
            </w:r>
            <w:r>
              <w:rPr>
                <w:spacing w:val="-2"/>
                <w:sz w:val="18"/>
              </w:rPr>
              <w:t> </w:t>
            </w:r>
            <w:r>
              <w:rPr>
                <w:spacing w:val="-4"/>
                <w:sz w:val="18"/>
              </w:rPr>
              <w:t>06:18</w:t>
            </w:r>
          </w:p>
        </w:tc>
      </w:tr>
      <w:tr>
        <w:trPr>
          <w:trHeight w:val="224" w:hRule="atLeast"/>
        </w:trPr>
        <w:tc>
          <w:tcPr>
            <w:tcW w:w="6530"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1989</w:t>
            </w:r>
            <w:r>
              <w:rPr>
                <w:spacing w:val="-4"/>
                <w:sz w:val="18"/>
              </w:rPr>
              <w:t> 2020</w:t>
            </w:r>
          </w:p>
        </w:tc>
      </w:tr>
      <w:tr>
        <w:trPr>
          <w:trHeight w:val="302" w:hRule="atLeast"/>
        </w:trPr>
        <w:tc>
          <w:tcPr>
            <w:tcW w:w="6530"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32</w:t>
            </w:r>
            <w:r>
              <w:rPr>
                <w:spacing w:val="-5"/>
                <w:sz w:val="18"/>
              </w:rPr>
              <w:t> </w:t>
            </w:r>
            <w:r>
              <w:rPr>
                <w:sz w:val="18"/>
              </w:rPr>
              <w:t>after</w:t>
            </w:r>
            <w:r>
              <w:rPr>
                <w:spacing w:val="-2"/>
                <w:sz w:val="18"/>
              </w:rPr>
              <w:t> adjustments</w:t>
            </w:r>
          </w:p>
        </w:tc>
      </w:tr>
      <w:tr>
        <w:trPr>
          <w:trHeight w:val="403" w:hRule="atLeast"/>
        </w:trPr>
        <w:tc>
          <w:tcPr>
            <w:tcW w:w="1964"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251" w:type="dxa"/>
            <w:tcBorders>
              <w:top w:val="double" w:sz="6" w:space="0" w:color="000000"/>
              <w:bottom w:val="double" w:sz="6" w:space="0" w:color="000000"/>
            </w:tcBorders>
          </w:tcPr>
          <w:p>
            <w:pPr>
              <w:pStyle w:val="TableParagraph"/>
              <w:spacing w:line="240" w:lineRule="auto" w:before="108"/>
              <w:ind w:right="103"/>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8"/>
              <w:ind w:left="332"/>
              <w:rPr>
                <w:sz w:val="18"/>
              </w:rPr>
            </w:pPr>
            <w:r>
              <w:rPr>
                <w:sz w:val="18"/>
              </w:rPr>
              <w:t>Std.</w:t>
            </w:r>
            <w:r>
              <w:rPr>
                <w:spacing w:val="-2"/>
                <w:sz w:val="18"/>
              </w:rPr>
              <w:t> Error</w:t>
            </w:r>
          </w:p>
        </w:tc>
        <w:tc>
          <w:tcPr>
            <w:tcW w:w="940" w:type="dxa"/>
            <w:tcBorders>
              <w:top w:val="double" w:sz="6" w:space="0" w:color="000000"/>
              <w:bottom w:val="double" w:sz="6" w:space="0" w:color="000000"/>
            </w:tcBorders>
          </w:tcPr>
          <w:p>
            <w:pPr>
              <w:pStyle w:val="TableParagraph"/>
              <w:spacing w:line="240" w:lineRule="auto" w:before="108"/>
              <w:ind w:right="120"/>
              <w:jc w:val="right"/>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8"/>
              <w:ind w:left="345"/>
              <w:rPr>
                <w:sz w:val="18"/>
              </w:rPr>
            </w:pPr>
            <w:r>
              <w:rPr>
                <w:spacing w:val="-2"/>
                <w:sz w:val="18"/>
              </w:rPr>
              <w:t>Prob.</w:t>
            </w:r>
          </w:p>
        </w:tc>
      </w:tr>
      <w:tr>
        <w:trPr>
          <w:trHeight w:val="327" w:hRule="atLeast"/>
        </w:trPr>
        <w:tc>
          <w:tcPr>
            <w:tcW w:w="1964" w:type="dxa"/>
            <w:tcBorders>
              <w:top w:val="double" w:sz="6" w:space="0" w:color="000000"/>
            </w:tcBorders>
          </w:tcPr>
          <w:p>
            <w:pPr>
              <w:pStyle w:val="TableParagraph"/>
              <w:spacing w:before="108"/>
              <w:ind w:left="436"/>
              <w:rPr>
                <w:sz w:val="18"/>
              </w:rPr>
            </w:pPr>
            <w:r>
              <w:rPr>
                <w:spacing w:val="-2"/>
                <w:sz w:val="18"/>
              </w:rPr>
              <w:t>CPS_GDP(-</w:t>
            </w:r>
            <w:r>
              <w:rPr>
                <w:spacing w:val="-5"/>
                <w:sz w:val="18"/>
              </w:rPr>
              <w:t>1)</w:t>
            </w:r>
          </w:p>
        </w:tc>
        <w:tc>
          <w:tcPr>
            <w:tcW w:w="1251" w:type="dxa"/>
            <w:tcBorders>
              <w:top w:val="double" w:sz="6" w:space="0" w:color="000000"/>
            </w:tcBorders>
          </w:tcPr>
          <w:p>
            <w:pPr>
              <w:pStyle w:val="TableParagraph"/>
              <w:spacing w:before="108"/>
              <w:ind w:right="103"/>
              <w:jc w:val="right"/>
              <w:rPr>
                <w:sz w:val="18"/>
              </w:rPr>
            </w:pPr>
            <w:r>
              <w:rPr>
                <w:spacing w:val="-2"/>
                <w:sz w:val="18"/>
              </w:rPr>
              <w:t>-0.052564</w:t>
            </w:r>
          </w:p>
        </w:tc>
        <w:tc>
          <w:tcPr>
            <w:tcW w:w="1491" w:type="dxa"/>
            <w:tcBorders>
              <w:top w:val="double" w:sz="6" w:space="0" w:color="000000"/>
            </w:tcBorders>
          </w:tcPr>
          <w:p>
            <w:pPr>
              <w:pStyle w:val="TableParagraph"/>
              <w:spacing w:before="108"/>
              <w:ind w:left="351"/>
              <w:rPr>
                <w:sz w:val="18"/>
              </w:rPr>
            </w:pPr>
            <w:r>
              <w:rPr>
                <w:spacing w:val="-2"/>
                <w:sz w:val="18"/>
              </w:rPr>
              <w:t>0.076915</w:t>
            </w:r>
          </w:p>
        </w:tc>
        <w:tc>
          <w:tcPr>
            <w:tcW w:w="940" w:type="dxa"/>
            <w:tcBorders>
              <w:top w:val="double" w:sz="6" w:space="0" w:color="000000"/>
            </w:tcBorders>
          </w:tcPr>
          <w:p>
            <w:pPr>
              <w:pStyle w:val="TableParagraph"/>
              <w:spacing w:before="108"/>
              <w:ind w:right="120"/>
              <w:jc w:val="right"/>
              <w:rPr>
                <w:sz w:val="18"/>
              </w:rPr>
            </w:pPr>
            <w:r>
              <w:rPr>
                <w:spacing w:val="-2"/>
                <w:sz w:val="18"/>
              </w:rPr>
              <w:t>-0.683402</w:t>
            </w:r>
          </w:p>
        </w:tc>
        <w:tc>
          <w:tcPr>
            <w:tcW w:w="884" w:type="dxa"/>
            <w:tcBorders>
              <w:top w:val="double" w:sz="6" w:space="0" w:color="000000"/>
            </w:tcBorders>
          </w:tcPr>
          <w:p>
            <w:pPr>
              <w:pStyle w:val="TableParagraph"/>
              <w:spacing w:before="108"/>
              <w:ind w:right="5"/>
              <w:jc w:val="right"/>
              <w:rPr>
                <w:sz w:val="18"/>
              </w:rPr>
            </w:pPr>
            <w:r>
              <w:rPr>
                <w:spacing w:val="-2"/>
                <w:sz w:val="18"/>
              </w:rPr>
              <w:t>0.5000</w:t>
            </w:r>
          </w:p>
        </w:tc>
      </w:tr>
      <w:tr>
        <w:trPr>
          <w:trHeight w:val="225" w:hRule="atLeast"/>
        </w:trPr>
        <w:tc>
          <w:tcPr>
            <w:tcW w:w="1964" w:type="dxa"/>
          </w:tcPr>
          <w:p>
            <w:pPr>
              <w:pStyle w:val="TableParagraph"/>
              <w:ind w:left="311"/>
              <w:rPr>
                <w:sz w:val="18"/>
              </w:rPr>
            </w:pPr>
            <w:r>
              <w:rPr>
                <w:spacing w:val="-2"/>
                <w:sz w:val="18"/>
              </w:rPr>
              <w:t>D(CPS_GDP(-</w:t>
            </w:r>
            <w:r>
              <w:rPr>
                <w:spacing w:val="-5"/>
                <w:sz w:val="18"/>
              </w:rPr>
              <w:t>1))</w:t>
            </w:r>
          </w:p>
        </w:tc>
        <w:tc>
          <w:tcPr>
            <w:tcW w:w="1251" w:type="dxa"/>
          </w:tcPr>
          <w:p>
            <w:pPr>
              <w:pStyle w:val="TableParagraph"/>
              <w:ind w:right="103"/>
              <w:jc w:val="right"/>
              <w:rPr>
                <w:sz w:val="18"/>
              </w:rPr>
            </w:pPr>
            <w:r>
              <w:rPr>
                <w:spacing w:val="-2"/>
                <w:sz w:val="18"/>
              </w:rPr>
              <w:t>0.303319</w:t>
            </w:r>
          </w:p>
        </w:tc>
        <w:tc>
          <w:tcPr>
            <w:tcW w:w="1491" w:type="dxa"/>
          </w:tcPr>
          <w:p>
            <w:pPr>
              <w:pStyle w:val="TableParagraph"/>
              <w:ind w:left="351"/>
              <w:rPr>
                <w:sz w:val="18"/>
              </w:rPr>
            </w:pPr>
            <w:r>
              <w:rPr>
                <w:spacing w:val="-2"/>
                <w:sz w:val="18"/>
              </w:rPr>
              <w:t>0.173858</w:t>
            </w:r>
          </w:p>
        </w:tc>
        <w:tc>
          <w:tcPr>
            <w:tcW w:w="940" w:type="dxa"/>
          </w:tcPr>
          <w:p>
            <w:pPr>
              <w:pStyle w:val="TableParagraph"/>
              <w:ind w:right="120"/>
              <w:jc w:val="right"/>
              <w:rPr>
                <w:sz w:val="18"/>
              </w:rPr>
            </w:pPr>
            <w:r>
              <w:rPr>
                <w:spacing w:val="-2"/>
                <w:sz w:val="18"/>
              </w:rPr>
              <w:t>1.744638</w:t>
            </w:r>
          </w:p>
        </w:tc>
        <w:tc>
          <w:tcPr>
            <w:tcW w:w="884" w:type="dxa"/>
          </w:tcPr>
          <w:p>
            <w:pPr>
              <w:pStyle w:val="TableParagraph"/>
              <w:ind w:right="5"/>
              <w:jc w:val="right"/>
              <w:rPr>
                <w:sz w:val="18"/>
              </w:rPr>
            </w:pPr>
            <w:r>
              <w:rPr>
                <w:spacing w:val="-2"/>
                <w:sz w:val="18"/>
              </w:rPr>
              <w:t>0.0920</w:t>
            </w:r>
          </w:p>
        </w:tc>
      </w:tr>
      <w:tr>
        <w:trPr>
          <w:trHeight w:val="225" w:hRule="atLeast"/>
        </w:trPr>
        <w:tc>
          <w:tcPr>
            <w:tcW w:w="1964" w:type="dxa"/>
          </w:tcPr>
          <w:p>
            <w:pPr>
              <w:pStyle w:val="TableParagraph"/>
              <w:ind w:left="311"/>
              <w:rPr>
                <w:sz w:val="18"/>
              </w:rPr>
            </w:pPr>
            <w:r>
              <w:rPr>
                <w:spacing w:val="-2"/>
                <w:sz w:val="18"/>
              </w:rPr>
              <w:t>D(CPS_GDP(-</w:t>
            </w:r>
            <w:r>
              <w:rPr>
                <w:spacing w:val="-5"/>
                <w:sz w:val="18"/>
              </w:rPr>
              <w:t>2))</w:t>
            </w:r>
          </w:p>
        </w:tc>
        <w:tc>
          <w:tcPr>
            <w:tcW w:w="1251" w:type="dxa"/>
          </w:tcPr>
          <w:p>
            <w:pPr>
              <w:pStyle w:val="TableParagraph"/>
              <w:ind w:right="103"/>
              <w:jc w:val="right"/>
              <w:rPr>
                <w:sz w:val="18"/>
              </w:rPr>
            </w:pPr>
            <w:r>
              <w:rPr>
                <w:spacing w:val="-2"/>
                <w:sz w:val="18"/>
              </w:rPr>
              <w:t>-0.383191</w:t>
            </w:r>
          </w:p>
        </w:tc>
        <w:tc>
          <w:tcPr>
            <w:tcW w:w="1491" w:type="dxa"/>
          </w:tcPr>
          <w:p>
            <w:pPr>
              <w:pStyle w:val="TableParagraph"/>
              <w:ind w:left="351"/>
              <w:rPr>
                <w:sz w:val="18"/>
              </w:rPr>
            </w:pPr>
            <w:r>
              <w:rPr>
                <w:spacing w:val="-2"/>
                <w:sz w:val="18"/>
              </w:rPr>
              <w:t>0.178160</w:t>
            </w:r>
          </w:p>
        </w:tc>
        <w:tc>
          <w:tcPr>
            <w:tcW w:w="940" w:type="dxa"/>
          </w:tcPr>
          <w:p>
            <w:pPr>
              <w:pStyle w:val="TableParagraph"/>
              <w:ind w:right="120"/>
              <w:jc w:val="right"/>
              <w:rPr>
                <w:sz w:val="18"/>
              </w:rPr>
            </w:pPr>
            <w:r>
              <w:rPr>
                <w:spacing w:val="-2"/>
                <w:sz w:val="18"/>
              </w:rPr>
              <w:t>-2.150818</w:t>
            </w:r>
          </w:p>
        </w:tc>
        <w:tc>
          <w:tcPr>
            <w:tcW w:w="884" w:type="dxa"/>
          </w:tcPr>
          <w:p>
            <w:pPr>
              <w:pStyle w:val="TableParagraph"/>
              <w:ind w:right="5"/>
              <w:jc w:val="right"/>
              <w:rPr>
                <w:sz w:val="18"/>
              </w:rPr>
            </w:pPr>
            <w:r>
              <w:rPr>
                <w:spacing w:val="-2"/>
                <w:sz w:val="18"/>
              </w:rPr>
              <w:t>0.0403</w:t>
            </w:r>
          </w:p>
        </w:tc>
      </w:tr>
      <w:tr>
        <w:trPr>
          <w:trHeight w:val="301" w:hRule="atLeast"/>
        </w:trPr>
        <w:tc>
          <w:tcPr>
            <w:tcW w:w="1964" w:type="dxa"/>
            <w:tcBorders>
              <w:bottom w:val="double" w:sz="6" w:space="0" w:color="000000"/>
            </w:tcBorders>
          </w:tcPr>
          <w:p>
            <w:pPr>
              <w:pStyle w:val="TableParagraph"/>
              <w:spacing w:line="240" w:lineRule="auto"/>
              <w:ind w:left="52"/>
              <w:jc w:val="center"/>
              <w:rPr>
                <w:sz w:val="18"/>
              </w:rPr>
            </w:pPr>
            <w:r>
              <w:rPr>
                <w:spacing w:val="-10"/>
                <w:sz w:val="18"/>
              </w:rPr>
              <w:t>C</w:t>
            </w:r>
          </w:p>
        </w:tc>
        <w:tc>
          <w:tcPr>
            <w:tcW w:w="1251" w:type="dxa"/>
            <w:tcBorders>
              <w:bottom w:val="double" w:sz="6" w:space="0" w:color="000000"/>
            </w:tcBorders>
          </w:tcPr>
          <w:p>
            <w:pPr>
              <w:pStyle w:val="TableParagraph"/>
              <w:spacing w:line="240" w:lineRule="auto"/>
              <w:ind w:right="103"/>
              <w:jc w:val="right"/>
              <w:rPr>
                <w:sz w:val="18"/>
              </w:rPr>
            </w:pPr>
            <w:r>
              <w:rPr>
                <w:spacing w:val="-2"/>
                <w:sz w:val="18"/>
              </w:rPr>
              <w:t>0.977053</w:t>
            </w:r>
          </w:p>
        </w:tc>
        <w:tc>
          <w:tcPr>
            <w:tcW w:w="1491" w:type="dxa"/>
            <w:tcBorders>
              <w:bottom w:val="double" w:sz="6" w:space="0" w:color="000000"/>
            </w:tcBorders>
          </w:tcPr>
          <w:p>
            <w:pPr>
              <w:pStyle w:val="TableParagraph"/>
              <w:spacing w:line="240" w:lineRule="auto"/>
              <w:ind w:left="351"/>
              <w:rPr>
                <w:sz w:val="18"/>
              </w:rPr>
            </w:pPr>
            <w:r>
              <w:rPr>
                <w:spacing w:val="-2"/>
                <w:sz w:val="18"/>
              </w:rPr>
              <w:t>0.977921</w:t>
            </w:r>
          </w:p>
        </w:tc>
        <w:tc>
          <w:tcPr>
            <w:tcW w:w="940" w:type="dxa"/>
            <w:tcBorders>
              <w:bottom w:val="double" w:sz="6" w:space="0" w:color="000000"/>
            </w:tcBorders>
          </w:tcPr>
          <w:p>
            <w:pPr>
              <w:pStyle w:val="TableParagraph"/>
              <w:spacing w:line="240" w:lineRule="auto"/>
              <w:ind w:right="120"/>
              <w:jc w:val="right"/>
              <w:rPr>
                <w:sz w:val="18"/>
              </w:rPr>
            </w:pPr>
            <w:r>
              <w:rPr>
                <w:spacing w:val="-2"/>
                <w:sz w:val="18"/>
              </w:rPr>
              <w:t>0.999112</w:t>
            </w:r>
          </w:p>
        </w:tc>
        <w:tc>
          <w:tcPr>
            <w:tcW w:w="884" w:type="dxa"/>
            <w:tcBorders>
              <w:bottom w:val="double" w:sz="6" w:space="0" w:color="000000"/>
            </w:tcBorders>
          </w:tcPr>
          <w:p>
            <w:pPr>
              <w:pStyle w:val="TableParagraph"/>
              <w:spacing w:line="240" w:lineRule="auto"/>
              <w:ind w:right="5"/>
              <w:jc w:val="right"/>
              <w:rPr>
                <w:sz w:val="18"/>
              </w:rPr>
            </w:pPr>
            <w:r>
              <w:rPr>
                <w:spacing w:val="-2"/>
                <w:sz w:val="18"/>
              </w:rPr>
              <w:t>0.3263</w:t>
            </w:r>
          </w:p>
        </w:tc>
      </w:tr>
      <w:tr>
        <w:trPr>
          <w:trHeight w:val="328" w:hRule="atLeast"/>
        </w:trPr>
        <w:tc>
          <w:tcPr>
            <w:tcW w:w="1964" w:type="dxa"/>
            <w:tcBorders>
              <w:top w:val="double" w:sz="6" w:space="0" w:color="000000"/>
            </w:tcBorders>
          </w:tcPr>
          <w:p>
            <w:pPr>
              <w:pStyle w:val="TableParagraph"/>
              <w:spacing w:before="108"/>
              <w:rPr>
                <w:sz w:val="18"/>
              </w:rPr>
            </w:pPr>
            <w:r>
              <w:rPr>
                <w:spacing w:val="-2"/>
                <w:sz w:val="18"/>
              </w:rPr>
              <w:t>R-squared</w:t>
            </w:r>
          </w:p>
        </w:tc>
        <w:tc>
          <w:tcPr>
            <w:tcW w:w="1251" w:type="dxa"/>
            <w:tcBorders>
              <w:top w:val="double" w:sz="6" w:space="0" w:color="000000"/>
            </w:tcBorders>
          </w:tcPr>
          <w:p>
            <w:pPr>
              <w:pStyle w:val="TableParagraph"/>
              <w:spacing w:before="108"/>
              <w:ind w:right="103"/>
              <w:jc w:val="right"/>
              <w:rPr>
                <w:sz w:val="18"/>
              </w:rPr>
            </w:pPr>
            <w:r>
              <w:rPr>
                <w:spacing w:val="-2"/>
                <w:sz w:val="18"/>
              </w:rPr>
              <w:t>0.219941</w:t>
            </w:r>
          </w:p>
        </w:tc>
        <w:tc>
          <w:tcPr>
            <w:tcW w:w="2431" w:type="dxa"/>
            <w:gridSpan w:val="2"/>
            <w:tcBorders>
              <w:top w:val="double" w:sz="6" w:space="0" w:color="000000"/>
            </w:tcBorders>
          </w:tcPr>
          <w:p>
            <w:pPr>
              <w:pStyle w:val="TableParagraph"/>
              <w:spacing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before="108"/>
              <w:ind w:right="5"/>
              <w:jc w:val="right"/>
              <w:rPr>
                <w:sz w:val="18"/>
              </w:rPr>
            </w:pPr>
            <w:r>
              <w:rPr>
                <w:spacing w:val="-2"/>
                <w:sz w:val="18"/>
              </w:rPr>
              <w:t>0.317990</w:t>
            </w:r>
          </w:p>
        </w:tc>
      </w:tr>
      <w:tr>
        <w:trPr>
          <w:trHeight w:val="225" w:hRule="atLeast"/>
        </w:trPr>
        <w:tc>
          <w:tcPr>
            <w:tcW w:w="1964" w:type="dxa"/>
          </w:tcPr>
          <w:p>
            <w:pPr>
              <w:pStyle w:val="TableParagraph"/>
              <w:rPr>
                <w:sz w:val="18"/>
              </w:rPr>
            </w:pPr>
            <w:r>
              <w:rPr>
                <w:sz w:val="18"/>
              </w:rPr>
              <w:t>Adjusted</w:t>
            </w:r>
            <w:r>
              <w:rPr>
                <w:spacing w:val="-9"/>
                <w:sz w:val="18"/>
              </w:rPr>
              <w:t> </w:t>
            </w:r>
            <w:r>
              <w:rPr>
                <w:sz w:val="18"/>
              </w:rPr>
              <w:t>R-</w:t>
            </w:r>
            <w:r>
              <w:rPr>
                <w:spacing w:val="-2"/>
                <w:sz w:val="18"/>
              </w:rPr>
              <w:t>squared</w:t>
            </w:r>
          </w:p>
        </w:tc>
        <w:tc>
          <w:tcPr>
            <w:tcW w:w="1251" w:type="dxa"/>
          </w:tcPr>
          <w:p>
            <w:pPr>
              <w:pStyle w:val="TableParagraph"/>
              <w:ind w:right="103"/>
              <w:jc w:val="right"/>
              <w:rPr>
                <w:sz w:val="18"/>
              </w:rPr>
            </w:pPr>
            <w:r>
              <w:rPr>
                <w:spacing w:val="-2"/>
                <w:sz w:val="18"/>
              </w:rPr>
              <w:t>0.136363</w:t>
            </w:r>
          </w:p>
        </w:tc>
        <w:tc>
          <w:tcPr>
            <w:tcW w:w="2431" w:type="dxa"/>
            <w:gridSpan w:val="2"/>
          </w:tcPr>
          <w:p>
            <w:pPr>
              <w:pStyle w:val="TableParagraph"/>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ind w:right="5"/>
              <w:jc w:val="right"/>
              <w:rPr>
                <w:sz w:val="18"/>
              </w:rPr>
            </w:pPr>
            <w:r>
              <w:rPr>
                <w:spacing w:val="-2"/>
                <w:sz w:val="18"/>
              </w:rPr>
              <w:t>2.415569</w:t>
            </w:r>
          </w:p>
        </w:tc>
      </w:tr>
      <w:tr>
        <w:trPr>
          <w:trHeight w:val="224" w:hRule="atLeast"/>
        </w:trPr>
        <w:tc>
          <w:tcPr>
            <w:tcW w:w="1964" w:type="dxa"/>
          </w:tcPr>
          <w:p>
            <w:pPr>
              <w:pStyle w:val="TableParagraph"/>
              <w:spacing w:line="198" w:lineRule="exact"/>
              <w:rPr>
                <w:sz w:val="18"/>
              </w:rPr>
            </w:pPr>
            <w:r>
              <w:rPr>
                <w:sz w:val="18"/>
              </w:rPr>
              <w:t>S.E.</w:t>
            </w:r>
            <w:r>
              <w:rPr>
                <w:spacing w:val="-2"/>
                <w:sz w:val="18"/>
              </w:rPr>
              <w:t> </w:t>
            </w:r>
            <w:r>
              <w:rPr>
                <w:sz w:val="18"/>
              </w:rPr>
              <w:t>of </w:t>
            </w:r>
            <w:r>
              <w:rPr>
                <w:spacing w:val="-2"/>
                <w:sz w:val="18"/>
              </w:rPr>
              <w:t>regression</w:t>
            </w:r>
          </w:p>
        </w:tc>
        <w:tc>
          <w:tcPr>
            <w:tcW w:w="1251" w:type="dxa"/>
          </w:tcPr>
          <w:p>
            <w:pPr>
              <w:pStyle w:val="TableParagraph"/>
              <w:spacing w:line="198" w:lineRule="exact"/>
              <w:ind w:right="103"/>
              <w:jc w:val="right"/>
              <w:rPr>
                <w:sz w:val="18"/>
              </w:rPr>
            </w:pPr>
            <w:r>
              <w:rPr>
                <w:spacing w:val="-2"/>
                <w:sz w:val="18"/>
              </w:rPr>
              <w:t>2.244838</w:t>
            </w:r>
          </w:p>
        </w:tc>
        <w:tc>
          <w:tcPr>
            <w:tcW w:w="2431" w:type="dxa"/>
            <w:gridSpan w:val="2"/>
          </w:tcPr>
          <w:p>
            <w:pPr>
              <w:pStyle w:val="TableParagraph"/>
              <w:spacing w:line="198" w:lineRule="exact"/>
              <w:ind w:left="107"/>
              <w:rPr>
                <w:sz w:val="18"/>
              </w:rPr>
            </w:pPr>
            <w:r>
              <w:rPr>
                <w:sz w:val="18"/>
              </w:rPr>
              <w:t>Akaike</w:t>
            </w:r>
            <w:r>
              <w:rPr>
                <w:spacing w:val="-3"/>
                <w:sz w:val="18"/>
              </w:rPr>
              <w:t> </w:t>
            </w:r>
            <w:r>
              <w:rPr>
                <w:sz w:val="18"/>
              </w:rPr>
              <w:t>info</w:t>
            </w:r>
            <w:r>
              <w:rPr>
                <w:spacing w:val="-2"/>
                <w:sz w:val="18"/>
              </w:rPr>
              <w:t> criterion</w:t>
            </w:r>
          </w:p>
        </w:tc>
        <w:tc>
          <w:tcPr>
            <w:tcW w:w="884" w:type="dxa"/>
          </w:tcPr>
          <w:p>
            <w:pPr>
              <w:pStyle w:val="TableParagraph"/>
              <w:spacing w:line="198" w:lineRule="exact"/>
              <w:ind w:right="5"/>
              <w:jc w:val="right"/>
              <w:rPr>
                <w:sz w:val="18"/>
              </w:rPr>
            </w:pPr>
            <w:r>
              <w:rPr>
                <w:spacing w:val="-2"/>
                <w:sz w:val="18"/>
              </w:rPr>
              <w:t>4.571612</w:t>
            </w:r>
          </w:p>
        </w:tc>
      </w:tr>
      <w:tr>
        <w:trPr>
          <w:trHeight w:val="224" w:hRule="atLeast"/>
        </w:trPr>
        <w:tc>
          <w:tcPr>
            <w:tcW w:w="1964" w:type="dxa"/>
          </w:tcPr>
          <w:p>
            <w:pPr>
              <w:pStyle w:val="TableParagraph"/>
              <w:spacing w:before="5"/>
              <w:rPr>
                <w:sz w:val="18"/>
              </w:rPr>
            </w:pPr>
            <w:r>
              <w:rPr>
                <w:sz w:val="18"/>
              </w:rPr>
              <w:t>Sum</w:t>
            </w:r>
            <w:r>
              <w:rPr>
                <w:spacing w:val="-4"/>
                <w:sz w:val="18"/>
              </w:rPr>
              <w:t> </w:t>
            </w:r>
            <w:r>
              <w:rPr>
                <w:sz w:val="18"/>
              </w:rPr>
              <w:t>squared</w:t>
            </w:r>
            <w:r>
              <w:rPr>
                <w:spacing w:val="-2"/>
                <w:sz w:val="18"/>
              </w:rPr>
              <w:t> </w:t>
            </w:r>
            <w:r>
              <w:rPr>
                <w:spacing w:val="-4"/>
                <w:sz w:val="18"/>
              </w:rPr>
              <w:t>resid</w:t>
            </w:r>
          </w:p>
        </w:tc>
        <w:tc>
          <w:tcPr>
            <w:tcW w:w="1251" w:type="dxa"/>
          </w:tcPr>
          <w:p>
            <w:pPr>
              <w:pStyle w:val="TableParagraph"/>
              <w:spacing w:before="5"/>
              <w:ind w:right="103"/>
              <w:jc w:val="right"/>
              <w:rPr>
                <w:sz w:val="18"/>
              </w:rPr>
            </w:pPr>
            <w:r>
              <w:rPr>
                <w:spacing w:val="-2"/>
                <w:sz w:val="18"/>
              </w:rPr>
              <w:t>141.1003</w:t>
            </w:r>
          </w:p>
        </w:tc>
        <w:tc>
          <w:tcPr>
            <w:tcW w:w="1491" w:type="dxa"/>
          </w:tcPr>
          <w:p>
            <w:pPr>
              <w:pStyle w:val="TableParagraph"/>
              <w:spacing w:before="5"/>
              <w:ind w:left="107"/>
              <w:rPr>
                <w:sz w:val="18"/>
              </w:rPr>
            </w:pPr>
            <w:r>
              <w:rPr>
                <w:sz w:val="18"/>
              </w:rPr>
              <w:t>Schwarz</w:t>
            </w:r>
            <w:r>
              <w:rPr>
                <w:spacing w:val="-4"/>
                <w:sz w:val="18"/>
              </w:rPr>
              <w:t> </w:t>
            </w:r>
            <w:r>
              <w:rPr>
                <w:spacing w:val="-2"/>
                <w:sz w:val="18"/>
              </w:rPr>
              <w:t>criterion</w:t>
            </w:r>
          </w:p>
        </w:tc>
        <w:tc>
          <w:tcPr>
            <w:tcW w:w="940" w:type="dxa"/>
          </w:tcPr>
          <w:p>
            <w:pPr>
              <w:pStyle w:val="TableParagraph"/>
              <w:spacing w:line="240" w:lineRule="auto" w:before="0"/>
              <w:rPr>
                <w:rFonts w:ascii="Times New Roman"/>
                <w:sz w:val="16"/>
              </w:rPr>
            </w:pPr>
          </w:p>
        </w:tc>
        <w:tc>
          <w:tcPr>
            <w:tcW w:w="884" w:type="dxa"/>
          </w:tcPr>
          <w:p>
            <w:pPr>
              <w:pStyle w:val="TableParagraph"/>
              <w:spacing w:before="5"/>
              <w:ind w:right="5"/>
              <w:jc w:val="right"/>
              <w:rPr>
                <w:sz w:val="18"/>
              </w:rPr>
            </w:pPr>
            <w:r>
              <w:rPr>
                <w:spacing w:val="-2"/>
                <w:sz w:val="18"/>
              </w:rPr>
              <w:t>4.754829</w:t>
            </w:r>
          </w:p>
        </w:tc>
      </w:tr>
      <w:tr>
        <w:trPr>
          <w:trHeight w:val="225" w:hRule="atLeast"/>
        </w:trPr>
        <w:tc>
          <w:tcPr>
            <w:tcW w:w="1964" w:type="dxa"/>
          </w:tcPr>
          <w:p>
            <w:pPr>
              <w:pStyle w:val="TableParagraph"/>
              <w:rPr>
                <w:sz w:val="18"/>
              </w:rPr>
            </w:pPr>
            <w:r>
              <w:rPr>
                <w:sz w:val="18"/>
              </w:rPr>
              <w:t>Log</w:t>
            </w:r>
            <w:r>
              <w:rPr>
                <w:spacing w:val="-3"/>
                <w:sz w:val="18"/>
              </w:rPr>
              <w:t> </w:t>
            </w:r>
            <w:r>
              <w:rPr>
                <w:spacing w:val="-2"/>
                <w:sz w:val="18"/>
              </w:rPr>
              <w:t>likelihood</w:t>
            </w:r>
          </w:p>
        </w:tc>
        <w:tc>
          <w:tcPr>
            <w:tcW w:w="1251" w:type="dxa"/>
          </w:tcPr>
          <w:p>
            <w:pPr>
              <w:pStyle w:val="TableParagraph"/>
              <w:ind w:right="103"/>
              <w:jc w:val="right"/>
              <w:rPr>
                <w:sz w:val="18"/>
              </w:rPr>
            </w:pPr>
            <w:r>
              <w:rPr>
                <w:spacing w:val="-2"/>
                <w:sz w:val="18"/>
              </w:rPr>
              <w:t>-69.14580</w:t>
            </w:r>
          </w:p>
        </w:tc>
        <w:tc>
          <w:tcPr>
            <w:tcW w:w="2431" w:type="dxa"/>
            <w:gridSpan w:val="2"/>
          </w:tcPr>
          <w:p>
            <w:pPr>
              <w:pStyle w:val="TableParagraph"/>
              <w:ind w:left="107"/>
              <w:rPr>
                <w:sz w:val="18"/>
              </w:rPr>
            </w:pPr>
            <w:r>
              <w:rPr>
                <w:spacing w:val="-2"/>
                <w:sz w:val="18"/>
              </w:rPr>
              <w:t>Hannan-Quinn</w:t>
            </w:r>
            <w:r>
              <w:rPr>
                <w:spacing w:val="11"/>
                <w:sz w:val="18"/>
              </w:rPr>
              <w:t> </w:t>
            </w:r>
            <w:r>
              <w:rPr>
                <w:spacing w:val="-2"/>
                <w:sz w:val="18"/>
              </w:rPr>
              <w:t>criter.</w:t>
            </w:r>
          </w:p>
        </w:tc>
        <w:tc>
          <w:tcPr>
            <w:tcW w:w="884" w:type="dxa"/>
          </w:tcPr>
          <w:p>
            <w:pPr>
              <w:pStyle w:val="TableParagraph"/>
              <w:ind w:right="5"/>
              <w:jc w:val="right"/>
              <w:rPr>
                <w:sz w:val="18"/>
              </w:rPr>
            </w:pPr>
            <w:r>
              <w:rPr>
                <w:spacing w:val="-2"/>
                <w:sz w:val="18"/>
              </w:rPr>
              <w:t>4.632344</w:t>
            </w:r>
          </w:p>
        </w:tc>
      </w:tr>
      <w:tr>
        <w:trPr>
          <w:trHeight w:val="225" w:hRule="atLeast"/>
        </w:trPr>
        <w:tc>
          <w:tcPr>
            <w:tcW w:w="1964" w:type="dxa"/>
          </w:tcPr>
          <w:p>
            <w:pPr>
              <w:pStyle w:val="TableParagraph"/>
              <w:rPr>
                <w:sz w:val="18"/>
              </w:rPr>
            </w:pPr>
            <w:r>
              <w:rPr>
                <w:spacing w:val="-2"/>
                <w:sz w:val="18"/>
              </w:rPr>
              <w:t>F-statistic</w:t>
            </w:r>
          </w:p>
        </w:tc>
        <w:tc>
          <w:tcPr>
            <w:tcW w:w="1251" w:type="dxa"/>
          </w:tcPr>
          <w:p>
            <w:pPr>
              <w:pStyle w:val="TableParagraph"/>
              <w:ind w:right="103"/>
              <w:jc w:val="right"/>
              <w:rPr>
                <w:sz w:val="18"/>
              </w:rPr>
            </w:pPr>
            <w:r>
              <w:rPr>
                <w:spacing w:val="-2"/>
                <w:sz w:val="18"/>
              </w:rPr>
              <w:t>2.631574</w:t>
            </w:r>
          </w:p>
        </w:tc>
        <w:tc>
          <w:tcPr>
            <w:tcW w:w="2431" w:type="dxa"/>
            <w:gridSpan w:val="2"/>
          </w:tcPr>
          <w:p>
            <w:pPr>
              <w:pStyle w:val="TableParagraph"/>
              <w:ind w:left="107"/>
              <w:rPr>
                <w:sz w:val="18"/>
              </w:rPr>
            </w:pPr>
            <w:r>
              <w:rPr>
                <w:spacing w:val="-2"/>
                <w:sz w:val="18"/>
              </w:rPr>
              <w:t>Durbin-Watson</w:t>
            </w:r>
            <w:r>
              <w:rPr>
                <w:spacing w:val="13"/>
                <w:sz w:val="18"/>
              </w:rPr>
              <w:t> </w:t>
            </w:r>
            <w:r>
              <w:rPr>
                <w:spacing w:val="-4"/>
                <w:sz w:val="18"/>
              </w:rPr>
              <w:t>stat</w:t>
            </w:r>
          </w:p>
        </w:tc>
        <w:tc>
          <w:tcPr>
            <w:tcW w:w="884" w:type="dxa"/>
          </w:tcPr>
          <w:p>
            <w:pPr>
              <w:pStyle w:val="TableParagraph"/>
              <w:ind w:right="5"/>
              <w:jc w:val="right"/>
              <w:rPr>
                <w:sz w:val="18"/>
              </w:rPr>
            </w:pPr>
            <w:r>
              <w:rPr>
                <w:spacing w:val="-2"/>
                <w:sz w:val="18"/>
              </w:rPr>
              <w:t>2.065440</w:t>
            </w:r>
          </w:p>
        </w:tc>
      </w:tr>
      <w:tr>
        <w:trPr>
          <w:trHeight w:val="301" w:hRule="atLeast"/>
        </w:trPr>
        <w:tc>
          <w:tcPr>
            <w:tcW w:w="1964" w:type="dxa"/>
            <w:tcBorders>
              <w:bottom w:val="double" w:sz="6" w:space="0" w:color="000000"/>
            </w:tcBorders>
          </w:tcPr>
          <w:p>
            <w:pPr>
              <w:pStyle w:val="TableParagraph"/>
              <w:spacing w:line="240" w:lineRule="auto"/>
              <w:rPr>
                <w:sz w:val="18"/>
              </w:rPr>
            </w:pPr>
            <w:r>
              <w:rPr>
                <w:spacing w:val="-2"/>
                <w:sz w:val="18"/>
              </w:rPr>
              <w:t>Prob(F-statistic)</w:t>
            </w:r>
          </w:p>
        </w:tc>
        <w:tc>
          <w:tcPr>
            <w:tcW w:w="1251" w:type="dxa"/>
            <w:tcBorders>
              <w:bottom w:val="double" w:sz="6" w:space="0" w:color="000000"/>
            </w:tcBorders>
          </w:tcPr>
          <w:p>
            <w:pPr>
              <w:pStyle w:val="TableParagraph"/>
              <w:spacing w:line="240" w:lineRule="auto"/>
              <w:ind w:right="103"/>
              <w:jc w:val="right"/>
              <w:rPr>
                <w:sz w:val="18"/>
              </w:rPr>
            </w:pPr>
            <w:r>
              <w:rPr>
                <w:spacing w:val="-2"/>
                <w:sz w:val="18"/>
              </w:rPr>
              <w:t>0.069557</w:t>
            </w:r>
          </w:p>
        </w:tc>
        <w:tc>
          <w:tcPr>
            <w:tcW w:w="2431" w:type="dxa"/>
            <w:gridSpan w:val="2"/>
            <w:tcBorders>
              <w:bottom w:val="double" w:sz="6" w:space="0" w:color="000000"/>
            </w:tcBorders>
          </w:tcPr>
          <w:p>
            <w:pPr>
              <w:pStyle w:val="TableParagraph"/>
              <w:spacing w:line="240" w:lineRule="auto" w:before="0"/>
              <w:rPr>
                <w:rFonts w:ascii="Times New Roman"/>
                <w:sz w:val="18"/>
              </w:rPr>
            </w:pPr>
          </w:p>
        </w:tc>
        <w:tc>
          <w:tcPr>
            <w:tcW w:w="884"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37856">
                <wp:simplePos x="0" y="0"/>
                <wp:positionH relativeFrom="page">
                  <wp:posOffset>950112</wp:posOffset>
                </wp:positionH>
                <wp:positionV relativeFrom="page">
                  <wp:posOffset>5495962</wp:posOffset>
                </wp:positionV>
                <wp:extent cx="2223770" cy="2362200"/>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78624" id="docshape273"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38368">
                <wp:simplePos x="0" y="0"/>
                <wp:positionH relativeFrom="page">
                  <wp:posOffset>2872486</wp:posOffset>
                </wp:positionH>
                <wp:positionV relativeFrom="page">
                  <wp:posOffset>2197353</wp:posOffset>
                </wp:positionV>
                <wp:extent cx="3583304" cy="3612515"/>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78112" id="docshape274"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2"/>
        <w:gridCol w:w="1213"/>
        <w:gridCol w:w="1491"/>
        <w:gridCol w:w="940"/>
        <w:gridCol w:w="884"/>
      </w:tblGrid>
      <w:tr>
        <w:trPr>
          <w:trHeight w:val="213" w:hRule="atLeast"/>
        </w:trPr>
        <w:tc>
          <w:tcPr>
            <w:tcW w:w="6530" w:type="dxa"/>
            <w:gridSpan w:val="5"/>
          </w:tcPr>
          <w:p>
            <w:pPr>
              <w:pStyle w:val="TableParagraph"/>
              <w:spacing w:line="193" w:lineRule="exact" w:before="0"/>
              <w:rPr>
                <w:sz w:val="18"/>
              </w:rPr>
            </w:pPr>
            <w:r>
              <w:rPr>
                <w:sz w:val="18"/>
              </w:rPr>
              <w:t>Null</w:t>
            </w:r>
            <w:r>
              <w:rPr>
                <w:spacing w:val="-5"/>
                <w:sz w:val="18"/>
              </w:rPr>
              <w:t> </w:t>
            </w:r>
            <w:r>
              <w:rPr>
                <w:sz w:val="18"/>
              </w:rPr>
              <w:t>Hypothesis:</w:t>
            </w:r>
            <w:r>
              <w:rPr>
                <w:spacing w:val="-5"/>
                <w:sz w:val="18"/>
              </w:rPr>
              <w:t> </w:t>
            </w:r>
            <w:r>
              <w:rPr>
                <w:sz w:val="18"/>
              </w:rPr>
              <w:t>D(CPS_GDP)</w:t>
            </w:r>
            <w:r>
              <w:rPr>
                <w:spacing w:val="-4"/>
                <w:sz w:val="18"/>
              </w:rPr>
              <w:t> </w:t>
            </w:r>
            <w:r>
              <w:rPr>
                <w:sz w:val="18"/>
              </w:rPr>
              <w:t>has</w:t>
            </w:r>
            <w:r>
              <w:rPr>
                <w:spacing w:val="-6"/>
                <w:sz w:val="18"/>
              </w:rPr>
              <w:t> </w:t>
            </w:r>
            <w:r>
              <w:rPr>
                <w:sz w:val="18"/>
              </w:rPr>
              <w:t>a</w:t>
            </w:r>
            <w:r>
              <w:rPr>
                <w:spacing w:val="-4"/>
                <w:sz w:val="18"/>
              </w:rPr>
              <w:t> </w:t>
            </w:r>
            <w:r>
              <w:rPr>
                <w:sz w:val="18"/>
              </w:rPr>
              <w:t>unit</w:t>
            </w:r>
            <w:r>
              <w:rPr>
                <w:spacing w:val="-5"/>
                <w:sz w:val="18"/>
              </w:rPr>
              <w:t> </w:t>
            </w:r>
            <w:r>
              <w:rPr>
                <w:spacing w:val="-4"/>
                <w:sz w:val="18"/>
              </w:rPr>
              <w:t>root</w:t>
            </w:r>
          </w:p>
        </w:tc>
      </w:tr>
      <w:tr>
        <w:trPr>
          <w:trHeight w:val="224" w:hRule="atLeast"/>
        </w:trPr>
        <w:tc>
          <w:tcPr>
            <w:tcW w:w="2002" w:type="dxa"/>
          </w:tcPr>
          <w:p>
            <w:pPr>
              <w:pStyle w:val="TableParagraph"/>
              <w:spacing w:line="198" w:lineRule="exact"/>
              <w:rPr>
                <w:sz w:val="18"/>
              </w:rPr>
            </w:pPr>
            <w:r>
              <w:rPr>
                <w:sz w:val="18"/>
              </w:rPr>
              <w:t>Exogenous:</w:t>
            </w:r>
            <w:r>
              <w:rPr>
                <w:spacing w:val="-3"/>
                <w:sz w:val="18"/>
              </w:rPr>
              <w:t> </w:t>
            </w:r>
            <w:r>
              <w:rPr>
                <w:spacing w:val="-2"/>
                <w:sz w:val="18"/>
              </w:rPr>
              <w:t>Constant</w:t>
            </w:r>
          </w:p>
        </w:tc>
        <w:tc>
          <w:tcPr>
            <w:tcW w:w="1213"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302" w:hRule="atLeast"/>
        </w:trPr>
        <w:tc>
          <w:tcPr>
            <w:tcW w:w="6530" w:type="dxa"/>
            <w:gridSpan w:val="5"/>
            <w:tcBorders>
              <w:bottom w:val="double" w:sz="6" w:space="0" w:color="000000"/>
            </w:tcBorders>
          </w:tcPr>
          <w:p>
            <w:pPr>
              <w:pStyle w:val="TableParagraph"/>
              <w:spacing w:line="240" w:lineRule="auto" w:before="5"/>
              <w:rPr>
                <w:sz w:val="18"/>
              </w:rPr>
            </w:pPr>
            <w:r>
              <w:rPr>
                <w:sz w:val="18"/>
              </w:rPr>
              <w:t>Lag</w:t>
            </w:r>
            <w:r>
              <w:rPr>
                <w:spacing w:val="-4"/>
                <w:sz w:val="18"/>
              </w:rPr>
              <w:t> </w:t>
            </w:r>
            <w:r>
              <w:rPr>
                <w:sz w:val="18"/>
              </w:rPr>
              <w:t>Length:</w:t>
            </w:r>
            <w:r>
              <w:rPr>
                <w:spacing w:val="-2"/>
                <w:sz w:val="18"/>
              </w:rPr>
              <w:t> </w:t>
            </w:r>
            <w:r>
              <w:rPr>
                <w:sz w:val="18"/>
              </w:rPr>
              <w:t>1</w:t>
            </w:r>
            <w:r>
              <w:rPr>
                <w:spacing w:val="-2"/>
                <w:sz w:val="18"/>
              </w:rPr>
              <w:t> </w:t>
            </w:r>
            <w:r>
              <w:rPr>
                <w:sz w:val="18"/>
              </w:rPr>
              <w:t>(Automatic</w:t>
            </w:r>
            <w:r>
              <w:rPr>
                <w:spacing w:val="1"/>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maxlag=8)</w:t>
            </w:r>
          </w:p>
        </w:tc>
      </w:tr>
      <w:tr>
        <w:trPr>
          <w:trHeight w:val="403" w:hRule="atLeast"/>
        </w:trPr>
        <w:tc>
          <w:tcPr>
            <w:tcW w:w="2002"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213"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1" w:type="dxa"/>
            <w:gridSpan w:val="2"/>
            <w:tcBorders>
              <w:top w:val="double" w:sz="6" w:space="0" w:color="000000"/>
              <w:bottom w:val="double" w:sz="6" w:space="0" w:color="000000"/>
            </w:tcBorders>
          </w:tcPr>
          <w:p>
            <w:pPr>
              <w:pStyle w:val="TableParagraph"/>
              <w:spacing w:line="240" w:lineRule="auto" w:before="108"/>
              <w:ind w:left="1343"/>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8"/>
              <w:ind w:left="186"/>
              <w:rPr>
                <w:sz w:val="18"/>
              </w:rPr>
            </w:pPr>
            <w:r>
              <w:rPr>
                <w:spacing w:val="-2"/>
                <w:sz w:val="18"/>
              </w:rPr>
              <w:t>Prob.*</w:t>
            </w:r>
          </w:p>
        </w:tc>
      </w:tr>
      <w:tr>
        <w:trPr>
          <w:trHeight w:val="315" w:hRule="atLeast"/>
        </w:trPr>
        <w:tc>
          <w:tcPr>
            <w:tcW w:w="3215"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31" w:type="dxa"/>
            <w:gridSpan w:val="2"/>
            <w:tcBorders>
              <w:top w:val="double" w:sz="6" w:space="0" w:color="000000"/>
              <w:bottom w:val="single" w:sz="6" w:space="0" w:color="000000"/>
            </w:tcBorders>
          </w:tcPr>
          <w:p>
            <w:pPr>
              <w:pStyle w:val="TableParagraph"/>
              <w:spacing w:line="187" w:lineRule="exact" w:before="108"/>
              <w:ind w:left="1307"/>
              <w:rPr>
                <w:sz w:val="18"/>
              </w:rPr>
            </w:pPr>
            <w:r>
              <w:rPr>
                <w:spacing w:val="-2"/>
                <w:sz w:val="18"/>
              </w:rPr>
              <w:t>-5.317146</w:t>
            </w:r>
          </w:p>
        </w:tc>
        <w:tc>
          <w:tcPr>
            <w:tcW w:w="884" w:type="dxa"/>
            <w:tcBorders>
              <w:top w:val="double" w:sz="6" w:space="0" w:color="000000"/>
              <w:bottom w:val="single" w:sz="6" w:space="0" w:color="000000"/>
            </w:tcBorders>
          </w:tcPr>
          <w:p>
            <w:pPr>
              <w:pStyle w:val="TableParagraph"/>
              <w:spacing w:line="187" w:lineRule="exact" w:before="108"/>
              <w:ind w:left="136"/>
              <w:rPr>
                <w:sz w:val="18"/>
              </w:rPr>
            </w:pPr>
            <w:r>
              <w:rPr>
                <w:spacing w:val="-2"/>
                <w:sz w:val="18"/>
              </w:rPr>
              <w:t>0.0001</w:t>
            </w:r>
          </w:p>
        </w:tc>
      </w:tr>
      <w:tr>
        <w:trPr>
          <w:trHeight w:val="237" w:hRule="atLeast"/>
        </w:trPr>
        <w:tc>
          <w:tcPr>
            <w:tcW w:w="2002"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213" w:type="dxa"/>
            <w:tcBorders>
              <w:top w:val="single" w:sz="6" w:space="0" w:color="000000"/>
            </w:tcBorders>
          </w:tcPr>
          <w:p>
            <w:pPr>
              <w:pStyle w:val="TableParagraph"/>
              <w:spacing w:before="18"/>
              <w:ind w:left="225"/>
              <w:rPr>
                <w:sz w:val="18"/>
              </w:rPr>
            </w:pPr>
            <w:r>
              <w:rPr>
                <w:sz w:val="18"/>
              </w:rPr>
              <w:t>1%</w:t>
            </w:r>
            <w:r>
              <w:rPr>
                <w:spacing w:val="-3"/>
                <w:sz w:val="18"/>
              </w:rPr>
              <w:t> </w:t>
            </w:r>
            <w:r>
              <w:rPr>
                <w:spacing w:val="-2"/>
                <w:sz w:val="18"/>
              </w:rPr>
              <w:t>level</w:t>
            </w:r>
          </w:p>
        </w:tc>
        <w:tc>
          <w:tcPr>
            <w:tcW w:w="2431" w:type="dxa"/>
            <w:gridSpan w:val="2"/>
            <w:tcBorders>
              <w:top w:val="single" w:sz="6" w:space="0" w:color="000000"/>
            </w:tcBorders>
          </w:tcPr>
          <w:p>
            <w:pPr>
              <w:pStyle w:val="TableParagraph"/>
              <w:spacing w:before="18"/>
              <w:ind w:left="1307"/>
              <w:rPr>
                <w:sz w:val="18"/>
              </w:rPr>
            </w:pPr>
            <w:r>
              <w:rPr>
                <w:spacing w:val="-2"/>
                <w:sz w:val="18"/>
              </w:rPr>
              <w:t>-3.653730</w:t>
            </w:r>
          </w:p>
        </w:tc>
        <w:tc>
          <w:tcPr>
            <w:tcW w:w="884"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2002" w:type="dxa"/>
          </w:tcPr>
          <w:p>
            <w:pPr>
              <w:pStyle w:val="TableParagraph"/>
              <w:spacing w:line="240" w:lineRule="auto" w:before="0"/>
              <w:rPr>
                <w:rFonts w:ascii="Times New Roman"/>
                <w:sz w:val="16"/>
              </w:rPr>
            </w:pPr>
          </w:p>
        </w:tc>
        <w:tc>
          <w:tcPr>
            <w:tcW w:w="1213" w:type="dxa"/>
          </w:tcPr>
          <w:p>
            <w:pPr>
              <w:pStyle w:val="TableParagraph"/>
              <w:ind w:left="225"/>
              <w:rPr>
                <w:sz w:val="18"/>
              </w:rPr>
            </w:pPr>
            <w:r>
              <w:rPr>
                <w:sz w:val="18"/>
              </w:rPr>
              <w:t>5%</w:t>
            </w:r>
            <w:r>
              <w:rPr>
                <w:spacing w:val="-3"/>
                <w:sz w:val="18"/>
              </w:rPr>
              <w:t> </w:t>
            </w:r>
            <w:r>
              <w:rPr>
                <w:spacing w:val="-2"/>
                <w:sz w:val="18"/>
              </w:rPr>
              <w:t>level</w:t>
            </w:r>
          </w:p>
        </w:tc>
        <w:tc>
          <w:tcPr>
            <w:tcW w:w="2431" w:type="dxa"/>
            <w:gridSpan w:val="2"/>
          </w:tcPr>
          <w:p>
            <w:pPr>
              <w:pStyle w:val="TableParagraph"/>
              <w:ind w:left="1307"/>
              <w:rPr>
                <w:sz w:val="18"/>
              </w:rPr>
            </w:pPr>
            <w:r>
              <w:rPr>
                <w:spacing w:val="-2"/>
                <w:sz w:val="18"/>
              </w:rPr>
              <w:t>-2.957110</w:t>
            </w:r>
          </w:p>
        </w:tc>
        <w:tc>
          <w:tcPr>
            <w:tcW w:w="884" w:type="dxa"/>
          </w:tcPr>
          <w:p>
            <w:pPr>
              <w:pStyle w:val="TableParagraph"/>
              <w:spacing w:line="240" w:lineRule="auto" w:before="0"/>
              <w:rPr>
                <w:rFonts w:ascii="Times New Roman"/>
                <w:sz w:val="16"/>
              </w:rPr>
            </w:pPr>
          </w:p>
        </w:tc>
      </w:tr>
      <w:tr>
        <w:trPr>
          <w:trHeight w:val="301" w:hRule="atLeast"/>
        </w:trPr>
        <w:tc>
          <w:tcPr>
            <w:tcW w:w="2002" w:type="dxa"/>
            <w:tcBorders>
              <w:bottom w:val="double" w:sz="6" w:space="0" w:color="000000"/>
            </w:tcBorders>
          </w:tcPr>
          <w:p>
            <w:pPr>
              <w:pStyle w:val="TableParagraph"/>
              <w:spacing w:line="240" w:lineRule="auto" w:before="0"/>
              <w:rPr>
                <w:rFonts w:ascii="Times New Roman"/>
                <w:sz w:val="18"/>
              </w:rPr>
            </w:pPr>
          </w:p>
        </w:tc>
        <w:tc>
          <w:tcPr>
            <w:tcW w:w="1213" w:type="dxa"/>
            <w:tcBorders>
              <w:bottom w:val="double" w:sz="6" w:space="0" w:color="000000"/>
            </w:tcBorders>
          </w:tcPr>
          <w:p>
            <w:pPr>
              <w:pStyle w:val="TableParagraph"/>
              <w:spacing w:line="240" w:lineRule="auto"/>
              <w:ind w:left="174"/>
              <w:rPr>
                <w:sz w:val="18"/>
              </w:rPr>
            </w:pPr>
            <w:r>
              <w:rPr>
                <w:sz w:val="18"/>
              </w:rPr>
              <w:t>10%</w:t>
            </w:r>
            <w:r>
              <w:rPr>
                <w:spacing w:val="-4"/>
                <w:sz w:val="18"/>
              </w:rPr>
              <w:t> </w:t>
            </w:r>
            <w:r>
              <w:rPr>
                <w:spacing w:val="-2"/>
                <w:sz w:val="18"/>
              </w:rPr>
              <w:t>level</w:t>
            </w:r>
          </w:p>
        </w:tc>
        <w:tc>
          <w:tcPr>
            <w:tcW w:w="2431" w:type="dxa"/>
            <w:gridSpan w:val="2"/>
            <w:tcBorders>
              <w:bottom w:val="double" w:sz="6" w:space="0" w:color="000000"/>
            </w:tcBorders>
          </w:tcPr>
          <w:p>
            <w:pPr>
              <w:pStyle w:val="TableParagraph"/>
              <w:spacing w:line="240" w:lineRule="auto"/>
              <w:ind w:left="1307"/>
              <w:rPr>
                <w:sz w:val="18"/>
              </w:rPr>
            </w:pPr>
            <w:r>
              <w:rPr>
                <w:spacing w:val="-2"/>
                <w:sz w:val="18"/>
              </w:rPr>
              <w:t>-2.617434</w:t>
            </w:r>
          </w:p>
        </w:tc>
        <w:tc>
          <w:tcPr>
            <w:tcW w:w="884" w:type="dxa"/>
            <w:tcBorders>
              <w:bottom w:val="double" w:sz="6" w:space="0" w:color="000000"/>
            </w:tcBorders>
          </w:tcPr>
          <w:p>
            <w:pPr>
              <w:pStyle w:val="TableParagraph"/>
              <w:spacing w:line="240" w:lineRule="auto" w:before="0"/>
              <w:rPr>
                <w:rFonts w:ascii="Times New Roman"/>
                <w:sz w:val="18"/>
              </w:rPr>
            </w:pPr>
          </w:p>
        </w:tc>
      </w:tr>
      <w:tr>
        <w:trPr>
          <w:trHeight w:val="553" w:hRule="atLeast"/>
        </w:trPr>
        <w:tc>
          <w:tcPr>
            <w:tcW w:w="6530"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0"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5"/>
                <w:sz w:val="18"/>
              </w:rPr>
              <w:t> </w:t>
            </w:r>
            <w:r>
              <w:rPr>
                <w:spacing w:val="-2"/>
                <w:sz w:val="18"/>
              </w:rPr>
              <w:t>Equation</w:t>
            </w:r>
          </w:p>
        </w:tc>
      </w:tr>
      <w:tr>
        <w:trPr>
          <w:trHeight w:val="224" w:hRule="atLeast"/>
        </w:trPr>
        <w:tc>
          <w:tcPr>
            <w:tcW w:w="6530"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D(CPS_GDP,2)</w:t>
            </w:r>
          </w:p>
        </w:tc>
      </w:tr>
      <w:tr>
        <w:trPr>
          <w:trHeight w:val="225" w:hRule="atLeast"/>
        </w:trPr>
        <w:tc>
          <w:tcPr>
            <w:tcW w:w="2002"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213"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225" w:hRule="atLeast"/>
        </w:trPr>
        <w:tc>
          <w:tcPr>
            <w:tcW w:w="6530" w:type="dxa"/>
            <w:gridSpan w:val="5"/>
          </w:tcPr>
          <w:p>
            <w:pPr>
              <w:pStyle w:val="TableParagraph"/>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06:18</w:t>
            </w:r>
          </w:p>
        </w:tc>
      </w:tr>
      <w:tr>
        <w:trPr>
          <w:trHeight w:val="224" w:hRule="atLeast"/>
        </w:trPr>
        <w:tc>
          <w:tcPr>
            <w:tcW w:w="6530"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1989</w:t>
            </w:r>
            <w:r>
              <w:rPr>
                <w:spacing w:val="-4"/>
                <w:sz w:val="18"/>
              </w:rPr>
              <w:t> 2020</w:t>
            </w:r>
          </w:p>
        </w:tc>
      </w:tr>
      <w:tr>
        <w:trPr>
          <w:trHeight w:val="302" w:hRule="atLeast"/>
        </w:trPr>
        <w:tc>
          <w:tcPr>
            <w:tcW w:w="6530"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32</w:t>
            </w:r>
            <w:r>
              <w:rPr>
                <w:spacing w:val="-5"/>
                <w:sz w:val="18"/>
              </w:rPr>
              <w:t> </w:t>
            </w:r>
            <w:r>
              <w:rPr>
                <w:sz w:val="18"/>
              </w:rPr>
              <w:t>after</w:t>
            </w:r>
            <w:r>
              <w:rPr>
                <w:spacing w:val="-2"/>
                <w:sz w:val="18"/>
              </w:rPr>
              <w:t> adjustments</w:t>
            </w:r>
          </w:p>
        </w:tc>
      </w:tr>
      <w:tr>
        <w:trPr>
          <w:trHeight w:val="403" w:hRule="atLeast"/>
        </w:trPr>
        <w:tc>
          <w:tcPr>
            <w:tcW w:w="2002"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213" w:type="dxa"/>
            <w:tcBorders>
              <w:top w:val="double" w:sz="6" w:space="0" w:color="000000"/>
              <w:bottom w:val="double" w:sz="6" w:space="0" w:color="000000"/>
            </w:tcBorders>
          </w:tcPr>
          <w:p>
            <w:pPr>
              <w:pStyle w:val="TableParagraph"/>
              <w:spacing w:line="240" w:lineRule="auto" w:before="108"/>
              <w:ind w:right="103"/>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8"/>
              <w:ind w:left="332"/>
              <w:rPr>
                <w:sz w:val="18"/>
              </w:rPr>
            </w:pPr>
            <w:r>
              <w:rPr>
                <w:sz w:val="18"/>
              </w:rPr>
              <w:t>Std.</w:t>
            </w:r>
            <w:r>
              <w:rPr>
                <w:spacing w:val="-2"/>
                <w:sz w:val="18"/>
              </w:rPr>
              <w:t> Error</w:t>
            </w:r>
          </w:p>
        </w:tc>
        <w:tc>
          <w:tcPr>
            <w:tcW w:w="940" w:type="dxa"/>
            <w:tcBorders>
              <w:top w:val="double" w:sz="6" w:space="0" w:color="000000"/>
              <w:bottom w:val="double" w:sz="6" w:space="0" w:color="000000"/>
            </w:tcBorders>
          </w:tcPr>
          <w:p>
            <w:pPr>
              <w:pStyle w:val="TableParagraph"/>
              <w:spacing w:line="240" w:lineRule="auto" w:before="108"/>
              <w:ind w:right="120"/>
              <w:jc w:val="right"/>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8"/>
              <w:ind w:left="345"/>
              <w:rPr>
                <w:sz w:val="18"/>
              </w:rPr>
            </w:pPr>
            <w:r>
              <w:rPr>
                <w:spacing w:val="-2"/>
                <w:sz w:val="18"/>
              </w:rPr>
              <w:t>Prob.</w:t>
            </w:r>
          </w:p>
        </w:tc>
      </w:tr>
      <w:tr>
        <w:trPr>
          <w:trHeight w:val="327" w:hRule="atLeast"/>
        </w:trPr>
        <w:tc>
          <w:tcPr>
            <w:tcW w:w="2002" w:type="dxa"/>
            <w:tcBorders>
              <w:top w:val="double" w:sz="6" w:space="0" w:color="000000"/>
            </w:tcBorders>
          </w:tcPr>
          <w:p>
            <w:pPr>
              <w:pStyle w:val="TableParagraph"/>
              <w:spacing w:before="108"/>
              <w:ind w:left="311"/>
              <w:rPr>
                <w:sz w:val="18"/>
              </w:rPr>
            </w:pPr>
            <w:r>
              <w:rPr>
                <w:spacing w:val="-2"/>
                <w:sz w:val="18"/>
              </w:rPr>
              <w:t>D(CPS_GDP(-</w:t>
            </w:r>
            <w:r>
              <w:rPr>
                <w:spacing w:val="-5"/>
                <w:sz w:val="18"/>
              </w:rPr>
              <w:t>1))</w:t>
            </w:r>
          </w:p>
        </w:tc>
        <w:tc>
          <w:tcPr>
            <w:tcW w:w="1213" w:type="dxa"/>
            <w:tcBorders>
              <w:top w:val="double" w:sz="6" w:space="0" w:color="000000"/>
            </w:tcBorders>
          </w:tcPr>
          <w:p>
            <w:pPr>
              <w:pStyle w:val="TableParagraph"/>
              <w:spacing w:before="108"/>
              <w:ind w:right="103"/>
              <w:jc w:val="right"/>
              <w:rPr>
                <w:sz w:val="18"/>
              </w:rPr>
            </w:pPr>
            <w:r>
              <w:rPr>
                <w:spacing w:val="-2"/>
                <w:sz w:val="18"/>
              </w:rPr>
              <w:t>-1.138094</w:t>
            </w:r>
          </w:p>
        </w:tc>
        <w:tc>
          <w:tcPr>
            <w:tcW w:w="1491" w:type="dxa"/>
            <w:tcBorders>
              <w:top w:val="double" w:sz="6" w:space="0" w:color="000000"/>
            </w:tcBorders>
          </w:tcPr>
          <w:p>
            <w:pPr>
              <w:pStyle w:val="TableParagraph"/>
              <w:spacing w:before="108"/>
              <w:ind w:left="351"/>
              <w:rPr>
                <w:sz w:val="18"/>
              </w:rPr>
            </w:pPr>
            <w:r>
              <w:rPr>
                <w:spacing w:val="-2"/>
                <w:sz w:val="18"/>
              </w:rPr>
              <w:t>0.214042</w:t>
            </w:r>
          </w:p>
        </w:tc>
        <w:tc>
          <w:tcPr>
            <w:tcW w:w="940" w:type="dxa"/>
            <w:tcBorders>
              <w:top w:val="double" w:sz="6" w:space="0" w:color="000000"/>
            </w:tcBorders>
          </w:tcPr>
          <w:p>
            <w:pPr>
              <w:pStyle w:val="TableParagraph"/>
              <w:spacing w:before="108"/>
              <w:ind w:right="120"/>
              <w:jc w:val="right"/>
              <w:rPr>
                <w:sz w:val="18"/>
              </w:rPr>
            </w:pPr>
            <w:r>
              <w:rPr>
                <w:spacing w:val="-2"/>
                <w:sz w:val="18"/>
              </w:rPr>
              <w:t>-5.317146</w:t>
            </w:r>
          </w:p>
        </w:tc>
        <w:tc>
          <w:tcPr>
            <w:tcW w:w="884" w:type="dxa"/>
            <w:tcBorders>
              <w:top w:val="double" w:sz="6" w:space="0" w:color="000000"/>
            </w:tcBorders>
          </w:tcPr>
          <w:p>
            <w:pPr>
              <w:pStyle w:val="TableParagraph"/>
              <w:spacing w:before="108"/>
              <w:ind w:right="5"/>
              <w:jc w:val="right"/>
              <w:rPr>
                <w:sz w:val="18"/>
              </w:rPr>
            </w:pPr>
            <w:r>
              <w:rPr>
                <w:spacing w:val="-2"/>
                <w:sz w:val="18"/>
              </w:rPr>
              <w:t>0.0000</w:t>
            </w:r>
          </w:p>
        </w:tc>
      </w:tr>
      <w:tr>
        <w:trPr>
          <w:trHeight w:val="225" w:hRule="atLeast"/>
        </w:trPr>
        <w:tc>
          <w:tcPr>
            <w:tcW w:w="2002" w:type="dxa"/>
          </w:tcPr>
          <w:p>
            <w:pPr>
              <w:pStyle w:val="TableParagraph"/>
              <w:ind w:left="237"/>
              <w:rPr>
                <w:sz w:val="18"/>
              </w:rPr>
            </w:pPr>
            <w:r>
              <w:rPr>
                <w:spacing w:val="-2"/>
                <w:sz w:val="18"/>
              </w:rPr>
              <w:t>D(CPS_GDP(-1),2)</w:t>
            </w:r>
          </w:p>
        </w:tc>
        <w:tc>
          <w:tcPr>
            <w:tcW w:w="1213" w:type="dxa"/>
          </w:tcPr>
          <w:p>
            <w:pPr>
              <w:pStyle w:val="TableParagraph"/>
              <w:ind w:right="103"/>
              <w:jc w:val="right"/>
              <w:rPr>
                <w:sz w:val="18"/>
              </w:rPr>
            </w:pPr>
            <w:r>
              <w:rPr>
                <w:spacing w:val="-2"/>
                <w:sz w:val="18"/>
              </w:rPr>
              <w:t>0.418602</w:t>
            </w:r>
          </w:p>
        </w:tc>
        <w:tc>
          <w:tcPr>
            <w:tcW w:w="1491" w:type="dxa"/>
          </w:tcPr>
          <w:p>
            <w:pPr>
              <w:pStyle w:val="TableParagraph"/>
              <w:ind w:left="351"/>
              <w:rPr>
                <w:sz w:val="18"/>
              </w:rPr>
            </w:pPr>
            <w:r>
              <w:rPr>
                <w:spacing w:val="-2"/>
                <w:sz w:val="18"/>
              </w:rPr>
              <w:t>0.168885</w:t>
            </w:r>
          </w:p>
        </w:tc>
        <w:tc>
          <w:tcPr>
            <w:tcW w:w="940" w:type="dxa"/>
          </w:tcPr>
          <w:p>
            <w:pPr>
              <w:pStyle w:val="TableParagraph"/>
              <w:ind w:right="120"/>
              <w:jc w:val="right"/>
              <w:rPr>
                <w:sz w:val="18"/>
              </w:rPr>
            </w:pPr>
            <w:r>
              <w:rPr>
                <w:spacing w:val="-2"/>
                <w:sz w:val="18"/>
              </w:rPr>
              <w:t>2.478619</w:t>
            </w:r>
          </w:p>
        </w:tc>
        <w:tc>
          <w:tcPr>
            <w:tcW w:w="884" w:type="dxa"/>
          </w:tcPr>
          <w:p>
            <w:pPr>
              <w:pStyle w:val="TableParagraph"/>
              <w:ind w:right="5"/>
              <w:jc w:val="right"/>
              <w:rPr>
                <w:sz w:val="18"/>
              </w:rPr>
            </w:pPr>
            <w:r>
              <w:rPr>
                <w:spacing w:val="-2"/>
                <w:sz w:val="18"/>
              </w:rPr>
              <w:t>0.0193</w:t>
            </w:r>
          </w:p>
        </w:tc>
      </w:tr>
      <w:tr>
        <w:trPr>
          <w:trHeight w:val="301" w:hRule="atLeast"/>
        </w:trPr>
        <w:tc>
          <w:tcPr>
            <w:tcW w:w="2002" w:type="dxa"/>
            <w:tcBorders>
              <w:bottom w:val="double" w:sz="6" w:space="0" w:color="000000"/>
            </w:tcBorders>
          </w:tcPr>
          <w:p>
            <w:pPr>
              <w:pStyle w:val="TableParagraph"/>
              <w:spacing w:line="240" w:lineRule="auto"/>
              <w:ind w:left="14"/>
              <w:jc w:val="center"/>
              <w:rPr>
                <w:sz w:val="18"/>
              </w:rPr>
            </w:pPr>
            <w:r>
              <w:rPr>
                <w:spacing w:val="-10"/>
                <w:sz w:val="18"/>
              </w:rPr>
              <w:t>C</w:t>
            </w:r>
          </w:p>
        </w:tc>
        <w:tc>
          <w:tcPr>
            <w:tcW w:w="1213" w:type="dxa"/>
            <w:tcBorders>
              <w:bottom w:val="double" w:sz="6" w:space="0" w:color="000000"/>
            </w:tcBorders>
          </w:tcPr>
          <w:p>
            <w:pPr>
              <w:pStyle w:val="TableParagraph"/>
              <w:spacing w:line="240" w:lineRule="auto"/>
              <w:ind w:right="103"/>
              <w:jc w:val="right"/>
              <w:rPr>
                <w:sz w:val="18"/>
              </w:rPr>
            </w:pPr>
            <w:r>
              <w:rPr>
                <w:spacing w:val="-2"/>
                <w:sz w:val="18"/>
              </w:rPr>
              <w:t>0.367794</w:t>
            </w:r>
          </w:p>
        </w:tc>
        <w:tc>
          <w:tcPr>
            <w:tcW w:w="1491" w:type="dxa"/>
            <w:tcBorders>
              <w:bottom w:val="double" w:sz="6" w:space="0" w:color="000000"/>
            </w:tcBorders>
          </w:tcPr>
          <w:p>
            <w:pPr>
              <w:pStyle w:val="TableParagraph"/>
              <w:spacing w:line="240" w:lineRule="auto"/>
              <w:ind w:left="351"/>
              <w:rPr>
                <w:sz w:val="18"/>
              </w:rPr>
            </w:pPr>
            <w:r>
              <w:rPr>
                <w:spacing w:val="-2"/>
                <w:sz w:val="18"/>
              </w:rPr>
              <w:t>0.398214</w:t>
            </w:r>
          </w:p>
        </w:tc>
        <w:tc>
          <w:tcPr>
            <w:tcW w:w="940" w:type="dxa"/>
            <w:tcBorders>
              <w:bottom w:val="double" w:sz="6" w:space="0" w:color="000000"/>
            </w:tcBorders>
          </w:tcPr>
          <w:p>
            <w:pPr>
              <w:pStyle w:val="TableParagraph"/>
              <w:spacing w:line="240" w:lineRule="auto"/>
              <w:ind w:right="120"/>
              <w:jc w:val="right"/>
              <w:rPr>
                <w:sz w:val="18"/>
              </w:rPr>
            </w:pPr>
            <w:r>
              <w:rPr>
                <w:spacing w:val="-2"/>
                <w:sz w:val="18"/>
              </w:rPr>
              <w:t>0.923609</w:t>
            </w:r>
          </w:p>
        </w:tc>
        <w:tc>
          <w:tcPr>
            <w:tcW w:w="884" w:type="dxa"/>
            <w:tcBorders>
              <w:bottom w:val="double" w:sz="6" w:space="0" w:color="000000"/>
            </w:tcBorders>
          </w:tcPr>
          <w:p>
            <w:pPr>
              <w:pStyle w:val="TableParagraph"/>
              <w:spacing w:line="240" w:lineRule="auto"/>
              <w:ind w:right="5"/>
              <w:jc w:val="right"/>
              <w:rPr>
                <w:sz w:val="18"/>
              </w:rPr>
            </w:pPr>
            <w:r>
              <w:rPr>
                <w:spacing w:val="-2"/>
                <w:sz w:val="18"/>
              </w:rPr>
              <w:t>0.3633</w:t>
            </w:r>
          </w:p>
        </w:tc>
      </w:tr>
      <w:tr>
        <w:trPr>
          <w:trHeight w:val="327" w:hRule="atLeast"/>
        </w:trPr>
        <w:tc>
          <w:tcPr>
            <w:tcW w:w="2002" w:type="dxa"/>
            <w:tcBorders>
              <w:top w:val="double" w:sz="6" w:space="0" w:color="000000"/>
            </w:tcBorders>
          </w:tcPr>
          <w:p>
            <w:pPr>
              <w:pStyle w:val="TableParagraph"/>
              <w:spacing w:before="108"/>
              <w:rPr>
                <w:sz w:val="18"/>
              </w:rPr>
            </w:pPr>
            <w:r>
              <w:rPr>
                <w:spacing w:val="-2"/>
                <w:sz w:val="18"/>
              </w:rPr>
              <w:t>R-squared</w:t>
            </w:r>
          </w:p>
        </w:tc>
        <w:tc>
          <w:tcPr>
            <w:tcW w:w="1213" w:type="dxa"/>
            <w:tcBorders>
              <w:top w:val="double" w:sz="6" w:space="0" w:color="000000"/>
            </w:tcBorders>
          </w:tcPr>
          <w:p>
            <w:pPr>
              <w:pStyle w:val="TableParagraph"/>
              <w:spacing w:before="108"/>
              <w:ind w:right="103"/>
              <w:jc w:val="right"/>
              <w:rPr>
                <w:sz w:val="18"/>
              </w:rPr>
            </w:pPr>
            <w:r>
              <w:rPr>
                <w:spacing w:val="-2"/>
                <w:sz w:val="18"/>
              </w:rPr>
              <w:t>0.504983</w:t>
            </w:r>
          </w:p>
        </w:tc>
        <w:tc>
          <w:tcPr>
            <w:tcW w:w="2431" w:type="dxa"/>
            <w:gridSpan w:val="2"/>
            <w:tcBorders>
              <w:top w:val="double" w:sz="6" w:space="0" w:color="000000"/>
            </w:tcBorders>
          </w:tcPr>
          <w:p>
            <w:pPr>
              <w:pStyle w:val="TableParagraph"/>
              <w:spacing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before="108"/>
              <w:ind w:right="5"/>
              <w:jc w:val="right"/>
              <w:rPr>
                <w:sz w:val="18"/>
              </w:rPr>
            </w:pPr>
            <w:r>
              <w:rPr>
                <w:spacing w:val="-2"/>
                <w:sz w:val="18"/>
              </w:rPr>
              <w:t>0.036305</w:t>
            </w:r>
          </w:p>
        </w:tc>
      </w:tr>
      <w:tr>
        <w:trPr>
          <w:trHeight w:val="225" w:hRule="atLeast"/>
        </w:trPr>
        <w:tc>
          <w:tcPr>
            <w:tcW w:w="2002" w:type="dxa"/>
          </w:tcPr>
          <w:p>
            <w:pPr>
              <w:pStyle w:val="TableParagraph"/>
              <w:rPr>
                <w:sz w:val="18"/>
              </w:rPr>
            </w:pPr>
            <w:r>
              <w:rPr>
                <w:sz w:val="18"/>
              </w:rPr>
              <w:t>Adjusted</w:t>
            </w:r>
            <w:r>
              <w:rPr>
                <w:spacing w:val="-9"/>
                <w:sz w:val="18"/>
              </w:rPr>
              <w:t> </w:t>
            </w:r>
            <w:r>
              <w:rPr>
                <w:sz w:val="18"/>
              </w:rPr>
              <w:t>R-</w:t>
            </w:r>
            <w:r>
              <w:rPr>
                <w:spacing w:val="-2"/>
                <w:sz w:val="18"/>
              </w:rPr>
              <w:t>squared</w:t>
            </w:r>
          </w:p>
        </w:tc>
        <w:tc>
          <w:tcPr>
            <w:tcW w:w="1213" w:type="dxa"/>
          </w:tcPr>
          <w:p>
            <w:pPr>
              <w:pStyle w:val="TableParagraph"/>
              <w:ind w:right="103"/>
              <w:jc w:val="right"/>
              <w:rPr>
                <w:sz w:val="18"/>
              </w:rPr>
            </w:pPr>
            <w:r>
              <w:rPr>
                <w:spacing w:val="-2"/>
                <w:sz w:val="18"/>
              </w:rPr>
              <w:t>0.470844</w:t>
            </w:r>
          </w:p>
        </w:tc>
        <w:tc>
          <w:tcPr>
            <w:tcW w:w="2431" w:type="dxa"/>
            <w:gridSpan w:val="2"/>
          </w:tcPr>
          <w:p>
            <w:pPr>
              <w:pStyle w:val="TableParagraph"/>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ind w:right="5"/>
              <w:jc w:val="right"/>
              <w:rPr>
                <w:sz w:val="18"/>
              </w:rPr>
            </w:pPr>
            <w:r>
              <w:rPr>
                <w:spacing w:val="-2"/>
                <w:sz w:val="18"/>
              </w:rPr>
              <w:t>3.057493</w:t>
            </w:r>
          </w:p>
        </w:tc>
      </w:tr>
      <w:tr>
        <w:trPr>
          <w:trHeight w:val="225" w:hRule="atLeast"/>
        </w:trPr>
        <w:tc>
          <w:tcPr>
            <w:tcW w:w="2002" w:type="dxa"/>
          </w:tcPr>
          <w:p>
            <w:pPr>
              <w:pStyle w:val="TableParagraph"/>
              <w:rPr>
                <w:sz w:val="18"/>
              </w:rPr>
            </w:pPr>
            <w:r>
              <w:rPr>
                <w:sz w:val="18"/>
              </w:rPr>
              <w:t>S.E.</w:t>
            </w:r>
            <w:r>
              <w:rPr>
                <w:spacing w:val="-2"/>
                <w:sz w:val="18"/>
              </w:rPr>
              <w:t> </w:t>
            </w:r>
            <w:r>
              <w:rPr>
                <w:sz w:val="18"/>
              </w:rPr>
              <w:t>of </w:t>
            </w:r>
            <w:r>
              <w:rPr>
                <w:spacing w:val="-2"/>
                <w:sz w:val="18"/>
              </w:rPr>
              <w:t>regression</w:t>
            </w:r>
          </w:p>
        </w:tc>
        <w:tc>
          <w:tcPr>
            <w:tcW w:w="1213" w:type="dxa"/>
          </w:tcPr>
          <w:p>
            <w:pPr>
              <w:pStyle w:val="TableParagraph"/>
              <w:ind w:right="103"/>
              <w:jc w:val="right"/>
              <w:rPr>
                <w:sz w:val="18"/>
              </w:rPr>
            </w:pPr>
            <w:r>
              <w:rPr>
                <w:spacing w:val="-2"/>
                <w:sz w:val="18"/>
              </w:rPr>
              <w:t>2.224115</w:t>
            </w:r>
          </w:p>
        </w:tc>
        <w:tc>
          <w:tcPr>
            <w:tcW w:w="2431" w:type="dxa"/>
            <w:gridSpan w:val="2"/>
          </w:tcPr>
          <w:p>
            <w:pPr>
              <w:pStyle w:val="TableParagraph"/>
              <w:ind w:left="107"/>
              <w:rPr>
                <w:sz w:val="18"/>
              </w:rPr>
            </w:pPr>
            <w:r>
              <w:rPr>
                <w:sz w:val="18"/>
              </w:rPr>
              <w:t>Akaike</w:t>
            </w:r>
            <w:r>
              <w:rPr>
                <w:spacing w:val="-3"/>
                <w:sz w:val="18"/>
              </w:rPr>
              <w:t> </w:t>
            </w:r>
            <w:r>
              <w:rPr>
                <w:sz w:val="18"/>
              </w:rPr>
              <w:t>info</w:t>
            </w:r>
            <w:r>
              <w:rPr>
                <w:spacing w:val="-2"/>
                <w:sz w:val="18"/>
              </w:rPr>
              <w:t> criterion</w:t>
            </w:r>
          </w:p>
        </w:tc>
        <w:tc>
          <w:tcPr>
            <w:tcW w:w="884" w:type="dxa"/>
          </w:tcPr>
          <w:p>
            <w:pPr>
              <w:pStyle w:val="TableParagraph"/>
              <w:ind w:right="5"/>
              <w:jc w:val="right"/>
              <w:rPr>
                <w:sz w:val="18"/>
              </w:rPr>
            </w:pPr>
            <w:r>
              <w:rPr>
                <w:spacing w:val="-2"/>
                <w:sz w:val="18"/>
              </w:rPr>
              <w:t>4.525655</w:t>
            </w:r>
          </w:p>
        </w:tc>
      </w:tr>
      <w:tr>
        <w:trPr>
          <w:trHeight w:val="224" w:hRule="atLeast"/>
        </w:trPr>
        <w:tc>
          <w:tcPr>
            <w:tcW w:w="2002" w:type="dxa"/>
          </w:tcPr>
          <w:p>
            <w:pPr>
              <w:pStyle w:val="TableParagraph"/>
              <w:spacing w:line="198" w:lineRule="exact"/>
              <w:rPr>
                <w:sz w:val="18"/>
              </w:rPr>
            </w:pPr>
            <w:r>
              <w:rPr>
                <w:sz w:val="18"/>
              </w:rPr>
              <w:t>Sum</w:t>
            </w:r>
            <w:r>
              <w:rPr>
                <w:spacing w:val="-4"/>
                <w:sz w:val="18"/>
              </w:rPr>
              <w:t> </w:t>
            </w:r>
            <w:r>
              <w:rPr>
                <w:sz w:val="18"/>
              </w:rPr>
              <w:t>squared</w:t>
            </w:r>
            <w:r>
              <w:rPr>
                <w:spacing w:val="-2"/>
                <w:sz w:val="18"/>
              </w:rPr>
              <w:t> </w:t>
            </w:r>
            <w:r>
              <w:rPr>
                <w:spacing w:val="-4"/>
                <w:sz w:val="18"/>
              </w:rPr>
              <w:t>resid</w:t>
            </w:r>
          </w:p>
        </w:tc>
        <w:tc>
          <w:tcPr>
            <w:tcW w:w="1213" w:type="dxa"/>
          </w:tcPr>
          <w:p>
            <w:pPr>
              <w:pStyle w:val="TableParagraph"/>
              <w:spacing w:line="198" w:lineRule="exact"/>
              <w:ind w:right="103"/>
              <w:jc w:val="right"/>
              <w:rPr>
                <w:sz w:val="18"/>
              </w:rPr>
            </w:pPr>
            <w:r>
              <w:rPr>
                <w:spacing w:val="-2"/>
                <w:sz w:val="18"/>
              </w:rPr>
              <w:t>143.4539</w:t>
            </w:r>
          </w:p>
        </w:tc>
        <w:tc>
          <w:tcPr>
            <w:tcW w:w="1491" w:type="dxa"/>
          </w:tcPr>
          <w:p>
            <w:pPr>
              <w:pStyle w:val="TableParagraph"/>
              <w:spacing w:line="198" w:lineRule="exact"/>
              <w:ind w:left="107"/>
              <w:rPr>
                <w:sz w:val="18"/>
              </w:rPr>
            </w:pPr>
            <w:r>
              <w:rPr>
                <w:sz w:val="18"/>
              </w:rPr>
              <w:t>Schwarz</w:t>
            </w:r>
            <w:r>
              <w:rPr>
                <w:spacing w:val="-4"/>
                <w:sz w:val="18"/>
              </w:rPr>
              <w:t> </w:t>
            </w:r>
            <w:r>
              <w:rPr>
                <w:spacing w:val="-2"/>
                <w:sz w:val="18"/>
              </w:rPr>
              <w:t>criterion</w:t>
            </w:r>
          </w:p>
        </w:tc>
        <w:tc>
          <w:tcPr>
            <w:tcW w:w="940" w:type="dxa"/>
          </w:tcPr>
          <w:p>
            <w:pPr>
              <w:pStyle w:val="TableParagraph"/>
              <w:spacing w:line="240" w:lineRule="auto" w:before="0"/>
              <w:rPr>
                <w:rFonts w:ascii="Times New Roman"/>
                <w:sz w:val="16"/>
              </w:rPr>
            </w:pPr>
          </w:p>
        </w:tc>
        <w:tc>
          <w:tcPr>
            <w:tcW w:w="884" w:type="dxa"/>
          </w:tcPr>
          <w:p>
            <w:pPr>
              <w:pStyle w:val="TableParagraph"/>
              <w:spacing w:line="198" w:lineRule="exact"/>
              <w:ind w:right="5"/>
              <w:jc w:val="right"/>
              <w:rPr>
                <w:sz w:val="18"/>
              </w:rPr>
            </w:pPr>
            <w:r>
              <w:rPr>
                <w:spacing w:val="-2"/>
                <w:sz w:val="18"/>
              </w:rPr>
              <w:t>4.663067</w:t>
            </w:r>
          </w:p>
        </w:tc>
      </w:tr>
      <w:tr>
        <w:trPr>
          <w:trHeight w:val="224" w:hRule="atLeast"/>
        </w:trPr>
        <w:tc>
          <w:tcPr>
            <w:tcW w:w="2002" w:type="dxa"/>
          </w:tcPr>
          <w:p>
            <w:pPr>
              <w:pStyle w:val="TableParagraph"/>
              <w:spacing w:before="5"/>
              <w:rPr>
                <w:sz w:val="18"/>
              </w:rPr>
            </w:pPr>
            <w:r>
              <w:rPr>
                <w:sz w:val="18"/>
              </w:rPr>
              <w:t>Log</w:t>
            </w:r>
            <w:r>
              <w:rPr>
                <w:spacing w:val="-3"/>
                <w:sz w:val="18"/>
              </w:rPr>
              <w:t> </w:t>
            </w:r>
            <w:r>
              <w:rPr>
                <w:spacing w:val="-2"/>
                <w:sz w:val="18"/>
              </w:rPr>
              <w:t>likelihood</w:t>
            </w:r>
          </w:p>
        </w:tc>
        <w:tc>
          <w:tcPr>
            <w:tcW w:w="1213" w:type="dxa"/>
          </w:tcPr>
          <w:p>
            <w:pPr>
              <w:pStyle w:val="TableParagraph"/>
              <w:spacing w:before="5"/>
              <w:ind w:right="103"/>
              <w:jc w:val="right"/>
              <w:rPr>
                <w:sz w:val="18"/>
              </w:rPr>
            </w:pPr>
            <w:r>
              <w:rPr>
                <w:spacing w:val="-2"/>
                <w:sz w:val="18"/>
              </w:rPr>
              <w:t>-69.41048</w:t>
            </w:r>
          </w:p>
        </w:tc>
        <w:tc>
          <w:tcPr>
            <w:tcW w:w="2431" w:type="dxa"/>
            <w:gridSpan w:val="2"/>
          </w:tcPr>
          <w:p>
            <w:pPr>
              <w:pStyle w:val="TableParagraph"/>
              <w:spacing w:before="5"/>
              <w:ind w:left="107"/>
              <w:rPr>
                <w:sz w:val="18"/>
              </w:rPr>
            </w:pPr>
            <w:r>
              <w:rPr>
                <w:spacing w:val="-2"/>
                <w:sz w:val="18"/>
              </w:rPr>
              <w:t>Hannan-Quinn</w:t>
            </w:r>
            <w:r>
              <w:rPr>
                <w:spacing w:val="11"/>
                <w:sz w:val="18"/>
              </w:rPr>
              <w:t> </w:t>
            </w:r>
            <w:r>
              <w:rPr>
                <w:spacing w:val="-2"/>
                <w:sz w:val="18"/>
              </w:rPr>
              <w:t>criter.</w:t>
            </w:r>
          </w:p>
        </w:tc>
        <w:tc>
          <w:tcPr>
            <w:tcW w:w="884" w:type="dxa"/>
          </w:tcPr>
          <w:p>
            <w:pPr>
              <w:pStyle w:val="TableParagraph"/>
              <w:spacing w:before="5"/>
              <w:ind w:right="5"/>
              <w:jc w:val="right"/>
              <w:rPr>
                <w:sz w:val="18"/>
              </w:rPr>
            </w:pPr>
            <w:r>
              <w:rPr>
                <w:spacing w:val="-2"/>
                <w:sz w:val="18"/>
              </w:rPr>
              <w:t>4.571203</w:t>
            </w:r>
          </w:p>
        </w:tc>
      </w:tr>
      <w:tr>
        <w:trPr>
          <w:trHeight w:val="225" w:hRule="atLeast"/>
        </w:trPr>
        <w:tc>
          <w:tcPr>
            <w:tcW w:w="2002" w:type="dxa"/>
          </w:tcPr>
          <w:p>
            <w:pPr>
              <w:pStyle w:val="TableParagraph"/>
              <w:rPr>
                <w:sz w:val="18"/>
              </w:rPr>
            </w:pPr>
            <w:r>
              <w:rPr>
                <w:spacing w:val="-2"/>
                <w:sz w:val="18"/>
              </w:rPr>
              <w:t>F-statistic</w:t>
            </w:r>
          </w:p>
        </w:tc>
        <w:tc>
          <w:tcPr>
            <w:tcW w:w="1213" w:type="dxa"/>
          </w:tcPr>
          <w:p>
            <w:pPr>
              <w:pStyle w:val="TableParagraph"/>
              <w:ind w:right="103"/>
              <w:jc w:val="right"/>
              <w:rPr>
                <w:sz w:val="18"/>
              </w:rPr>
            </w:pPr>
            <w:r>
              <w:rPr>
                <w:spacing w:val="-2"/>
                <w:sz w:val="18"/>
              </w:rPr>
              <w:t>14.79195</w:t>
            </w:r>
          </w:p>
        </w:tc>
        <w:tc>
          <w:tcPr>
            <w:tcW w:w="2431" w:type="dxa"/>
            <w:gridSpan w:val="2"/>
          </w:tcPr>
          <w:p>
            <w:pPr>
              <w:pStyle w:val="TableParagraph"/>
              <w:ind w:left="107"/>
              <w:rPr>
                <w:sz w:val="18"/>
              </w:rPr>
            </w:pPr>
            <w:r>
              <w:rPr>
                <w:spacing w:val="-2"/>
                <w:sz w:val="18"/>
              </w:rPr>
              <w:t>Durbin-Watson</w:t>
            </w:r>
            <w:r>
              <w:rPr>
                <w:spacing w:val="13"/>
                <w:sz w:val="18"/>
              </w:rPr>
              <w:t> </w:t>
            </w:r>
            <w:r>
              <w:rPr>
                <w:spacing w:val="-4"/>
                <w:sz w:val="18"/>
              </w:rPr>
              <w:t>stat</w:t>
            </w:r>
          </w:p>
        </w:tc>
        <w:tc>
          <w:tcPr>
            <w:tcW w:w="884" w:type="dxa"/>
          </w:tcPr>
          <w:p>
            <w:pPr>
              <w:pStyle w:val="TableParagraph"/>
              <w:ind w:right="5"/>
              <w:jc w:val="right"/>
              <w:rPr>
                <w:sz w:val="18"/>
              </w:rPr>
            </w:pPr>
            <w:r>
              <w:rPr>
                <w:spacing w:val="-2"/>
                <w:sz w:val="18"/>
              </w:rPr>
              <w:t>2.098078</w:t>
            </w:r>
          </w:p>
        </w:tc>
      </w:tr>
      <w:tr>
        <w:trPr>
          <w:trHeight w:val="301" w:hRule="atLeast"/>
        </w:trPr>
        <w:tc>
          <w:tcPr>
            <w:tcW w:w="2002" w:type="dxa"/>
            <w:tcBorders>
              <w:bottom w:val="double" w:sz="6" w:space="0" w:color="000000"/>
            </w:tcBorders>
          </w:tcPr>
          <w:p>
            <w:pPr>
              <w:pStyle w:val="TableParagraph"/>
              <w:spacing w:line="240" w:lineRule="auto"/>
              <w:rPr>
                <w:sz w:val="18"/>
              </w:rPr>
            </w:pPr>
            <w:r>
              <w:rPr>
                <w:spacing w:val="-2"/>
                <w:sz w:val="18"/>
              </w:rPr>
              <w:t>Prob(F-statistic)</w:t>
            </w:r>
          </w:p>
        </w:tc>
        <w:tc>
          <w:tcPr>
            <w:tcW w:w="1213" w:type="dxa"/>
            <w:tcBorders>
              <w:bottom w:val="double" w:sz="6" w:space="0" w:color="000000"/>
            </w:tcBorders>
          </w:tcPr>
          <w:p>
            <w:pPr>
              <w:pStyle w:val="TableParagraph"/>
              <w:spacing w:line="240" w:lineRule="auto"/>
              <w:ind w:right="103"/>
              <w:jc w:val="right"/>
              <w:rPr>
                <w:sz w:val="18"/>
              </w:rPr>
            </w:pPr>
            <w:r>
              <w:rPr>
                <w:spacing w:val="-2"/>
                <w:sz w:val="18"/>
              </w:rPr>
              <w:t>0.000037</w:t>
            </w:r>
          </w:p>
        </w:tc>
        <w:tc>
          <w:tcPr>
            <w:tcW w:w="2431" w:type="dxa"/>
            <w:gridSpan w:val="2"/>
            <w:tcBorders>
              <w:bottom w:val="double" w:sz="6" w:space="0" w:color="000000"/>
            </w:tcBorders>
          </w:tcPr>
          <w:p>
            <w:pPr>
              <w:pStyle w:val="TableParagraph"/>
              <w:spacing w:line="240" w:lineRule="auto" w:before="0"/>
              <w:rPr>
                <w:rFonts w:ascii="Times New Roman"/>
                <w:sz w:val="18"/>
              </w:rPr>
            </w:pPr>
          </w:p>
        </w:tc>
        <w:tc>
          <w:tcPr>
            <w:tcW w:w="884"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78138880">
                <wp:simplePos x="0" y="0"/>
                <wp:positionH relativeFrom="page">
                  <wp:posOffset>950112</wp:posOffset>
                </wp:positionH>
                <wp:positionV relativeFrom="page">
                  <wp:posOffset>5495962</wp:posOffset>
                </wp:positionV>
                <wp:extent cx="2223770" cy="2362200"/>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77600" id="docshape275"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39392">
                <wp:simplePos x="0" y="0"/>
                <wp:positionH relativeFrom="page">
                  <wp:posOffset>2872486</wp:posOffset>
                </wp:positionH>
                <wp:positionV relativeFrom="page">
                  <wp:posOffset>2197353</wp:posOffset>
                </wp:positionV>
                <wp:extent cx="3583304" cy="3612515"/>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77088" id="docshape276"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p>
      <w:pPr>
        <w:spacing w:after="0"/>
        <w:rPr>
          <w:sz w:val="2"/>
          <w:szCs w:val="2"/>
        </w:rPr>
        <w:sectPr>
          <w:pgSz w:w="12240" w:h="15840"/>
          <w:pgMar w:header="0" w:footer="1012" w:top="1640" w:bottom="1200" w:left="1340" w:right="1720"/>
        </w:sectPr>
      </w:pPr>
    </w:p>
    <w:p>
      <w:pPr>
        <w:spacing w:before="60"/>
        <w:ind w:left="100" w:right="0" w:firstLine="0"/>
        <w:jc w:val="left"/>
        <w:rPr>
          <w:b/>
          <w:sz w:val="25"/>
        </w:rPr>
      </w:pPr>
      <w:r>
        <w:rPr/>
        <mc:AlternateContent>
          <mc:Choice Requires="wps">
            <w:drawing>
              <wp:anchor distT="0" distB="0" distL="0" distR="0" allowOverlap="1" layoutInCell="1" locked="0" behindDoc="1" simplePos="0" relativeHeight="478139904">
                <wp:simplePos x="0" y="0"/>
                <wp:positionH relativeFrom="page">
                  <wp:posOffset>2093087</wp:posOffset>
                </wp:positionH>
                <wp:positionV relativeFrom="page">
                  <wp:posOffset>1054353</wp:posOffset>
                </wp:positionV>
                <wp:extent cx="5505450" cy="5661025"/>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5505450" cy="5661025"/>
                        </a:xfrm>
                        <a:custGeom>
                          <a:avLst/>
                          <a:gdLst/>
                          <a:ahLst/>
                          <a:cxnLst/>
                          <a:rect l="l" t="t" r="r" b="b"/>
                          <a:pathLst>
                            <a:path w="5505450" h="5661025">
                              <a:moveTo>
                                <a:pt x="677037" y="5536984"/>
                              </a:moveTo>
                              <a:lnTo>
                                <a:pt x="123825" y="4983861"/>
                              </a:lnTo>
                              <a:lnTo>
                                <a:pt x="0" y="5107686"/>
                              </a:lnTo>
                              <a:lnTo>
                                <a:pt x="553212" y="5660809"/>
                              </a:lnTo>
                              <a:lnTo>
                                <a:pt x="677037" y="5536984"/>
                              </a:lnTo>
                              <a:close/>
                            </a:path>
                            <a:path w="5505450" h="5661025">
                              <a:moveTo>
                                <a:pt x="1052703" y="5107749"/>
                              </a:moveTo>
                              <a:lnTo>
                                <a:pt x="1049020" y="5055489"/>
                              </a:lnTo>
                              <a:lnTo>
                                <a:pt x="1033995" y="4999825"/>
                              </a:lnTo>
                              <a:lnTo>
                                <a:pt x="1007364" y="4944618"/>
                              </a:lnTo>
                              <a:lnTo>
                                <a:pt x="970749" y="4891671"/>
                              </a:lnTo>
                              <a:lnTo>
                                <a:pt x="925957" y="4841367"/>
                              </a:lnTo>
                              <a:lnTo>
                                <a:pt x="596138" y="4511548"/>
                              </a:lnTo>
                              <a:lnTo>
                                <a:pt x="472821" y="4634865"/>
                              </a:lnTo>
                              <a:lnTo>
                                <a:pt x="810387" y="4972558"/>
                              </a:lnTo>
                              <a:lnTo>
                                <a:pt x="830897" y="4995367"/>
                              </a:lnTo>
                              <a:lnTo>
                                <a:pt x="846543" y="5017833"/>
                              </a:lnTo>
                              <a:lnTo>
                                <a:pt x="857389" y="5039931"/>
                              </a:lnTo>
                              <a:lnTo>
                                <a:pt x="863473" y="5061585"/>
                              </a:lnTo>
                              <a:lnTo>
                                <a:pt x="864425" y="5082425"/>
                              </a:lnTo>
                              <a:lnTo>
                                <a:pt x="860488" y="5101869"/>
                              </a:lnTo>
                              <a:lnTo>
                                <a:pt x="838073" y="5136515"/>
                              </a:lnTo>
                              <a:lnTo>
                                <a:pt x="803160" y="5159083"/>
                              </a:lnTo>
                              <a:lnTo>
                                <a:pt x="783615" y="5162867"/>
                              </a:lnTo>
                              <a:lnTo>
                                <a:pt x="762635" y="5161534"/>
                              </a:lnTo>
                              <a:lnTo>
                                <a:pt x="718566" y="5144859"/>
                              </a:lnTo>
                              <a:lnTo>
                                <a:pt x="673735" y="5109210"/>
                              </a:lnTo>
                              <a:lnTo>
                                <a:pt x="336169" y="4771517"/>
                              </a:lnTo>
                              <a:lnTo>
                                <a:pt x="212725" y="4894834"/>
                              </a:lnTo>
                              <a:lnTo>
                                <a:pt x="542544" y="5224653"/>
                              </a:lnTo>
                              <a:lnTo>
                                <a:pt x="589292" y="5265547"/>
                              </a:lnTo>
                              <a:lnTo>
                                <a:pt x="647573" y="5306822"/>
                              </a:lnTo>
                              <a:lnTo>
                                <a:pt x="690054" y="5328818"/>
                              </a:lnTo>
                              <a:lnTo>
                                <a:pt x="737870" y="5344033"/>
                              </a:lnTo>
                              <a:lnTo>
                                <a:pt x="785342" y="5351424"/>
                              </a:lnTo>
                              <a:lnTo>
                                <a:pt x="807173" y="5351526"/>
                              </a:lnTo>
                              <a:lnTo>
                                <a:pt x="827786" y="5349367"/>
                              </a:lnTo>
                              <a:lnTo>
                                <a:pt x="867879" y="5337492"/>
                              </a:lnTo>
                              <a:lnTo>
                                <a:pt x="908177" y="5314188"/>
                              </a:lnTo>
                              <a:lnTo>
                                <a:pt x="945210" y="5284952"/>
                              </a:lnTo>
                              <a:lnTo>
                                <a:pt x="977011" y="5255895"/>
                              </a:lnTo>
                              <a:lnTo>
                                <a:pt x="1019365" y="5204485"/>
                              </a:lnTo>
                              <a:lnTo>
                                <a:pt x="1045337" y="5151247"/>
                              </a:lnTo>
                              <a:lnTo>
                                <a:pt x="1050340" y="5130609"/>
                              </a:lnTo>
                              <a:lnTo>
                                <a:pt x="1052703" y="5107749"/>
                              </a:lnTo>
                              <a:close/>
                            </a:path>
                            <a:path w="5505450" h="5661025">
                              <a:moveTo>
                                <a:pt x="1514906" y="4610379"/>
                              </a:moveTo>
                              <a:lnTo>
                                <a:pt x="1510944" y="4569625"/>
                              </a:lnTo>
                              <a:lnTo>
                                <a:pt x="1500924" y="4528058"/>
                              </a:lnTo>
                              <a:lnTo>
                                <a:pt x="1484630" y="4485640"/>
                              </a:lnTo>
                              <a:lnTo>
                                <a:pt x="1466799" y="4451121"/>
                              </a:lnTo>
                              <a:lnTo>
                                <a:pt x="1444396" y="4415548"/>
                              </a:lnTo>
                              <a:lnTo>
                                <a:pt x="1417332" y="4378972"/>
                              </a:lnTo>
                              <a:lnTo>
                                <a:pt x="1385658" y="4341507"/>
                              </a:lnTo>
                              <a:lnTo>
                                <a:pt x="1374343" y="4329595"/>
                              </a:lnTo>
                              <a:lnTo>
                                <a:pt x="1349248" y="4303141"/>
                              </a:lnTo>
                              <a:lnTo>
                                <a:pt x="1334071" y="4289018"/>
                              </a:lnTo>
                              <a:lnTo>
                                <a:pt x="1334071" y="4602658"/>
                              </a:lnTo>
                              <a:lnTo>
                                <a:pt x="1330960" y="4628210"/>
                              </a:lnTo>
                              <a:lnTo>
                                <a:pt x="1304544" y="4672584"/>
                              </a:lnTo>
                              <a:lnTo>
                                <a:pt x="1260627" y="4698276"/>
                              </a:lnTo>
                              <a:lnTo>
                                <a:pt x="1234922" y="4701095"/>
                              </a:lnTo>
                              <a:lnTo>
                                <a:pt x="1206627" y="4697095"/>
                              </a:lnTo>
                              <a:lnTo>
                                <a:pt x="1141310" y="4665548"/>
                              </a:lnTo>
                              <a:lnTo>
                                <a:pt x="1103998" y="4636846"/>
                              </a:lnTo>
                              <a:lnTo>
                                <a:pt x="1063625" y="4599305"/>
                              </a:lnTo>
                              <a:lnTo>
                                <a:pt x="1025956" y="4558728"/>
                              </a:lnTo>
                              <a:lnTo>
                                <a:pt x="997077" y="4521200"/>
                              </a:lnTo>
                              <a:lnTo>
                                <a:pt x="976858" y="4486834"/>
                              </a:lnTo>
                              <a:lnTo>
                                <a:pt x="961186" y="4427385"/>
                              </a:lnTo>
                              <a:lnTo>
                                <a:pt x="963891" y="4401807"/>
                              </a:lnTo>
                              <a:lnTo>
                                <a:pt x="988695" y="4358894"/>
                              </a:lnTo>
                              <a:lnTo>
                                <a:pt x="1032675" y="4332884"/>
                              </a:lnTo>
                              <a:lnTo>
                                <a:pt x="1058392" y="4329595"/>
                              </a:lnTo>
                              <a:lnTo>
                                <a:pt x="1086523" y="4332884"/>
                              </a:lnTo>
                              <a:lnTo>
                                <a:pt x="1150073" y="4362755"/>
                              </a:lnTo>
                              <a:lnTo>
                                <a:pt x="1185532" y="4389602"/>
                              </a:lnTo>
                              <a:lnTo>
                                <a:pt x="1223391" y="4424553"/>
                              </a:lnTo>
                              <a:lnTo>
                                <a:pt x="1264805" y="4468812"/>
                              </a:lnTo>
                              <a:lnTo>
                                <a:pt x="1296377" y="4508716"/>
                              </a:lnTo>
                              <a:lnTo>
                                <a:pt x="1318183" y="4544161"/>
                              </a:lnTo>
                              <a:lnTo>
                                <a:pt x="1334071" y="4602658"/>
                              </a:lnTo>
                              <a:lnTo>
                                <a:pt x="1334071" y="4289018"/>
                              </a:lnTo>
                              <a:lnTo>
                                <a:pt x="1304861" y="4261828"/>
                              </a:lnTo>
                              <a:lnTo>
                                <a:pt x="1260741" y="4226865"/>
                              </a:lnTo>
                              <a:lnTo>
                                <a:pt x="1216926" y="4198201"/>
                              </a:lnTo>
                              <a:lnTo>
                                <a:pt x="1173403" y="4175760"/>
                              </a:lnTo>
                              <a:lnTo>
                                <a:pt x="1130211" y="4159504"/>
                              </a:lnTo>
                              <a:lnTo>
                                <a:pt x="1087374" y="4149344"/>
                              </a:lnTo>
                              <a:lnTo>
                                <a:pt x="1037336" y="4145813"/>
                              </a:lnTo>
                              <a:lnTo>
                                <a:pt x="989520" y="4152163"/>
                              </a:lnTo>
                              <a:lnTo>
                                <a:pt x="943940" y="4168292"/>
                              </a:lnTo>
                              <a:lnTo>
                                <a:pt x="900595" y="4194073"/>
                              </a:lnTo>
                              <a:lnTo>
                                <a:pt x="859536" y="4229354"/>
                              </a:lnTo>
                              <a:lnTo>
                                <a:pt x="825195" y="4269638"/>
                              </a:lnTo>
                              <a:lnTo>
                                <a:pt x="800277" y="4312539"/>
                              </a:lnTo>
                              <a:lnTo>
                                <a:pt x="784872" y="4358056"/>
                              </a:lnTo>
                              <a:lnTo>
                                <a:pt x="779068" y="4406112"/>
                              </a:lnTo>
                              <a:lnTo>
                                <a:pt x="782955" y="4456684"/>
                              </a:lnTo>
                              <a:lnTo>
                                <a:pt x="793432" y="4500080"/>
                              </a:lnTo>
                              <a:lnTo>
                                <a:pt x="810082" y="4543882"/>
                              </a:lnTo>
                              <a:lnTo>
                                <a:pt x="832942" y="4588040"/>
                              </a:lnTo>
                              <a:lnTo>
                                <a:pt x="862076" y="4632515"/>
                              </a:lnTo>
                              <a:lnTo>
                                <a:pt x="897547" y="4677270"/>
                              </a:lnTo>
                              <a:lnTo>
                                <a:pt x="939419" y="4722241"/>
                              </a:lnTo>
                              <a:lnTo>
                                <a:pt x="977925" y="4758525"/>
                              </a:lnTo>
                              <a:lnTo>
                                <a:pt x="1016152" y="4789995"/>
                              </a:lnTo>
                              <a:lnTo>
                                <a:pt x="1054023" y="4816703"/>
                              </a:lnTo>
                              <a:lnTo>
                                <a:pt x="1091463" y="4838725"/>
                              </a:lnTo>
                              <a:lnTo>
                                <a:pt x="1128395" y="4856099"/>
                              </a:lnTo>
                              <a:lnTo>
                                <a:pt x="1173149" y="4871567"/>
                              </a:lnTo>
                              <a:lnTo>
                                <a:pt x="1215809" y="4880241"/>
                              </a:lnTo>
                              <a:lnTo>
                                <a:pt x="1256347" y="4882426"/>
                              </a:lnTo>
                              <a:lnTo>
                                <a:pt x="1294765" y="4878451"/>
                              </a:lnTo>
                              <a:lnTo>
                                <a:pt x="1331455" y="4868176"/>
                              </a:lnTo>
                              <a:lnTo>
                                <a:pt x="1367294" y="4850955"/>
                              </a:lnTo>
                              <a:lnTo>
                                <a:pt x="1402295" y="4826990"/>
                              </a:lnTo>
                              <a:lnTo>
                                <a:pt x="1436497" y="4796409"/>
                              </a:lnTo>
                              <a:lnTo>
                                <a:pt x="1466329" y="4762271"/>
                              </a:lnTo>
                              <a:lnTo>
                                <a:pt x="1489113" y="4726533"/>
                              </a:lnTo>
                              <a:lnTo>
                                <a:pt x="1504734" y="4689221"/>
                              </a:lnTo>
                              <a:lnTo>
                                <a:pt x="1513078" y="4650359"/>
                              </a:lnTo>
                              <a:lnTo>
                                <a:pt x="1514906" y="4610379"/>
                              </a:lnTo>
                              <a:close/>
                            </a:path>
                            <a:path w="5505450" h="5661025">
                              <a:moveTo>
                                <a:pt x="1687068" y="4242308"/>
                              </a:moveTo>
                              <a:lnTo>
                                <a:pt x="1568323" y="4123436"/>
                              </a:lnTo>
                              <a:lnTo>
                                <a:pt x="1406906" y="4284980"/>
                              </a:lnTo>
                              <a:lnTo>
                                <a:pt x="1525651" y="4403725"/>
                              </a:lnTo>
                              <a:lnTo>
                                <a:pt x="1687068" y="4242308"/>
                              </a:lnTo>
                              <a:close/>
                            </a:path>
                            <a:path w="5505450" h="5661025">
                              <a:moveTo>
                                <a:pt x="2011426" y="4202557"/>
                              </a:moveTo>
                              <a:lnTo>
                                <a:pt x="1458214" y="3649345"/>
                              </a:lnTo>
                              <a:lnTo>
                                <a:pt x="1334389" y="3773170"/>
                              </a:lnTo>
                              <a:lnTo>
                                <a:pt x="1887601" y="4326382"/>
                              </a:lnTo>
                              <a:lnTo>
                                <a:pt x="2011426" y="4202557"/>
                              </a:lnTo>
                              <a:close/>
                            </a:path>
                            <a:path w="5505450" h="5661025">
                              <a:moveTo>
                                <a:pt x="2223643" y="3990340"/>
                              </a:moveTo>
                              <a:lnTo>
                                <a:pt x="2018411" y="3784981"/>
                              </a:lnTo>
                              <a:lnTo>
                                <a:pt x="2086102" y="3717290"/>
                              </a:lnTo>
                              <a:lnTo>
                                <a:pt x="2118220" y="3679304"/>
                              </a:lnTo>
                              <a:lnTo>
                                <a:pt x="2121700" y="3672967"/>
                              </a:lnTo>
                              <a:lnTo>
                                <a:pt x="2139683" y="3640201"/>
                              </a:lnTo>
                              <a:lnTo>
                                <a:pt x="2150389" y="3600069"/>
                              </a:lnTo>
                              <a:lnTo>
                                <a:pt x="2150237" y="3558921"/>
                              </a:lnTo>
                              <a:lnTo>
                                <a:pt x="2140077" y="3517239"/>
                              </a:lnTo>
                              <a:lnTo>
                                <a:pt x="2125307" y="3484930"/>
                              </a:lnTo>
                              <a:lnTo>
                                <a:pt x="2120976" y="3475444"/>
                              </a:lnTo>
                              <a:lnTo>
                                <a:pt x="2092845" y="3433572"/>
                              </a:lnTo>
                              <a:lnTo>
                                <a:pt x="2055622" y="3391662"/>
                              </a:lnTo>
                              <a:lnTo>
                                <a:pt x="2015096" y="3355416"/>
                              </a:lnTo>
                              <a:lnTo>
                                <a:pt x="1975065" y="3328060"/>
                              </a:lnTo>
                              <a:lnTo>
                                <a:pt x="1969516" y="3325444"/>
                              </a:lnTo>
                              <a:lnTo>
                                <a:pt x="1969516" y="3575050"/>
                              </a:lnTo>
                              <a:lnTo>
                                <a:pt x="1968728" y="3591293"/>
                              </a:lnTo>
                              <a:lnTo>
                                <a:pt x="1962873" y="3607993"/>
                              </a:lnTo>
                              <a:lnTo>
                                <a:pt x="1952117" y="3625151"/>
                              </a:lnTo>
                              <a:lnTo>
                                <a:pt x="1936623" y="3642741"/>
                              </a:lnTo>
                              <a:lnTo>
                                <a:pt x="1906397" y="3672967"/>
                              </a:lnTo>
                              <a:lnTo>
                                <a:pt x="1782953" y="3549523"/>
                              </a:lnTo>
                              <a:lnTo>
                                <a:pt x="1818132" y="3514344"/>
                              </a:lnTo>
                              <a:lnTo>
                                <a:pt x="1835251" y="3499459"/>
                              </a:lnTo>
                              <a:lnTo>
                                <a:pt x="1851812" y="3489668"/>
                              </a:lnTo>
                              <a:lnTo>
                                <a:pt x="1867852" y="3484930"/>
                              </a:lnTo>
                              <a:lnTo>
                                <a:pt x="1883410" y="3485261"/>
                              </a:lnTo>
                              <a:lnTo>
                                <a:pt x="1926856" y="3505149"/>
                              </a:lnTo>
                              <a:lnTo>
                                <a:pt x="1960791" y="3544824"/>
                              </a:lnTo>
                              <a:lnTo>
                                <a:pt x="1969516" y="3575050"/>
                              </a:lnTo>
                              <a:lnTo>
                                <a:pt x="1969516" y="3325444"/>
                              </a:lnTo>
                              <a:lnTo>
                                <a:pt x="1935568" y="3309391"/>
                              </a:lnTo>
                              <a:lnTo>
                                <a:pt x="1896618" y="3299206"/>
                              </a:lnTo>
                              <a:lnTo>
                                <a:pt x="1858467" y="3298609"/>
                              </a:lnTo>
                              <a:lnTo>
                                <a:pt x="1821599" y="3307956"/>
                              </a:lnTo>
                              <a:lnTo>
                                <a:pt x="1786039" y="3327095"/>
                              </a:lnTo>
                              <a:lnTo>
                                <a:pt x="1751838" y="3355848"/>
                              </a:lnTo>
                              <a:lnTo>
                                <a:pt x="1546352" y="3561207"/>
                              </a:lnTo>
                              <a:lnTo>
                                <a:pt x="2099564" y="4114419"/>
                              </a:lnTo>
                              <a:lnTo>
                                <a:pt x="2223643" y="3990340"/>
                              </a:lnTo>
                              <a:close/>
                            </a:path>
                            <a:path w="5505450" h="5661025">
                              <a:moveTo>
                                <a:pt x="2725166" y="3488817"/>
                              </a:moveTo>
                              <a:lnTo>
                                <a:pt x="2308479" y="3072257"/>
                              </a:lnTo>
                              <a:lnTo>
                                <a:pt x="2434590" y="2946146"/>
                              </a:lnTo>
                              <a:lnTo>
                                <a:pt x="2298065" y="2809621"/>
                              </a:lnTo>
                              <a:lnTo>
                                <a:pt x="1922399" y="3185287"/>
                              </a:lnTo>
                              <a:lnTo>
                                <a:pt x="2058924" y="3321812"/>
                              </a:lnTo>
                              <a:lnTo>
                                <a:pt x="2184908" y="3195828"/>
                              </a:lnTo>
                              <a:lnTo>
                                <a:pt x="2601595" y="3612388"/>
                              </a:lnTo>
                              <a:lnTo>
                                <a:pt x="2725166" y="3488817"/>
                              </a:lnTo>
                              <a:close/>
                            </a:path>
                            <a:path w="5505450" h="5661025">
                              <a:moveTo>
                                <a:pt x="3128645" y="3085338"/>
                              </a:moveTo>
                              <a:lnTo>
                                <a:pt x="2712085" y="2668651"/>
                              </a:lnTo>
                              <a:lnTo>
                                <a:pt x="2838069" y="2542667"/>
                              </a:lnTo>
                              <a:lnTo>
                                <a:pt x="2701544" y="2406142"/>
                              </a:lnTo>
                              <a:lnTo>
                                <a:pt x="2325878" y="2781808"/>
                              </a:lnTo>
                              <a:lnTo>
                                <a:pt x="2462530" y="2918333"/>
                              </a:lnTo>
                              <a:lnTo>
                                <a:pt x="2588514" y="2792349"/>
                              </a:lnTo>
                              <a:lnTo>
                                <a:pt x="3005074" y="3208909"/>
                              </a:lnTo>
                              <a:lnTo>
                                <a:pt x="3128645" y="3085338"/>
                              </a:lnTo>
                              <a:close/>
                            </a:path>
                            <a:path w="5505450" h="5661025">
                              <a:moveTo>
                                <a:pt x="3594430" y="2530856"/>
                              </a:moveTo>
                              <a:lnTo>
                                <a:pt x="3590506" y="2490063"/>
                              </a:lnTo>
                              <a:lnTo>
                                <a:pt x="3580536" y="2448458"/>
                              </a:lnTo>
                              <a:lnTo>
                                <a:pt x="3564255" y="2406015"/>
                              </a:lnTo>
                              <a:lnTo>
                                <a:pt x="3546360" y="2371560"/>
                              </a:lnTo>
                              <a:lnTo>
                                <a:pt x="3523919" y="2336038"/>
                              </a:lnTo>
                              <a:lnTo>
                                <a:pt x="3496805" y="2299449"/>
                              </a:lnTo>
                              <a:lnTo>
                                <a:pt x="3465157" y="2262073"/>
                              </a:lnTo>
                              <a:lnTo>
                                <a:pt x="3453765" y="2250097"/>
                              </a:lnTo>
                              <a:lnTo>
                                <a:pt x="3428746" y="2223770"/>
                              </a:lnTo>
                              <a:lnTo>
                                <a:pt x="3413569" y="2209635"/>
                              </a:lnTo>
                              <a:lnTo>
                                <a:pt x="3413569" y="2523134"/>
                              </a:lnTo>
                              <a:lnTo>
                                <a:pt x="3410432" y="2548661"/>
                              </a:lnTo>
                              <a:lnTo>
                                <a:pt x="3383915" y="2593086"/>
                              </a:lnTo>
                              <a:lnTo>
                                <a:pt x="3340176" y="2618714"/>
                              </a:lnTo>
                              <a:lnTo>
                                <a:pt x="3314522" y="2621483"/>
                              </a:lnTo>
                              <a:lnTo>
                                <a:pt x="3286252" y="2617470"/>
                              </a:lnTo>
                              <a:lnTo>
                                <a:pt x="3220936" y="2585936"/>
                              </a:lnTo>
                              <a:lnTo>
                                <a:pt x="3183623" y="2557272"/>
                              </a:lnTo>
                              <a:lnTo>
                                <a:pt x="3143250" y="2519807"/>
                              </a:lnTo>
                              <a:lnTo>
                                <a:pt x="3105505" y="2479154"/>
                              </a:lnTo>
                              <a:lnTo>
                                <a:pt x="3076600" y="2441600"/>
                              </a:lnTo>
                              <a:lnTo>
                                <a:pt x="3056407" y="2407208"/>
                              </a:lnTo>
                              <a:lnTo>
                                <a:pt x="3040786" y="2347785"/>
                              </a:lnTo>
                              <a:lnTo>
                                <a:pt x="3043453" y="2322245"/>
                              </a:lnTo>
                              <a:lnTo>
                                <a:pt x="3068193" y="2279396"/>
                              </a:lnTo>
                              <a:lnTo>
                                <a:pt x="3112173" y="2253386"/>
                              </a:lnTo>
                              <a:lnTo>
                                <a:pt x="3137890" y="2250097"/>
                              </a:lnTo>
                              <a:lnTo>
                                <a:pt x="3166021" y="2253386"/>
                              </a:lnTo>
                              <a:lnTo>
                                <a:pt x="3229521" y="2283256"/>
                              </a:lnTo>
                              <a:lnTo>
                                <a:pt x="3265005" y="2310104"/>
                              </a:lnTo>
                              <a:lnTo>
                                <a:pt x="3302889" y="2345055"/>
                              </a:lnTo>
                              <a:lnTo>
                                <a:pt x="3344329" y="2389289"/>
                              </a:lnTo>
                              <a:lnTo>
                                <a:pt x="3375926" y="2429167"/>
                              </a:lnTo>
                              <a:lnTo>
                                <a:pt x="3397732" y="2464612"/>
                              </a:lnTo>
                              <a:lnTo>
                                <a:pt x="3413569" y="2523134"/>
                              </a:lnTo>
                              <a:lnTo>
                                <a:pt x="3413569" y="2209635"/>
                              </a:lnTo>
                              <a:lnTo>
                                <a:pt x="3384359" y="2182406"/>
                              </a:lnTo>
                              <a:lnTo>
                                <a:pt x="3340239" y="2147405"/>
                              </a:lnTo>
                              <a:lnTo>
                                <a:pt x="3296424" y="2118715"/>
                              </a:lnTo>
                              <a:lnTo>
                                <a:pt x="3252901" y="2096274"/>
                              </a:lnTo>
                              <a:lnTo>
                                <a:pt x="3209709" y="2080006"/>
                              </a:lnTo>
                              <a:lnTo>
                                <a:pt x="3166872" y="2069846"/>
                              </a:lnTo>
                              <a:lnTo>
                                <a:pt x="3116834" y="2066315"/>
                              </a:lnTo>
                              <a:lnTo>
                                <a:pt x="3069018" y="2072665"/>
                              </a:lnTo>
                              <a:lnTo>
                                <a:pt x="3023438" y="2088769"/>
                              </a:lnTo>
                              <a:lnTo>
                                <a:pt x="2980093" y="2114512"/>
                              </a:lnTo>
                              <a:lnTo>
                                <a:pt x="2939034" y="2149729"/>
                              </a:lnTo>
                              <a:lnTo>
                                <a:pt x="2904744" y="2190026"/>
                              </a:lnTo>
                              <a:lnTo>
                                <a:pt x="2879839" y="2232964"/>
                              </a:lnTo>
                              <a:lnTo>
                                <a:pt x="2864434" y="2278507"/>
                              </a:lnTo>
                              <a:lnTo>
                                <a:pt x="2858643" y="2326602"/>
                              </a:lnTo>
                              <a:lnTo>
                                <a:pt x="2862580" y="2377186"/>
                              </a:lnTo>
                              <a:lnTo>
                                <a:pt x="2873006" y="2420582"/>
                              </a:lnTo>
                              <a:lnTo>
                                <a:pt x="2889618" y="2464346"/>
                              </a:lnTo>
                              <a:lnTo>
                                <a:pt x="2912453" y="2508478"/>
                              </a:lnTo>
                              <a:lnTo>
                                <a:pt x="2941574" y="2552928"/>
                              </a:lnTo>
                              <a:lnTo>
                                <a:pt x="2977045" y="2597645"/>
                              </a:lnTo>
                              <a:lnTo>
                                <a:pt x="3018917" y="2642616"/>
                              </a:lnTo>
                              <a:lnTo>
                                <a:pt x="3057474" y="2678912"/>
                              </a:lnTo>
                              <a:lnTo>
                                <a:pt x="3095714" y="2710408"/>
                              </a:lnTo>
                              <a:lnTo>
                                <a:pt x="3133560" y="2737167"/>
                              </a:lnTo>
                              <a:lnTo>
                                <a:pt x="3170974" y="2759214"/>
                              </a:lnTo>
                              <a:lnTo>
                                <a:pt x="3207893" y="2776601"/>
                              </a:lnTo>
                              <a:lnTo>
                                <a:pt x="3252711" y="2792006"/>
                              </a:lnTo>
                              <a:lnTo>
                                <a:pt x="3295358" y="2800693"/>
                              </a:lnTo>
                              <a:lnTo>
                                <a:pt x="3335871" y="2802915"/>
                              </a:lnTo>
                              <a:lnTo>
                                <a:pt x="3374263" y="2798953"/>
                              </a:lnTo>
                              <a:lnTo>
                                <a:pt x="3410978" y="2788602"/>
                              </a:lnTo>
                              <a:lnTo>
                                <a:pt x="3446843" y="2771368"/>
                              </a:lnTo>
                              <a:lnTo>
                                <a:pt x="3481844" y="2747416"/>
                              </a:lnTo>
                              <a:lnTo>
                                <a:pt x="3515995" y="2716911"/>
                              </a:lnTo>
                              <a:lnTo>
                                <a:pt x="3545852" y="2682722"/>
                              </a:lnTo>
                              <a:lnTo>
                                <a:pt x="3568662" y="2646984"/>
                              </a:lnTo>
                              <a:lnTo>
                                <a:pt x="3579342" y="2621483"/>
                              </a:lnTo>
                              <a:lnTo>
                                <a:pt x="3584283" y="2609710"/>
                              </a:lnTo>
                              <a:lnTo>
                                <a:pt x="3592576" y="2570861"/>
                              </a:lnTo>
                              <a:lnTo>
                                <a:pt x="3594430" y="2530856"/>
                              </a:lnTo>
                              <a:close/>
                            </a:path>
                            <a:path w="5505450" h="5661025">
                              <a:moveTo>
                                <a:pt x="4237799" y="1898713"/>
                              </a:moveTo>
                              <a:lnTo>
                                <a:pt x="4226814" y="1835531"/>
                              </a:lnTo>
                              <a:lnTo>
                                <a:pt x="4199420" y="1767636"/>
                              </a:lnTo>
                              <a:lnTo>
                                <a:pt x="4179786" y="1732191"/>
                              </a:lnTo>
                              <a:lnTo>
                                <a:pt x="4155948" y="1695831"/>
                              </a:lnTo>
                              <a:lnTo>
                                <a:pt x="4117517" y="1711452"/>
                              </a:lnTo>
                              <a:lnTo>
                                <a:pt x="4002278" y="1758823"/>
                              </a:lnTo>
                              <a:lnTo>
                                <a:pt x="4022331" y="1788236"/>
                              </a:lnTo>
                              <a:lnTo>
                                <a:pt x="4037863" y="1815719"/>
                              </a:lnTo>
                              <a:lnTo>
                                <a:pt x="4049064" y="1841309"/>
                              </a:lnTo>
                              <a:lnTo>
                                <a:pt x="4056126" y="1864995"/>
                              </a:lnTo>
                              <a:lnTo>
                                <a:pt x="4058107" y="1887347"/>
                              </a:lnTo>
                              <a:lnTo>
                                <a:pt x="4054373" y="1908327"/>
                              </a:lnTo>
                              <a:lnTo>
                                <a:pt x="4029964" y="1946402"/>
                              </a:lnTo>
                              <a:lnTo>
                                <a:pt x="3988892" y="1970443"/>
                              </a:lnTo>
                              <a:lnTo>
                                <a:pt x="3965079" y="1973021"/>
                              </a:lnTo>
                              <a:lnTo>
                                <a:pt x="3939159" y="1969135"/>
                              </a:lnTo>
                              <a:lnTo>
                                <a:pt x="3875684" y="1935657"/>
                              </a:lnTo>
                              <a:lnTo>
                                <a:pt x="3836708" y="1904365"/>
                              </a:lnTo>
                              <a:lnTo>
                                <a:pt x="3792982" y="1863217"/>
                              </a:lnTo>
                              <a:lnTo>
                                <a:pt x="3759441" y="1827504"/>
                              </a:lnTo>
                              <a:lnTo>
                                <a:pt x="3732936" y="1794510"/>
                              </a:lnTo>
                              <a:lnTo>
                                <a:pt x="3700907" y="1737233"/>
                              </a:lnTo>
                              <a:lnTo>
                                <a:pt x="3692626" y="1704390"/>
                              </a:lnTo>
                              <a:lnTo>
                                <a:pt x="3692868" y="1674964"/>
                              </a:lnTo>
                              <a:lnTo>
                                <a:pt x="3718560" y="1626108"/>
                              </a:lnTo>
                              <a:lnTo>
                                <a:pt x="3762629" y="1603121"/>
                              </a:lnTo>
                              <a:lnTo>
                                <a:pt x="3775773" y="1601851"/>
                              </a:lnTo>
                              <a:lnTo>
                                <a:pt x="3789375" y="1602105"/>
                              </a:lnTo>
                              <a:lnTo>
                                <a:pt x="3827894" y="1611642"/>
                              </a:lnTo>
                              <a:lnTo>
                                <a:pt x="3867150" y="1632966"/>
                              </a:lnTo>
                              <a:lnTo>
                                <a:pt x="3942588" y="1490218"/>
                              </a:lnTo>
                              <a:lnTo>
                                <a:pt x="3889870" y="1461084"/>
                              </a:lnTo>
                              <a:lnTo>
                                <a:pt x="3839959" y="1440662"/>
                              </a:lnTo>
                              <a:lnTo>
                                <a:pt x="3792918" y="1428572"/>
                              </a:lnTo>
                              <a:lnTo>
                                <a:pt x="3748786" y="1424432"/>
                              </a:lnTo>
                              <a:lnTo>
                                <a:pt x="3706520" y="1429385"/>
                              </a:lnTo>
                              <a:lnTo>
                                <a:pt x="3665626" y="1443939"/>
                              </a:lnTo>
                              <a:lnTo>
                                <a:pt x="3626015" y="1467904"/>
                              </a:lnTo>
                              <a:lnTo>
                                <a:pt x="3587623" y="1501140"/>
                              </a:lnTo>
                              <a:lnTo>
                                <a:pt x="3553612" y="1540979"/>
                              </a:lnTo>
                              <a:lnTo>
                                <a:pt x="3528949" y="1583207"/>
                              </a:lnTo>
                              <a:lnTo>
                                <a:pt x="3513709" y="1627797"/>
                              </a:lnTo>
                              <a:lnTo>
                                <a:pt x="3508006" y="1674749"/>
                              </a:lnTo>
                              <a:lnTo>
                                <a:pt x="3511931" y="1724025"/>
                              </a:lnTo>
                              <a:lnTo>
                                <a:pt x="3522535" y="1766570"/>
                              </a:lnTo>
                              <a:lnTo>
                                <a:pt x="3539325" y="1809699"/>
                              </a:lnTo>
                              <a:lnTo>
                                <a:pt x="3562375" y="1853438"/>
                              </a:lnTo>
                              <a:lnTo>
                                <a:pt x="3591801" y="1897773"/>
                              </a:lnTo>
                              <a:lnTo>
                                <a:pt x="3627704" y="1942693"/>
                              </a:lnTo>
                              <a:lnTo>
                                <a:pt x="3670173" y="1988185"/>
                              </a:lnTo>
                              <a:lnTo>
                                <a:pt x="3711130" y="2026716"/>
                              </a:lnTo>
                              <a:lnTo>
                                <a:pt x="3751542" y="2059787"/>
                              </a:lnTo>
                              <a:lnTo>
                                <a:pt x="3791394" y="2087511"/>
                              </a:lnTo>
                              <a:lnTo>
                                <a:pt x="3830663" y="2110003"/>
                              </a:lnTo>
                              <a:lnTo>
                                <a:pt x="3869309" y="2127377"/>
                              </a:lnTo>
                              <a:lnTo>
                                <a:pt x="3915486" y="2142363"/>
                              </a:lnTo>
                              <a:lnTo>
                                <a:pt x="3958183" y="2150580"/>
                              </a:lnTo>
                              <a:lnTo>
                                <a:pt x="3997337" y="2152332"/>
                              </a:lnTo>
                              <a:lnTo>
                                <a:pt x="4032885" y="2147951"/>
                              </a:lnTo>
                              <a:lnTo>
                                <a:pt x="4099725" y="2120328"/>
                              </a:lnTo>
                              <a:lnTo>
                                <a:pt x="4132694" y="2097024"/>
                              </a:lnTo>
                              <a:lnTo>
                                <a:pt x="4165346" y="2067560"/>
                              </a:lnTo>
                              <a:lnTo>
                                <a:pt x="4209059" y="2013115"/>
                              </a:lnTo>
                              <a:lnTo>
                                <a:pt x="4232402" y="1957324"/>
                              </a:lnTo>
                              <a:lnTo>
                                <a:pt x="4237025" y="1928583"/>
                              </a:lnTo>
                              <a:lnTo>
                                <a:pt x="4237799" y="1898713"/>
                              </a:lnTo>
                              <a:close/>
                            </a:path>
                            <a:path w="5505450" h="5661025">
                              <a:moveTo>
                                <a:pt x="4680788" y="1444447"/>
                              </a:moveTo>
                              <a:lnTo>
                                <a:pt x="4676864" y="1403692"/>
                              </a:lnTo>
                              <a:lnTo>
                                <a:pt x="4666894" y="1362100"/>
                              </a:lnTo>
                              <a:lnTo>
                                <a:pt x="4650613" y="1319657"/>
                              </a:lnTo>
                              <a:lnTo>
                                <a:pt x="4632769" y="1285138"/>
                              </a:lnTo>
                              <a:lnTo>
                                <a:pt x="4610341" y="1249578"/>
                              </a:lnTo>
                              <a:lnTo>
                                <a:pt x="4583290" y="1213040"/>
                              </a:lnTo>
                              <a:lnTo>
                                <a:pt x="4551591" y="1175588"/>
                              </a:lnTo>
                              <a:lnTo>
                                <a:pt x="4515231" y="1137285"/>
                              </a:lnTo>
                              <a:lnTo>
                                <a:pt x="4499927" y="1123035"/>
                              </a:lnTo>
                              <a:lnTo>
                                <a:pt x="4499927" y="1436776"/>
                              </a:lnTo>
                              <a:lnTo>
                                <a:pt x="4496816" y="1462278"/>
                              </a:lnTo>
                              <a:lnTo>
                                <a:pt x="4470387" y="1506601"/>
                              </a:lnTo>
                              <a:lnTo>
                                <a:pt x="4426597" y="1532293"/>
                              </a:lnTo>
                              <a:lnTo>
                                <a:pt x="4400905" y="1535112"/>
                              </a:lnTo>
                              <a:lnTo>
                                <a:pt x="4372610" y="1531112"/>
                              </a:lnTo>
                              <a:lnTo>
                                <a:pt x="4307294" y="1499577"/>
                              </a:lnTo>
                              <a:lnTo>
                                <a:pt x="4269981" y="1470914"/>
                              </a:lnTo>
                              <a:lnTo>
                                <a:pt x="4229608" y="1433449"/>
                              </a:lnTo>
                              <a:lnTo>
                                <a:pt x="4191863" y="1392796"/>
                              </a:lnTo>
                              <a:lnTo>
                                <a:pt x="4162958" y="1355242"/>
                              </a:lnTo>
                              <a:lnTo>
                                <a:pt x="4142765" y="1320850"/>
                              </a:lnTo>
                              <a:lnTo>
                                <a:pt x="4127169" y="1261414"/>
                              </a:lnTo>
                              <a:lnTo>
                                <a:pt x="4129862" y="1235837"/>
                              </a:lnTo>
                              <a:lnTo>
                                <a:pt x="4154551" y="1193038"/>
                              </a:lnTo>
                              <a:lnTo>
                                <a:pt x="4198556" y="1166964"/>
                              </a:lnTo>
                              <a:lnTo>
                                <a:pt x="4224299" y="1163624"/>
                              </a:lnTo>
                              <a:lnTo>
                                <a:pt x="4252468" y="1166876"/>
                              </a:lnTo>
                              <a:lnTo>
                                <a:pt x="4316006" y="1196771"/>
                              </a:lnTo>
                              <a:lnTo>
                                <a:pt x="4351490" y="1223619"/>
                              </a:lnTo>
                              <a:lnTo>
                                <a:pt x="4389374" y="1258570"/>
                              </a:lnTo>
                              <a:lnTo>
                                <a:pt x="4430788" y="1302829"/>
                              </a:lnTo>
                              <a:lnTo>
                                <a:pt x="4462348" y="1342745"/>
                              </a:lnTo>
                              <a:lnTo>
                                <a:pt x="4484116" y="1378229"/>
                              </a:lnTo>
                              <a:lnTo>
                                <a:pt x="4499927" y="1436776"/>
                              </a:lnTo>
                              <a:lnTo>
                                <a:pt x="4499927" y="1123035"/>
                              </a:lnTo>
                              <a:lnTo>
                                <a:pt x="4470844" y="1095921"/>
                              </a:lnTo>
                              <a:lnTo>
                                <a:pt x="4426724" y="1060919"/>
                              </a:lnTo>
                              <a:lnTo>
                                <a:pt x="4382909" y="1032230"/>
                              </a:lnTo>
                              <a:lnTo>
                                <a:pt x="4339387" y="1009789"/>
                              </a:lnTo>
                              <a:lnTo>
                                <a:pt x="4296194" y="993521"/>
                              </a:lnTo>
                              <a:lnTo>
                                <a:pt x="4253357" y="983361"/>
                              </a:lnTo>
                              <a:lnTo>
                                <a:pt x="4203268" y="979881"/>
                              </a:lnTo>
                              <a:lnTo>
                                <a:pt x="4155440" y="986269"/>
                              </a:lnTo>
                              <a:lnTo>
                                <a:pt x="4109859" y="1002411"/>
                              </a:lnTo>
                              <a:lnTo>
                                <a:pt x="4066502" y="1028153"/>
                              </a:lnTo>
                              <a:lnTo>
                                <a:pt x="4025392" y="1063371"/>
                              </a:lnTo>
                              <a:lnTo>
                                <a:pt x="3991102" y="1103668"/>
                              </a:lnTo>
                              <a:lnTo>
                                <a:pt x="3966197" y="1146606"/>
                              </a:lnTo>
                              <a:lnTo>
                                <a:pt x="3950792" y="1192149"/>
                              </a:lnTo>
                              <a:lnTo>
                                <a:pt x="3945001" y="1240243"/>
                              </a:lnTo>
                              <a:lnTo>
                                <a:pt x="3948938" y="1290828"/>
                              </a:lnTo>
                              <a:lnTo>
                                <a:pt x="3959364" y="1334223"/>
                              </a:lnTo>
                              <a:lnTo>
                                <a:pt x="3975976" y="1377988"/>
                              </a:lnTo>
                              <a:lnTo>
                                <a:pt x="3998811" y="1422120"/>
                              </a:lnTo>
                              <a:lnTo>
                                <a:pt x="4027932" y="1466570"/>
                              </a:lnTo>
                              <a:lnTo>
                                <a:pt x="4063403" y="1511287"/>
                              </a:lnTo>
                              <a:lnTo>
                                <a:pt x="4105275" y="1556258"/>
                              </a:lnTo>
                              <a:lnTo>
                                <a:pt x="4143832" y="1592554"/>
                              </a:lnTo>
                              <a:lnTo>
                                <a:pt x="4182072" y="1624050"/>
                              </a:lnTo>
                              <a:lnTo>
                                <a:pt x="4219943" y="1650809"/>
                              </a:lnTo>
                              <a:lnTo>
                                <a:pt x="4257395" y="1672856"/>
                              </a:lnTo>
                              <a:lnTo>
                                <a:pt x="4294378" y="1690243"/>
                              </a:lnTo>
                              <a:lnTo>
                                <a:pt x="4339133" y="1705635"/>
                              </a:lnTo>
                              <a:lnTo>
                                <a:pt x="4381792" y="1714271"/>
                              </a:lnTo>
                              <a:lnTo>
                                <a:pt x="4422330" y="1716443"/>
                              </a:lnTo>
                              <a:lnTo>
                                <a:pt x="4460735" y="1712468"/>
                              </a:lnTo>
                              <a:lnTo>
                                <a:pt x="4533227" y="1684972"/>
                              </a:lnTo>
                              <a:lnTo>
                                <a:pt x="4568253" y="1661007"/>
                              </a:lnTo>
                              <a:lnTo>
                                <a:pt x="4602480" y="1630426"/>
                              </a:lnTo>
                              <a:lnTo>
                                <a:pt x="4632261" y="1596301"/>
                              </a:lnTo>
                              <a:lnTo>
                                <a:pt x="4655032" y="1560601"/>
                              </a:lnTo>
                              <a:lnTo>
                                <a:pt x="4670641" y="1523288"/>
                              </a:lnTo>
                              <a:lnTo>
                                <a:pt x="4678934" y="1484376"/>
                              </a:lnTo>
                              <a:lnTo>
                                <a:pt x="4680788" y="1444447"/>
                              </a:lnTo>
                              <a:close/>
                            </a:path>
                            <a:path w="5505450" h="5661025">
                              <a:moveTo>
                                <a:pt x="4986147" y="1227963"/>
                              </a:moveTo>
                              <a:lnTo>
                                <a:pt x="4780788" y="1022604"/>
                              </a:lnTo>
                              <a:lnTo>
                                <a:pt x="4848479" y="954913"/>
                              </a:lnTo>
                              <a:lnTo>
                                <a:pt x="4880622" y="916901"/>
                              </a:lnTo>
                              <a:lnTo>
                                <a:pt x="4884090" y="910590"/>
                              </a:lnTo>
                              <a:lnTo>
                                <a:pt x="4902111" y="877760"/>
                              </a:lnTo>
                              <a:lnTo>
                                <a:pt x="4912817" y="837577"/>
                              </a:lnTo>
                              <a:lnTo>
                                <a:pt x="4912614" y="796417"/>
                              </a:lnTo>
                              <a:lnTo>
                                <a:pt x="4902517" y="754748"/>
                              </a:lnTo>
                              <a:lnTo>
                                <a:pt x="4883442" y="713003"/>
                              </a:lnTo>
                              <a:lnTo>
                                <a:pt x="4855299" y="671169"/>
                              </a:lnTo>
                              <a:lnTo>
                                <a:pt x="4817999" y="629285"/>
                              </a:lnTo>
                              <a:lnTo>
                                <a:pt x="4777473" y="593026"/>
                              </a:lnTo>
                              <a:lnTo>
                                <a:pt x="4737443" y="565632"/>
                              </a:lnTo>
                              <a:lnTo>
                                <a:pt x="4731893" y="563016"/>
                              </a:lnTo>
                              <a:lnTo>
                                <a:pt x="4731893" y="812673"/>
                              </a:lnTo>
                              <a:lnTo>
                                <a:pt x="4731131" y="828903"/>
                              </a:lnTo>
                              <a:lnTo>
                                <a:pt x="4725314" y="845553"/>
                              </a:lnTo>
                              <a:lnTo>
                                <a:pt x="4714595" y="862672"/>
                              </a:lnTo>
                              <a:lnTo>
                                <a:pt x="4699127" y="880237"/>
                              </a:lnTo>
                              <a:lnTo>
                                <a:pt x="4668774" y="910590"/>
                              </a:lnTo>
                              <a:lnTo>
                                <a:pt x="4545330" y="787146"/>
                              </a:lnTo>
                              <a:lnTo>
                                <a:pt x="4580509" y="751967"/>
                              </a:lnTo>
                              <a:lnTo>
                                <a:pt x="4597628" y="737082"/>
                              </a:lnTo>
                              <a:lnTo>
                                <a:pt x="4614189" y="727290"/>
                              </a:lnTo>
                              <a:lnTo>
                                <a:pt x="4630229" y="722553"/>
                              </a:lnTo>
                              <a:lnTo>
                                <a:pt x="4645787" y="722884"/>
                              </a:lnTo>
                              <a:lnTo>
                                <a:pt x="4689233" y="742772"/>
                              </a:lnTo>
                              <a:lnTo>
                                <a:pt x="4723168" y="782447"/>
                              </a:lnTo>
                              <a:lnTo>
                                <a:pt x="4731893" y="812673"/>
                              </a:lnTo>
                              <a:lnTo>
                                <a:pt x="4731893" y="563016"/>
                              </a:lnTo>
                              <a:lnTo>
                                <a:pt x="4697946" y="546963"/>
                              </a:lnTo>
                              <a:lnTo>
                                <a:pt x="4658995" y="536829"/>
                              </a:lnTo>
                              <a:lnTo>
                                <a:pt x="4620869" y="536219"/>
                              </a:lnTo>
                              <a:lnTo>
                                <a:pt x="4584039" y="545515"/>
                              </a:lnTo>
                              <a:lnTo>
                                <a:pt x="4548530" y="564603"/>
                              </a:lnTo>
                              <a:lnTo>
                                <a:pt x="4514342" y="593344"/>
                              </a:lnTo>
                              <a:lnTo>
                                <a:pt x="4308729" y="798830"/>
                              </a:lnTo>
                              <a:lnTo>
                                <a:pt x="4861941" y="1352042"/>
                              </a:lnTo>
                              <a:lnTo>
                                <a:pt x="4986147" y="1227963"/>
                              </a:lnTo>
                              <a:close/>
                            </a:path>
                            <a:path w="5505450" h="5661025">
                              <a:moveTo>
                                <a:pt x="5505323" y="708660"/>
                              </a:moveTo>
                              <a:lnTo>
                                <a:pt x="5273548" y="477012"/>
                              </a:lnTo>
                              <a:lnTo>
                                <a:pt x="5240020" y="381711"/>
                              </a:lnTo>
                              <a:lnTo>
                                <a:pt x="5141201" y="95250"/>
                              </a:lnTo>
                              <a:lnTo>
                                <a:pt x="5107686" y="0"/>
                              </a:lnTo>
                              <a:lnTo>
                                <a:pt x="4971034" y="136652"/>
                              </a:lnTo>
                              <a:lnTo>
                                <a:pt x="4988852" y="181178"/>
                              </a:lnTo>
                              <a:lnTo>
                                <a:pt x="5041531" y="315112"/>
                              </a:lnTo>
                              <a:lnTo>
                                <a:pt x="5077079" y="404241"/>
                              </a:lnTo>
                              <a:lnTo>
                                <a:pt x="5032565" y="386359"/>
                              </a:lnTo>
                              <a:lnTo>
                                <a:pt x="4898745" y="333527"/>
                              </a:lnTo>
                              <a:lnTo>
                                <a:pt x="4809744" y="297942"/>
                              </a:lnTo>
                              <a:lnTo>
                                <a:pt x="4672457" y="435229"/>
                              </a:lnTo>
                              <a:lnTo>
                                <a:pt x="4767770" y="468693"/>
                              </a:lnTo>
                              <a:lnTo>
                                <a:pt x="5054397" y="567385"/>
                              </a:lnTo>
                              <a:lnTo>
                                <a:pt x="5149723" y="600837"/>
                              </a:lnTo>
                              <a:lnTo>
                                <a:pt x="5381498" y="832485"/>
                              </a:lnTo>
                              <a:lnTo>
                                <a:pt x="5505323"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64.810013pt;margin-top:83.019974pt;width:433.5pt;height:445.75pt;mso-position-horizontal-relative:page;mso-position-vertical-relative:page;z-index:-25176576" id="docshape278" coordorigin="3296,1660" coordsize="8670,8915" path="m4362,10380l3491,9509,3296,9704,4167,10575,4362,10380xm4954,9704l4953,9665,4948,9622,4939,9578,4925,9534,4906,9490,4883,9447,4855,9405,4825,9364,4791,9324,4754,9285,4235,8765,4041,8959,4572,9491,4605,9527,4629,9562,4646,9597,4656,9631,4658,9664,4651,9695,4637,9723,4616,9749,4590,9771,4561,9785,4530,9791,4497,9789,4463,9779,4428,9763,4393,9738,4357,9706,3826,9175,3631,9369,4151,9888,4185,9920,4224,9953,4268,9985,4316,10018,4348,10036,4383,10052,4420,10065,4458,10076,4497,10084,4533,10088,4567,10088,4600,10085,4631,10078,4663,10066,4695,10050,4726,10029,4757,10006,4785,9983,4811,9960,4835,9937,4871,9897,4902,9856,4925,9815,4942,9773,4950,9740,4954,9704xm5682,8921l5676,8857,5660,8791,5634,8724,5606,8670,5571,8614,5528,8556,5478,8497,5461,8479,5421,8437,5397,8415,5397,8909,5392,8949,5377,8986,5351,9019,5318,9044,5281,9059,5241,9064,5196,9057,5147,9039,5094,9008,5035,8963,4971,8903,4912,8839,4866,8780,4835,8726,4816,8677,4810,8633,4814,8592,4829,8556,4853,8525,4886,8499,4922,8484,4963,8479,5007,8484,5055,8501,5107,8531,5163,8573,5223,8628,5288,8698,5338,8761,5372,8817,5391,8865,5397,8909,5397,8415,5351,8372,5282,8317,5213,8272,5144,8236,5076,8211,5009,8195,4930,8189,4855,8199,4783,8225,4714,8265,4650,8321,4596,8384,4556,8452,4532,8523,4523,8599,4529,8679,4546,8747,4572,8816,4608,8886,4654,8956,4710,9026,4776,9097,4836,9154,4896,9204,4956,9246,5015,9280,5073,9308,5144,9332,5211,9346,5275,9349,5335,9343,5393,9327,5449,9300,5505,9262,5558,9214,5605,9160,5641,9104,5658,9064,5666,9045,5679,8984,5682,8921xm5953,8341l5766,8154,5512,8408,5699,8595,5953,8341xm6464,8279l5593,7407,5398,7602,6269,8474,6464,8279xm6798,7944l6475,7621,6581,7514,6632,7455,6637,7445,6666,7393,6683,7330,6682,7265,6666,7199,6643,7148,6636,7134,6592,7068,6533,7002,6470,6945,6407,6901,6398,6897,6398,7290,6397,7316,6387,7342,6370,7369,6346,7397,6298,7445,6104,7250,6159,7195,6186,7171,6212,7156,6238,7148,6262,7149,6286,7155,6309,7166,6331,7180,6352,7199,6370,7220,6384,7243,6393,7266,6398,7290,6398,6897,6344,6872,6283,6856,6223,6855,6165,6870,6109,6900,6055,6945,5731,7269,6603,8140,6798,7944xm7588,7155l6932,6499,7130,6300,6915,6085,6324,6677,6539,6892,6737,6693,7393,7349,7588,7155xm8223,6519l7567,5863,7766,5665,7551,5450,6959,6041,7174,6256,7373,6058,8029,6714,8223,6519xm8957,5646l8951,5582,8935,5516,8909,5449,8881,5395,8846,5339,8803,5282,8753,5223,8735,5204,8696,5162,8672,5140,8672,5634,8667,5674,8651,5711,8625,5744,8593,5769,8556,5784,8516,5789,8471,5782,8422,5764,8369,5733,8310,5688,8246,5629,8187,5565,8141,5505,8109,5451,8091,5402,8085,5358,8089,5317,8104,5282,8128,5250,8161,5224,8197,5209,8238,5204,8282,5209,8330,5226,8382,5256,8438,5298,8498,5353,8563,5423,8613,5486,8647,5542,8666,5590,8672,5634,8672,5140,8626,5097,8556,5042,8487,4997,8419,4962,8351,4936,8283,4920,8205,4914,8129,4924,8058,4950,7989,4990,7925,5046,7871,5109,7831,5177,7807,5249,7798,5324,7804,5404,7821,5472,7847,5541,7883,5611,7929,5681,7984,5751,8050,5822,8111,5879,8171,5929,8231,5971,8290,6006,8348,6033,8419,6057,8486,6071,8550,6074,8610,6068,8668,6052,8724,6025,8779,5987,8833,5939,8880,5885,8916,5829,8933,5789,8941,5770,8954,5709,8957,5646xm9970,4650l9965,4602,9953,4551,9934,4498,9909,4444,9879,4388,9841,4331,9780,4356,9599,4430,9631,4477,9655,4520,9673,4560,9684,4597,9687,4633,9681,4666,9666,4697,9643,4726,9612,4749,9578,4763,9540,4768,9500,4761,9453,4743,9400,4709,9338,4659,9269,4595,9217,4538,9175,4486,9144,4439,9124,4396,9111,4344,9112,4298,9125,4257,9152,4221,9167,4208,9184,4198,9202,4190,9222,4185,9242,4183,9264,4183,9286,4187,9309,4193,9324,4198,9342,4207,9363,4218,9386,4232,9505,4007,9422,3961,9343,3929,9269,3910,9200,3904,9133,3911,9069,3934,9006,3972,8946,4024,8892,4087,8854,4154,8830,4224,8821,4298,8827,4375,8844,4442,8870,4510,8906,4579,8953,4649,9009,4720,9076,4791,9141,4852,9204,4904,9267,4948,9329,4983,9390,5011,9462,5034,9530,5047,9591,5050,9647,5043,9700,5026,9752,4999,9804,4963,9856,4916,9894,4874,9925,4831,9947,4787,9961,4743,9969,4698,9970,4650xm10668,3935l10661,3871,10646,3805,10620,3739,10592,3684,10557,3628,10514,3571,10464,3512,10446,3493,10407,3451,10383,3429,10383,3923,10378,3963,10362,4000,10336,4033,10304,4058,10267,4073,10227,4078,10182,4072,10133,4053,10079,4022,10021,3977,9957,3918,9898,3854,9852,3795,9820,3740,9802,3691,9796,3647,9800,3607,9814,3571,9839,3539,9871,3514,9908,3498,9949,3493,9993,3498,10041,3515,10093,3545,10149,3587,10209,3642,10274,3712,10324,3775,10358,3831,10377,3880,10383,3923,10383,3429,10337,3386,10267,3331,10198,3286,10130,3251,10062,3225,9994,3209,9916,3204,9840,3214,9768,3239,9700,3280,9635,3335,9581,3398,9542,3466,9518,3538,9509,3614,9515,3693,9531,3762,9558,3830,9594,3900,9639,3970,9695,4040,9761,4111,9822,4168,9882,4218,9942,4260,10001,4295,10059,4322,10129,4346,10197,4360,10261,4363,10321,4357,10379,4341,10435,4314,10490,4276,10544,4228,10591,4174,10627,4118,10644,4078,10652,4059,10665,3998,10668,3935xm11148,3594l10825,3271,10932,3164,10982,3104,10988,3094,11016,3043,11033,2979,11033,2915,11017,2849,10994,2798,10987,2783,10942,2717,10884,2651,10820,2594,10757,2551,10748,2547,10748,2940,10747,2966,10738,2992,10721,3019,10696,3047,10649,3094,10454,2900,10510,2845,10537,2821,10563,2806,10588,2798,10612,2799,10636,2805,10659,2816,10681,2830,10702,2849,10720,2870,10734,2893,10743,2916,10748,2940,10748,2547,10695,2522,10633,2506,10573,2505,10515,2519,10459,2550,10405,2595,10082,2918,10953,3790,11148,3594xm11966,2776l11601,2412,11548,2262,11393,1810,11340,1660,11125,1876,11153,1946,11236,2157,11292,2297,11222,2269,11011,2186,10871,2130,10654,2346,10805,2398,11256,2554,11406,2607,11771,2971,11966,2776xe" filled="true" fillcolor="#c0c0c0" stroked="false">
                <v:path arrowok="t"/>
                <v:fill opacity="32896f" type="solid"/>
                <w10:wrap type="none"/>
              </v:shape>
            </w:pict>
          </mc:Fallback>
        </mc:AlternateContent>
      </w:r>
      <w:r>
        <w:rPr>
          <w:b/>
          <w:spacing w:val="-2"/>
          <w:sz w:val="25"/>
        </w:rPr>
        <w:t>COINTEGRATION</w:t>
      </w:r>
      <w:r>
        <w:rPr>
          <w:b/>
          <w:spacing w:val="4"/>
          <w:sz w:val="25"/>
        </w:rPr>
        <w:t> </w:t>
      </w:r>
      <w:r>
        <w:rPr>
          <w:b/>
          <w:spacing w:val="-2"/>
          <w:sz w:val="25"/>
        </w:rPr>
        <w:t>RESULT</w:t>
      </w:r>
    </w:p>
    <w:p>
      <w:pPr>
        <w:pStyle w:val="BodyText"/>
        <w:spacing w:before="80"/>
        <w:ind w:left="0"/>
        <w:rPr>
          <w:b/>
          <w:sz w:val="20"/>
        </w:rPr>
      </w:pP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4"/>
        <w:gridCol w:w="1406"/>
        <w:gridCol w:w="1321"/>
        <w:gridCol w:w="1591"/>
        <w:gridCol w:w="1295"/>
      </w:tblGrid>
      <w:tr>
        <w:trPr>
          <w:trHeight w:val="213" w:hRule="atLeast"/>
        </w:trPr>
        <w:tc>
          <w:tcPr>
            <w:tcW w:w="7057" w:type="dxa"/>
            <w:gridSpan w:val="5"/>
          </w:tcPr>
          <w:p>
            <w:pPr>
              <w:pStyle w:val="TableParagraph"/>
              <w:spacing w:line="193" w:lineRule="exact" w:before="0"/>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06:21</w:t>
            </w:r>
          </w:p>
        </w:tc>
      </w:tr>
      <w:tr>
        <w:trPr>
          <w:trHeight w:val="225" w:hRule="atLeast"/>
        </w:trPr>
        <w:tc>
          <w:tcPr>
            <w:tcW w:w="7057" w:type="dxa"/>
            <w:gridSpan w:val="5"/>
          </w:tcPr>
          <w:p>
            <w:pPr>
              <w:pStyle w:val="TableParagraph"/>
              <w:rPr>
                <w:sz w:val="18"/>
              </w:rPr>
            </w:pPr>
            <w:r>
              <w:rPr>
                <w:sz w:val="18"/>
              </w:rPr>
              <w:t>Sample</w:t>
            </w:r>
            <w:r>
              <w:rPr>
                <w:spacing w:val="-7"/>
                <w:sz w:val="18"/>
              </w:rPr>
              <w:t> </w:t>
            </w:r>
            <w:r>
              <w:rPr>
                <w:sz w:val="18"/>
              </w:rPr>
              <w:t>(adjusted):</w:t>
            </w:r>
            <w:r>
              <w:rPr>
                <w:spacing w:val="-6"/>
                <w:sz w:val="18"/>
              </w:rPr>
              <w:t> </w:t>
            </w:r>
            <w:r>
              <w:rPr>
                <w:sz w:val="18"/>
              </w:rPr>
              <w:t>1988</w:t>
            </w:r>
            <w:r>
              <w:rPr>
                <w:spacing w:val="-4"/>
                <w:sz w:val="18"/>
              </w:rPr>
              <w:t> 2020</w:t>
            </w:r>
          </w:p>
        </w:tc>
      </w:tr>
      <w:tr>
        <w:trPr>
          <w:trHeight w:val="224" w:hRule="atLeast"/>
        </w:trPr>
        <w:tc>
          <w:tcPr>
            <w:tcW w:w="7057" w:type="dxa"/>
            <w:gridSpan w:val="5"/>
          </w:tcPr>
          <w:p>
            <w:pPr>
              <w:pStyle w:val="TableParagraph"/>
              <w:spacing w:line="198" w:lineRule="exact"/>
              <w:rPr>
                <w:sz w:val="18"/>
              </w:rPr>
            </w:pPr>
            <w:r>
              <w:rPr>
                <w:sz w:val="18"/>
              </w:rPr>
              <w:t>Included</w:t>
            </w:r>
            <w:r>
              <w:rPr>
                <w:spacing w:val="-7"/>
                <w:sz w:val="18"/>
              </w:rPr>
              <w:t> </w:t>
            </w:r>
            <w:r>
              <w:rPr>
                <w:sz w:val="18"/>
              </w:rPr>
              <w:t>observations:</w:t>
            </w:r>
            <w:r>
              <w:rPr>
                <w:spacing w:val="-5"/>
                <w:sz w:val="18"/>
              </w:rPr>
              <w:t> </w:t>
            </w:r>
            <w:r>
              <w:rPr>
                <w:sz w:val="18"/>
              </w:rPr>
              <w:t>33</w:t>
            </w:r>
            <w:r>
              <w:rPr>
                <w:spacing w:val="-5"/>
                <w:sz w:val="18"/>
              </w:rPr>
              <w:t> </w:t>
            </w:r>
            <w:r>
              <w:rPr>
                <w:sz w:val="18"/>
              </w:rPr>
              <w:t>after</w:t>
            </w:r>
            <w:r>
              <w:rPr>
                <w:spacing w:val="-2"/>
                <w:sz w:val="18"/>
              </w:rPr>
              <w:t> adjustments</w:t>
            </w:r>
          </w:p>
        </w:tc>
      </w:tr>
      <w:tr>
        <w:trPr>
          <w:trHeight w:val="224" w:hRule="atLeast"/>
        </w:trPr>
        <w:tc>
          <w:tcPr>
            <w:tcW w:w="7057" w:type="dxa"/>
            <w:gridSpan w:val="5"/>
          </w:tcPr>
          <w:p>
            <w:pPr>
              <w:pStyle w:val="TableParagraph"/>
              <w:spacing w:before="5"/>
              <w:rPr>
                <w:sz w:val="18"/>
              </w:rPr>
            </w:pPr>
            <w:r>
              <w:rPr>
                <w:sz w:val="18"/>
              </w:rPr>
              <w:t>Trend</w:t>
            </w:r>
            <w:r>
              <w:rPr>
                <w:spacing w:val="-7"/>
                <w:sz w:val="18"/>
              </w:rPr>
              <w:t> </w:t>
            </w:r>
            <w:r>
              <w:rPr>
                <w:sz w:val="18"/>
              </w:rPr>
              <w:t>assumption:</w:t>
            </w:r>
            <w:r>
              <w:rPr>
                <w:spacing w:val="-5"/>
                <w:sz w:val="18"/>
              </w:rPr>
              <w:t> </w:t>
            </w:r>
            <w:r>
              <w:rPr>
                <w:sz w:val="18"/>
              </w:rPr>
              <w:t>Linear</w:t>
            </w:r>
            <w:r>
              <w:rPr>
                <w:spacing w:val="-6"/>
                <w:sz w:val="18"/>
              </w:rPr>
              <w:t> </w:t>
            </w:r>
            <w:r>
              <w:rPr>
                <w:sz w:val="18"/>
              </w:rPr>
              <w:t>deterministic</w:t>
            </w:r>
            <w:r>
              <w:rPr>
                <w:spacing w:val="-3"/>
                <w:sz w:val="18"/>
              </w:rPr>
              <w:t> </w:t>
            </w:r>
            <w:r>
              <w:rPr>
                <w:spacing w:val="-2"/>
                <w:sz w:val="18"/>
              </w:rPr>
              <w:t>trend</w:t>
            </w:r>
          </w:p>
        </w:tc>
      </w:tr>
      <w:tr>
        <w:trPr>
          <w:trHeight w:val="225" w:hRule="atLeast"/>
        </w:trPr>
        <w:tc>
          <w:tcPr>
            <w:tcW w:w="7057" w:type="dxa"/>
            <w:gridSpan w:val="5"/>
          </w:tcPr>
          <w:p>
            <w:pPr>
              <w:pStyle w:val="TableParagraph"/>
              <w:rPr>
                <w:sz w:val="18"/>
              </w:rPr>
            </w:pPr>
            <w:r>
              <w:rPr>
                <w:sz w:val="18"/>
              </w:rPr>
              <w:t>Series:</w:t>
            </w:r>
            <w:r>
              <w:rPr>
                <w:spacing w:val="-5"/>
                <w:sz w:val="18"/>
              </w:rPr>
              <w:t> </w:t>
            </w:r>
            <w:r>
              <w:rPr>
                <w:sz w:val="18"/>
              </w:rPr>
              <w:t>RGDP</w:t>
            </w:r>
            <w:r>
              <w:rPr>
                <w:spacing w:val="-3"/>
                <w:sz w:val="18"/>
              </w:rPr>
              <w:t> </w:t>
            </w:r>
            <w:r>
              <w:rPr>
                <w:sz w:val="18"/>
              </w:rPr>
              <w:t>FDI</w:t>
            </w:r>
            <w:r>
              <w:rPr>
                <w:spacing w:val="-2"/>
                <w:sz w:val="18"/>
              </w:rPr>
              <w:t> </w:t>
            </w:r>
            <w:r>
              <w:rPr>
                <w:sz w:val="18"/>
              </w:rPr>
              <w:t>FPI</w:t>
            </w:r>
            <w:r>
              <w:rPr>
                <w:spacing w:val="-3"/>
                <w:sz w:val="18"/>
              </w:rPr>
              <w:t> </w:t>
            </w:r>
            <w:r>
              <w:rPr>
                <w:sz w:val="18"/>
              </w:rPr>
              <w:t>TOP</w:t>
            </w:r>
            <w:r>
              <w:rPr>
                <w:spacing w:val="-2"/>
                <w:sz w:val="18"/>
              </w:rPr>
              <w:t> </w:t>
            </w:r>
            <w:r>
              <w:rPr>
                <w:sz w:val="18"/>
              </w:rPr>
              <w:t>REM</w:t>
            </w:r>
            <w:r>
              <w:rPr>
                <w:spacing w:val="-2"/>
                <w:sz w:val="18"/>
              </w:rPr>
              <w:t> </w:t>
            </w:r>
            <w:r>
              <w:rPr>
                <w:sz w:val="18"/>
              </w:rPr>
              <w:t>ODA</w:t>
            </w:r>
            <w:r>
              <w:rPr>
                <w:spacing w:val="-2"/>
                <w:sz w:val="18"/>
              </w:rPr>
              <w:t> </w:t>
            </w:r>
            <w:r>
              <w:rPr>
                <w:sz w:val="18"/>
              </w:rPr>
              <w:t>CPS_GDP</w:t>
            </w:r>
            <w:r>
              <w:rPr>
                <w:spacing w:val="-3"/>
                <w:sz w:val="18"/>
              </w:rPr>
              <w:t> </w:t>
            </w:r>
            <w:r>
              <w:rPr>
                <w:sz w:val="18"/>
              </w:rPr>
              <w:t>INT</w:t>
            </w:r>
            <w:r>
              <w:rPr>
                <w:spacing w:val="-2"/>
                <w:sz w:val="18"/>
              </w:rPr>
              <w:t> </w:t>
            </w:r>
            <w:r>
              <w:rPr>
                <w:spacing w:val="-4"/>
                <w:sz w:val="18"/>
              </w:rPr>
              <w:t>EXCH</w:t>
            </w:r>
          </w:p>
        </w:tc>
      </w:tr>
      <w:tr>
        <w:trPr>
          <w:trHeight w:val="337" w:hRule="atLeast"/>
        </w:trPr>
        <w:tc>
          <w:tcPr>
            <w:tcW w:w="7057" w:type="dxa"/>
            <w:gridSpan w:val="5"/>
          </w:tcPr>
          <w:p>
            <w:pPr>
              <w:pStyle w:val="TableParagraph"/>
              <w:spacing w:line="240" w:lineRule="auto"/>
              <w:rPr>
                <w:sz w:val="18"/>
              </w:rPr>
            </w:pPr>
            <w:r>
              <w:rPr>
                <w:sz w:val="18"/>
              </w:rPr>
              <w:t>Lags</w:t>
            </w:r>
            <w:r>
              <w:rPr>
                <w:spacing w:val="-7"/>
                <w:sz w:val="18"/>
              </w:rPr>
              <w:t> </w:t>
            </w:r>
            <w:r>
              <w:rPr>
                <w:sz w:val="18"/>
              </w:rPr>
              <w:t>interval</w:t>
            </w:r>
            <w:r>
              <w:rPr>
                <w:spacing w:val="-3"/>
                <w:sz w:val="18"/>
              </w:rPr>
              <w:t> </w:t>
            </w:r>
            <w:r>
              <w:rPr>
                <w:sz w:val="18"/>
              </w:rPr>
              <w:t>(in</w:t>
            </w:r>
            <w:r>
              <w:rPr>
                <w:spacing w:val="-3"/>
                <w:sz w:val="18"/>
              </w:rPr>
              <w:t> </w:t>
            </w:r>
            <w:r>
              <w:rPr>
                <w:sz w:val="18"/>
              </w:rPr>
              <w:t>first</w:t>
            </w:r>
            <w:r>
              <w:rPr>
                <w:spacing w:val="-2"/>
                <w:sz w:val="18"/>
              </w:rPr>
              <w:t> </w:t>
            </w:r>
            <w:r>
              <w:rPr>
                <w:sz w:val="18"/>
              </w:rPr>
              <w:t>differences):</w:t>
            </w:r>
            <w:r>
              <w:rPr>
                <w:spacing w:val="-3"/>
                <w:sz w:val="18"/>
              </w:rPr>
              <w:t> </w:t>
            </w:r>
            <w:r>
              <w:rPr>
                <w:sz w:val="18"/>
              </w:rPr>
              <w:t>1</w:t>
            </w:r>
            <w:r>
              <w:rPr>
                <w:spacing w:val="-3"/>
                <w:sz w:val="18"/>
              </w:rPr>
              <w:t> </w:t>
            </w:r>
            <w:r>
              <w:rPr>
                <w:sz w:val="18"/>
              </w:rPr>
              <w:t>to</w:t>
            </w:r>
            <w:r>
              <w:rPr>
                <w:spacing w:val="-2"/>
                <w:sz w:val="18"/>
              </w:rPr>
              <w:t> </w:t>
            </w:r>
            <w:r>
              <w:rPr>
                <w:spacing w:val="-10"/>
                <w:sz w:val="18"/>
              </w:rPr>
              <w:t>1</w:t>
            </w:r>
          </w:p>
        </w:tc>
      </w:tr>
      <w:tr>
        <w:trPr>
          <w:trHeight w:val="416" w:hRule="atLeast"/>
        </w:trPr>
        <w:tc>
          <w:tcPr>
            <w:tcW w:w="7057" w:type="dxa"/>
            <w:gridSpan w:val="5"/>
            <w:tcBorders>
              <w:bottom w:val="double" w:sz="6" w:space="0" w:color="000000"/>
            </w:tcBorders>
          </w:tcPr>
          <w:p>
            <w:pPr>
              <w:pStyle w:val="TableParagraph"/>
              <w:spacing w:line="240" w:lineRule="auto" w:before="118"/>
              <w:rPr>
                <w:sz w:val="18"/>
              </w:rPr>
            </w:pPr>
            <w:r>
              <w:rPr>
                <w:sz w:val="18"/>
              </w:rPr>
              <w:t>Unrestricted</w:t>
            </w:r>
            <w:r>
              <w:rPr>
                <w:spacing w:val="-12"/>
                <w:sz w:val="18"/>
              </w:rPr>
              <w:t> </w:t>
            </w:r>
            <w:r>
              <w:rPr>
                <w:sz w:val="18"/>
              </w:rPr>
              <w:t>Cointegration</w:t>
            </w:r>
            <w:r>
              <w:rPr>
                <w:spacing w:val="-12"/>
                <w:sz w:val="18"/>
              </w:rPr>
              <w:t> </w:t>
            </w:r>
            <w:r>
              <w:rPr>
                <w:sz w:val="18"/>
              </w:rPr>
              <w:t>Rank</w:t>
            </w:r>
            <w:r>
              <w:rPr>
                <w:spacing w:val="-11"/>
                <w:sz w:val="18"/>
              </w:rPr>
              <w:t> </w:t>
            </w:r>
            <w:r>
              <w:rPr>
                <w:sz w:val="18"/>
              </w:rPr>
              <w:t>Test</w:t>
            </w:r>
            <w:r>
              <w:rPr>
                <w:spacing w:val="-12"/>
                <w:sz w:val="18"/>
              </w:rPr>
              <w:t> </w:t>
            </w:r>
            <w:r>
              <w:rPr>
                <w:spacing w:val="-2"/>
                <w:sz w:val="18"/>
              </w:rPr>
              <w:t>(Trace)</w:t>
            </w:r>
          </w:p>
        </w:tc>
      </w:tr>
      <w:tr>
        <w:trPr>
          <w:trHeight w:val="327" w:hRule="atLeast"/>
        </w:trPr>
        <w:tc>
          <w:tcPr>
            <w:tcW w:w="1444" w:type="dxa"/>
            <w:tcBorders>
              <w:top w:val="double" w:sz="6" w:space="0" w:color="000000"/>
            </w:tcBorders>
          </w:tcPr>
          <w:p>
            <w:pPr>
              <w:pStyle w:val="TableParagraph"/>
              <w:spacing w:before="108"/>
              <w:ind w:left="3" w:right="56"/>
              <w:jc w:val="center"/>
              <w:rPr>
                <w:sz w:val="18"/>
              </w:rPr>
            </w:pPr>
            <w:r>
              <w:rPr>
                <w:spacing w:val="-2"/>
                <w:sz w:val="18"/>
              </w:rPr>
              <w:t>Hypothesized</w:t>
            </w:r>
          </w:p>
        </w:tc>
        <w:tc>
          <w:tcPr>
            <w:tcW w:w="1406" w:type="dxa"/>
            <w:tcBorders>
              <w:top w:val="double" w:sz="6" w:space="0" w:color="000000"/>
            </w:tcBorders>
          </w:tcPr>
          <w:p>
            <w:pPr>
              <w:pStyle w:val="TableParagraph"/>
              <w:spacing w:line="240" w:lineRule="auto" w:before="0"/>
              <w:rPr>
                <w:rFonts w:ascii="Times New Roman"/>
                <w:sz w:val="18"/>
              </w:rPr>
            </w:pPr>
          </w:p>
        </w:tc>
        <w:tc>
          <w:tcPr>
            <w:tcW w:w="1321" w:type="dxa"/>
            <w:tcBorders>
              <w:top w:val="double" w:sz="6" w:space="0" w:color="000000"/>
            </w:tcBorders>
          </w:tcPr>
          <w:p>
            <w:pPr>
              <w:pStyle w:val="TableParagraph"/>
              <w:spacing w:before="108"/>
              <w:ind w:left="53" w:right="50"/>
              <w:jc w:val="center"/>
              <w:rPr>
                <w:sz w:val="18"/>
              </w:rPr>
            </w:pPr>
            <w:r>
              <w:rPr>
                <w:spacing w:val="-2"/>
                <w:sz w:val="18"/>
              </w:rPr>
              <w:t>Trace</w:t>
            </w:r>
          </w:p>
        </w:tc>
        <w:tc>
          <w:tcPr>
            <w:tcW w:w="1591" w:type="dxa"/>
            <w:tcBorders>
              <w:top w:val="double" w:sz="6" w:space="0" w:color="000000"/>
            </w:tcBorders>
          </w:tcPr>
          <w:p>
            <w:pPr>
              <w:pStyle w:val="TableParagraph"/>
              <w:spacing w:before="108"/>
              <w:ind w:left="1" w:right="69"/>
              <w:jc w:val="center"/>
              <w:rPr>
                <w:sz w:val="18"/>
              </w:rPr>
            </w:pPr>
            <w:r>
              <w:rPr>
                <w:spacing w:val="-4"/>
                <w:sz w:val="18"/>
              </w:rPr>
              <w:t>0.05</w:t>
            </w:r>
          </w:p>
        </w:tc>
        <w:tc>
          <w:tcPr>
            <w:tcW w:w="1295" w:type="dxa"/>
            <w:tcBorders>
              <w:top w:val="double" w:sz="6" w:space="0" w:color="000000"/>
            </w:tcBorders>
          </w:tcPr>
          <w:p>
            <w:pPr>
              <w:pStyle w:val="TableParagraph"/>
              <w:spacing w:line="240" w:lineRule="auto" w:before="0"/>
              <w:rPr>
                <w:rFonts w:ascii="Times New Roman"/>
                <w:sz w:val="18"/>
              </w:rPr>
            </w:pPr>
          </w:p>
        </w:tc>
      </w:tr>
      <w:tr>
        <w:trPr>
          <w:trHeight w:val="301" w:hRule="atLeast"/>
        </w:trPr>
        <w:tc>
          <w:tcPr>
            <w:tcW w:w="1444" w:type="dxa"/>
            <w:tcBorders>
              <w:bottom w:val="double" w:sz="6" w:space="0" w:color="000000"/>
            </w:tcBorders>
          </w:tcPr>
          <w:p>
            <w:pPr>
              <w:pStyle w:val="TableParagraph"/>
              <w:spacing w:line="240" w:lineRule="auto"/>
              <w:ind w:left="2" w:right="56"/>
              <w:jc w:val="center"/>
              <w:rPr>
                <w:sz w:val="18"/>
              </w:rPr>
            </w:pPr>
            <w:r>
              <w:rPr>
                <w:sz w:val="18"/>
              </w:rPr>
              <w:t>No. of </w:t>
            </w:r>
            <w:r>
              <w:rPr>
                <w:spacing w:val="-2"/>
                <w:sz w:val="18"/>
              </w:rPr>
              <w:t>CE(s)</w:t>
            </w:r>
          </w:p>
        </w:tc>
        <w:tc>
          <w:tcPr>
            <w:tcW w:w="1406" w:type="dxa"/>
            <w:tcBorders>
              <w:bottom w:val="double" w:sz="6" w:space="0" w:color="000000"/>
            </w:tcBorders>
          </w:tcPr>
          <w:p>
            <w:pPr>
              <w:pStyle w:val="TableParagraph"/>
              <w:spacing w:line="240" w:lineRule="auto"/>
              <w:ind w:left="53" w:right="155"/>
              <w:jc w:val="center"/>
              <w:rPr>
                <w:sz w:val="18"/>
              </w:rPr>
            </w:pPr>
            <w:r>
              <w:rPr>
                <w:spacing w:val="-2"/>
                <w:sz w:val="18"/>
              </w:rPr>
              <w:t>Eigenvalue</w:t>
            </w:r>
          </w:p>
        </w:tc>
        <w:tc>
          <w:tcPr>
            <w:tcW w:w="1321" w:type="dxa"/>
            <w:tcBorders>
              <w:bottom w:val="double" w:sz="6" w:space="0" w:color="000000"/>
            </w:tcBorders>
          </w:tcPr>
          <w:p>
            <w:pPr>
              <w:pStyle w:val="TableParagraph"/>
              <w:spacing w:line="240" w:lineRule="auto"/>
              <w:ind w:left="53" w:right="53"/>
              <w:jc w:val="center"/>
              <w:rPr>
                <w:sz w:val="18"/>
              </w:rPr>
            </w:pPr>
            <w:r>
              <w:rPr>
                <w:spacing w:val="-2"/>
                <w:sz w:val="18"/>
              </w:rPr>
              <w:t>Statistic</w:t>
            </w:r>
          </w:p>
        </w:tc>
        <w:tc>
          <w:tcPr>
            <w:tcW w:w="1591" w:type="dxa"/>
            <w:tcBorders>
              <w:bottom w:val="double" w:sz="6" w:space="0" w:color="000000"/>
            </w:tcBorders>
          </w:tcPr>
          <w:p>
            <w:pPr>
              <w:pStyle w:val="TableParagraph"/>
              <w:spacing w:line="240" w:lineRule="auto"/>
              <w:ind w:right="69"/>
              <w:jc w:val="center"/>
              <w:rPr>
                <w:sz w:val="18"/>
              </w:rPr>
            </w:pPr>
            <w:r>
              <w:rPr>
                <w:sz w:val="18"/>
              </w:rPr>
              <w:t>Critical</w:t>
            </w:r>
            <w:r>
              <w:rPr>
                <w:spacing w:val="-6"/>
                <w:sz w:val="18"/>
              </w:rPr>
              <w:t> </w:t>
            </w:r>
            <w:r>
              <w:rPr>
                <w:spacing w:val="-2"/>
                <w:sz w:val="18"/>
              </w:rPr>
              <w:t>Value</w:t>
            </w:r>
          </w:p>
        </w:tc>
        <w:tc>
          <w:tcPr>
            <w:tcW w:w="1295" w:type="dxa"/>
            <w:tcBorders>
              <w:bottom w:val="double" w:sz="6" w:space="0" w:color="000000"/>
            </w:tcBorders>
          </w:tcPr>
          <w:p>
            <w:pPr>
              <w:pStyle w:val="TableParagraph"/>
              <w:spacing w:line="240" w:lineRule="auto"/>
              <w:ind w:left="301"/>
              <w:rPr>
                <w:sz w:val="18"/>
              </w:rPr>
            </w:pPr>
            <w:r>
              <w:rPr>
                <w:spacing w:val="-2"/>
                <w:sz w:val="18"/>
              </w:rPr>
              <w:t>Prob.**</w:t>
            </w:r>
          </w:p>
        </w:tc>
      </w:tr>
      <w:tr>
        <w:trPr>
          <w:trHeight w:val="327" w:hRule="atLeast"/>
        </w:trPr>
        <w:tc>
          <w:tcPr>
            <w:tcW w:w="1444" w:type="dxa"/>
            <w:tcBorders>
              <w:top w:val="double" w:sz="6" w:space="0" w:color="000000"/>
            </w:tcBorders>
          </w:tcPr>
          <w:p>
            <w:pPr>
              <w:pStyle w:val="TableParagraph"/>
              <w:spacing w:before="108"/>
              <w:ind w:left="2" w:right="56"/>
              <w:jc w:val="center"/>
              <w:rPr>
                <w:sz w:val="18"/>
              </w:rPr>
            </w:pPr>
            <w:r>
              <w:rPr>
                <w:sz w:val="18"/>
              </w:rPr>
              <w:t>None</w:t>
            </w:r>
            <w:r>
              <w:rPr>
                <w:spacing w:val="-7"/>
                <w:sz w:val="18"/>
              </w:rPr>
              <w:t> </w:t>
            </w:r>
            <w:r>
              <w:rPr>
                <w:spacing w:val="-10"/>
                <w:sz w:val="18"/>
              </w:rPr>
              <w:t>*</w:t>
            </w:r>
          </w:p>
        </w:tc>
        <w:tc>
          <w:tcPr>
            <w:tcW w:w="1406" w:type="dxa"/>
            <w:tcBorders>
              <w:top w:val="double" w:sz="6" w:space="0" w:color="000000"/>
            </w:tcBorders>
          </w:tcPr>
          <w:p>
            <w:pPr>
              <w:pStyle w:val="TableParagraph"/>
              <w:spacing w:before="108"/>
              <w:ind w:left="53" w:right="107"/>
              <w:jc w:val="center"/>
              <w:rPr>
                <w:sz w:val="18"/>
              </w:rPr>
            </w:pPr>
            <w:r>
              <w:rPr>
                <w:spacing w:val="-2"/>
                <w:sz w:val="18"/>
              </w:rPr>
              <w:t>0.936456</w:t>
            </w:r>
          </w:p>
        </w:tc>
        <w:tc>
          <w:tcPr>
            <w:tcW w:w="1321" w:type="dxa"/>
            <w:tcBorders>
              <w:top w:val="double" w:sz="6" w:space="0" w:color="000000"/>
            </w:tcBorders>
          </w:tcPr>
          <w:p>
            <w:pPr>
              <w:pStyle w:val="TableParagraph"/>
              <w:spacing w:before="108"/>
              <w:ind w:left="54" w:right="1"/>
              <w:jc w:val="center"/>
              <w:rPr>
                <w:sz w:val="18"/>
              </w:rPr>
            </w:pPr>
            <w:r>
              <w:rPr>
                <w:spacing w:val="-2"/>
                <w:sz w:val="18"/>
              </w:rPr>
              <w:t>328.3464</w:t>
            </w:r>
          </w:p>
        </w:tc>
        <w:tc>
          <w:tcPr>
            <w:tcW w:w="1591" w:type="dxa"/>
            <w:tcBorders>
              <w:top w:val="double" w:sz="6" w:space="0" w:color="000000"/>
            </w:tcBorders>
          </w:tcPr>
          <w:p>
            <w:pPr>
              <w:pStyle w:val="TableParagraph"/>
              <w:spacing w:before="108"/>
              <w:ind w:left="51" w:right="69"/>
              <w:jc w:val="center"/>
              <w:rPr>
                <w:sz w:val="18"/>
              </w:rPr>
            </w:pPr>
            <w:r>
              <w:rPr>
                <w:spacing w:val="-2"/>
                <w:sz w:val="18"/>
              </w:rPr>
              <w:t>197.3709</w:t>
            </w:r>
          </w:p>
        </w:tc>
        <w:tc>
          <w:tcPr>
            <w:tcW w:w="1295" w:type="dxa"/>
            <w:tcBorders>
              <w:top w:val="double" w:sz="6" w:space="0" w:color="000000"/>
            </w:tcBorders>
          </w:tcPr>
          <w:p>
            <w:pPr>
              <w:pStyle w:val="TableParagraph"/>
              <w:spacing w:before="108"/>
              <w:ind w:left="337"/>
              <w:rPr>
                <w:sz w:val="18"/>
              </w:rPr>
            </w:pPr>
            <w:r>
              <w:rPr>
                <w:spacing w:val="-2"/>
                <w:sz w:val="18"/>
              </w:rPr>
              <w:t>0.0000</w:t>
            </w:r>
          </w:p>
        </w:tc>
      </w:tr>
      <w:tr>
        <w:trPr>
          <w:trHeight w:val="225" w:hRule="atLeast"/>
        </w:trPr>
        <w:tc>
          <w:tcPr>
            <w:tcW w:w="1444" w:type="dxa"/>
          </w:tcPr>
          <w:p>
            <w:pPr>
              <w:pStyle w:val="TableParagraph"/>
              <w:ind w:left="2" w:right="56"/>
              <w:jc w:val="center"/>
              <w:rPr>
                <w:sz w:val="18"/>
              </w:rPr>
            </w:pPr>
            <w:r>
              <w:rPr>
                <w:sz w:val="18"/>
              </w:rPr>
              <w:t>At</w:t>
            </w:r>
            <w:r>
              <w:rPr>
                <w:spacing w:val="-3"/>
                <w:sz w:val="18"/>
              </w:rPr>
              <w:t> </w:t>
            </w:r>
            <w:r>
              <w:rPr>
                <w:sz w:val="18"/>
              </w:rPr>
              <w:t>most 1 </w:t>
            </w:r>
            <w:r>
              <w:rPr>
                <w:spacing w:val="-10"/>
                <w:sz w:val="18"/>
              </w:rPr>
              <w:t>*</w:t>
            </w:r>
          </w:p>
        </w:tc>
        <w:tc>
          <w:tcPr>
            <w:tcW w:w="1406" w:type="dxa"/>
          </w:tcPr>
          <w:p>
            <w:pPr>
              <w:pStyle w:val="TableParagraph"/>
              <w:ind w:left="53" w:right="107"/>
              <w:jc w:val="center"/>
              <w:rPr>
                <w:sz w:val="18"/>
              </w:rPr>
            </w:pPr>
            <w:r>
              <w:rPr>
                <w:spacing w:val="-2"/>
                <w:sz w:val="18"/>
              </w:rPr>
              <w:t>0.883467</w:t>
            </w:r>
          </w:p>
        </w:tc>
        <w:tc>
          <w:tcPr>
            <w:tcW w:w="1321" w:type="dxa"/>
          </w:tcPr>
          <w:p>
            <w:pPr>
              <w:pStyle w:val="TableParagraph"/>
              <w:ind w:left="54" w:right="1"/>
              <w:jc w:val="center"/>
              <w:rPr>
                <w:sz w:val="18"/>
              </w:rPr>
            </w:pPr>
            <w:r>
              <w:rPr>
                <w:spacing w:val="-2"/>
                <w:sz w:val="18"/>
              </w:rPr>
              <w:t>237.3978</w:t>
            </w:r>
          </w:p>
        </w:tc>
        <w:tc>
          <w:tcPr>
            <w:tcW w:w="1591" w:type="dxa"/>
          </w:tcPr>
          <w:p>
            <w:pPr>
              <w:pStyle w:val="TableParagraph"/>
              <w:ind w:left="51" w:right="69"/>
              <w:jc w:val="center"/>
              <w:rPr>
                <w:sz w:val="18"/>
              </w:rPr>
            </w:pPr>
            <w:r>
              <w:rPr>
                <w:spacing w:val="-2"/>
                <w:sz w:val="18"/>
              </w:rPr>
              <w:t>159.5297</w:t>
            </w:r>
          </w:p>
        </w:tc>
        <w:tc>
          <w:tcPr>
            <w:tcW w:w="1295" w:type="dxa"/>
          </w:tcPr>
          <w:p>
            <w:pPr>
              <w:pStyle w:val="TableParagraph"/>
              <w:ind w:left="337"/>
              <w:rPr>
                <w:sz w:val="18"/>
              </w:rPr>
            </w:pPr>
            <w:r>
              <w:rPr>
                <w:spacing w:val="-2"/>
                <w:sz w:val="18"/>
              </w:rPr>
              <w:t>0.0000</w:t>
            </w:r>
          </w:p>
        </w:tc>
      </w:tr>
      <w:tr>
        <w:trPr>
          <w:trHeight w:val="224" w:hRule="atLeast"/>
        </w:trPr>
        <w:tc>
          <w:tcPr>
            <w:tcW w:w="1444" w:type="dxa"/>
          </w:tcPr>
          <w:p>
            <w:pPr>
              <w:pStyle w:val="TableParagraph"/>
              <w:spacing w:line="198" w:lineRule="exact"/>
              <w:ind w:left="2" w:right="56"/>
              <w:jc w:val="center"/>
              <w:rPr>
                <w:sz w:val="18"/>
              </w:rPr>
            </w:pPr>
            <w:r>
              <w:rPr>
                <w:sz w:val="18"/>
              </w:rPr>
              <w:t>At</w:t>
            </w:r>
            <w:r>
              <w:rPr>
                <w:spacing w:val="-3"/>
                <w:sz w:val="18"/>
              </w:rPr>
              <w:t> </w:t>
            </w:r>
            <w:r>
              <w:rPr>
                <w:sz w:val="18"/>
              </w:rPr>
              <w:t>most 2 </w:t>
            </w:r>
            <w:r>
              <w:rPr>
                <w:spacing w:val="-10"/>
                <w:sz w:val="18"/>
              </w:rPr>
              <w:t>*</w:t>
            </w:r>
          </w:p>
        </w:tc>
        <w:tc>
          <w:tcPr>
            <w:tcW w:w="1406" w:type="dxa"/>
          </w:tcPr>
          <w:p>
            <w:pPr>
              <w:pStyle w:val="TableParagraph"/>
              <w:spacing w:line="198" w:lineRule="exact"/>
              <w:ind w:left="53" w:right="107"/>
              <w:jc w:val="center"/>
              <w:rPr>
                <w:sz w:val="18"/>
              </w:rPr>
            </w:pPr>
            <w:r>
              <w:rPr>
                <w:spacing w:val="-2"/>
                <w:sz w:val="18"/>
              </w:rPr>
              <w:t>0.809735</w:t>
            </w:r>
          </w:p>
        </w:tc>
        <w:tc>
          <w:tcPr>
            <w:tcW w:w="1321" w:type="dxa"/>
          </w:tcPr>
          <w:p>
            <w:pPr>
              <w:pStyle w:val="TableParagraph"/>
              <w:spacing w:line="198" w:lineRule="exact"/>
              <w:ind w:left="54" w:right="1"/>
              <w:jc w:val="center"/>
              <w:rPr>
                <w:sz w:val="18"/>
              </w:rPr>
            </w:pPr>
            <w:r>
              <w:rPr>
                <w:spacing w:val="-2"/>
                <w:sz w:val="18"/>
              </w:rPr>
              <w:t>166.4616</w:t>
            </w:r>
          </w:p>
        </w:tc>
        <w:tc>
          <w:tcPr>
            <w:tcW w:w="1591" w:type="dxa"/>
          </w:tcPr>
          <w:p>
            <w:pPr>
              <w:pStyle w:val="TableParagraph"/>
              <w:spacing w:line="198" w:lineRule="exact"/>
              <w:ind w:left="51" w:right="69"/>
              <w:jc w:val="center"/>
              <w:rPr>
                <w:sz w:val="18"/>
              </w:rPr>
            </w:pPr>
            <w:r>
              <w:rPr>
                <w:spacing w:val="-2"/>
                <w:sz w:val="18"/>
              </w:rPr>
              <w:t>125.6154</w:t>
            </w:r>
          </w:p>
        </w:tc>
        <w:tc>
          <w:tcPr>
            <w:tcW w:w="1295" w:type="dxa"/>
          </w:tcPr>
          <w:p>
            <w:pPr>
              <w:pStyle w:val="TableParagraph"/>
              <w:spacing w:line="198" w:lineRule="exact"/>
              <w:ind w:left="337"/>
              <w:rPr>
                <w:sz w:val="18"/>
              </w:rPr>
            </w:pPr>
            <w:r>
              <w:rPr>
                <w:spacing w:val="-2"/>
                <w:sz w:val="18"/>
              </w:rPr>
              <w:t>0.0000</w:t>
            </w:r>
          </w:p>
        </w:tc>
      </w:tr>
      <w:tr>
        <w:trPr>
          <w:trHeight w:val="224" w:hRule="atLeast"/>
        </w:trPr>
        <w:tc>
          <w:tcPr>
            <w:tcW w:w="1444" w:type="dxa"/>
          </w:tcPr>
          <w:p>
            <w:pPr>
              <w:pStyle w:val="TableParagraph"/>
              <w:spacing w:before="5"/>
              <w:ind w:left="2" w:right="56"/>
              <w:jc w:val="center"/>
              <w:rPr>
                <w:sz w:val="18"/>
              </w:rPr>
            </w:pPr>
            <w:r>
              <w:rPr>
                <w:sz w:val="18"/>
              </w:rPr>
              <w:t>At</w:t>
            </w:r>
            <w:r>
              <w:rPr>
                <w:spacing w:val="-3"/>
                <w:sz w:val="18"/>
              </w:rPr>
              <w:t> </w:t>
            </w:r>
            <w:r>
              <w:rPr>
                <w:sz w:val="18"/>
              </w:rPr>
              <w:t>most 3 </w:t>
            </w:r>
            <w:r>
              <w:rPr>
                <w:spacing w:val="-10"/>
                <w:sz w:val="18"/>
              </w:rPr>
              <w:t>*</w:t>
            </w:r>
          </w:p>
        </w:tc>
        <w:tc>
          <w:tcPr>
            <w:tcW w:w="1406" w:type="dxa"/>
          </w:tcPr>
          <w:p>
            <w:pPr>
              <w:pStyle w:val="TableParagraph"/>
              <w:spacing w:before="5"/>
              <w:ind w:left="53" w:right="107"/>
              <w:jc w:val="center"/>
              <w:rPr>
                <w:sz w:val="18"/>
              </w:rPr>
            </w:pPr>
            <w:r>
              <w:rPr>
                <w:spacing w:val="-2"/>
                <w:sz w:val="18"/>
              </w:rPr>
              <w:t>0.648905</w:t>
            </w:r>
          </w:p>
        </w:tc>
        <w:tc>
          <w:tcPr>
            <w:tcW w:w="1321" w:type="dxa"/>
          </w:tcPr>
          <w:p>
            <w:pPr>
              <w:pStyle w:val="TableParagraph"/>
              <w:spacing w:before="5"/>
              <w:ind w:left="54" w:right="1"/>
              <w:jc w:val="center"/>
              <w:rPr>
                <w:sz w:val="18"/>
              </w:rPr>
            </w:pPr>
            <w:r>
              <w:rPr>
                <w:spacing w:val="-2"/>
                <w:sz w:val="18"/>
              </w:rPr>
              <w:t>111.7034</w:t>
            </w:r>
          </w:p>
        </w:tc>
        <w:tc>
          <w:tcPr>
            <w:tcW w:w="1591" w:type="dxa"/>
          </w:tcPr>
          <w:p>
            <w:pPr>
              <w:pStyle w:val="TableParagraph"/>
              <w:spacing w:before="5"/>
              <w:ind w:left="51" w:right="69"/>
              <w:jc w:val="center"/>
              <w:rPr>
                <w:sz w:val="18"/>
              </w:rPr>
            </w:pPr>
            <w:r>
              <w:rPr>
                <w:spacing w:val="-2"/>
                <w:sz w:val="18"/>
              </w:rPr>
              <w:t>95.75366</w:t>
            </w:r>
          </w:p>
        </w:tc>
        <w:tc>
          <w:tcPr>
            <w:tcW w:w="1295" w:type="dxa"/>
          </w:tcPr>
          <w:p>
            <w:pPr>
              <w:pStyle w:val="TableParagraph"/>
              <w:spacing w:before="5"/>
              <w:ind w:left="337"/>
              <w:rPr>
                <w:sz w:val="18"/>
              </w:rPr>
            </w:pPr>
            <w:r>
              <w:rPr>
                <w:spacing w:val="-2"/>
                <w:sz w:val="18"/>
              </w:rPr>
              <w:t>0.0026</w:t>
            </w:r>
          </w:p>
        </w:tc>
      </w:tr>
      <w:tr>
        <w:trPr>
          <w:trHeight w:val="225" w:hRule="atLeast"/>
        </w:trPr>
        <w:tc>
          <w:tcPr>
            <w:tcW w:w="1444" w:type="dxa"/>
          </w:tcPr>
          <w:p>
            <w:pPr>
              <w:pStyle w:val="TableParagraph"/>
              <w:ind w:left="2" w:right="56"/>
              <w:jc w:val="center"/>
              <w:rPr>
                <w:sz w:val="18"/>
              </w:rPr>
            </w:pPr>
            <w:r>
              <w:rPr>
                <w:sz w:val="18"/>
              </w:rPr>
              <w:t>At</w:t>
            </w:r>
            <w:r>
              <w:rPr>
                <w:spacing w:val="-3"/>
                <w:sz w:val="18"/>
              </w:rPr>
              <w:t> </w:t>
            </w:r>
            <w:r>
              <w:rPr>
                <w:sz w:val="18"/>
              </w:rPr>
              <w:t>most 4 </w:t>
            </w:r>
            <w:r>
              <w:rPr>
                <w:spacing w:val="-10"/>
                <w:sz w:val="18"/>
              </w:rPr>
              <w:t>*</w:t>
            </w:r>
          </w:p>
        </w:tc>
        <w:tc>
          <w:tcPr>
            <w:tcW w:w="1406" w:type="dxa"/>
          </w:tcPr>
          <w:p>
            <w:pPr>
              <w:pStyle w:val="TableParagraph"/>
              <w:ind w:left="53" w:right="107"/>
              <w:jc w:val="center"/>
              <w:rPr>
                <w:sz w:val="18"/>
              </w:rPr>
            </w:pPr>
            <w:r>
              <w:rPr>
                <w:spacing w:val="-2"/>
                <w:sz w:val="18"/>
              </w:rPr>
              <w:t>0.632945</w:t>
            </w:r>
          </w:p>
        </w:tc>
        <w:tc>
          <w:tcPr>
            <w:tcW w:w="1321" w:type="dxa"/>
          </w:tcPr>
          <w:p>
            <w:pPr>
              <w:pStyle w:val="TableParagraph"/>
              <w:ind w:left="54" w:right="1"/>
              <w:jc w:val="center"/>
              <w:rPr>
                <w:sz w:val="18"/>
              </w:rPr>
            </w:pPr>
            <w:r>
              <w:rPr>
                <w:spacing w:val="-2"/>
                <w:sz w:val="18"/>
              </w:rPr>
              <w:t>77.16236</w:t>
            </w:r>
          </w:p>
        </w:tc>
        <w:tc>
          <w:tcPr>
            <w:tcW w:w="1591" w:type="dxa"/>
          </w:tcPr>
          <w:p>
            <w:pPr>
              <w:pStyle w:val="TableParagraph"/>
              <w:ind w:left="51" w:right="69"/>
              <w:jc w:val="center"/>
              <w:rPr>
                <w:sz w:val="18"/>
              </w:rPr>
            </w:pPr>
            <w:r>
              <w:rPr>
                <w:spacing w:val="-2"/>
                <w:sz w:val="18"/>
              </w:rPr>
              <w:t>69.81889</w:t>
            </w:r>
          </w:p>
        </w:tc>
        <w:tc>
          <w:tcPr>
            <w:tcW w:w="1295" w:type="dxa"/>
          </w:tcPr>
          <w:p>
            <w:pPr>
              <w:pStyle w:val="TableParagraph"/>
              <w:ind w:left="337"/>
              <w:rPr>
                <w:sz w:val="18"/>
              </w:rPr>
            </w:pPr>
            <w:r>
              <w:rPr>
                <w:spacing w:val="-2"/>
                <w:sz w:val="18"/>
              </w:rPr>
              <w:t>0.0115</w:t>
            </w:r>
          </w:p>
        </w:tc>
      </w:tr>
      <w:tr>
        <w:trPr>
          <w:trHeight w:val="225" w:hRule="atLeast"/>
        </w:trPr>
        <w:tc>
          <w:tcPr>
            <w:tcW w:w="1444" w:type="dxa"/>
          </w:tcPr>
          <w:p>
            <w:pPr>
              <w:pStyle w:val="TableParagraph"/>
              <w:ind w:left="1" w:right="56"/>
              <w:jc w:val="center"/>
              <w:rPr>
                <w:sz w:val="18"/>
              </w:rPr>
            </w:pPr>
            <w:r>
              <w:rPr>
                <w:sz w:val="18"/>
              </w:rPr>
              <w:t>At most </w:t>
            </w:r>
            <w:r>
              <w:rPr>
                <w:spacing w:val="-10"/>
                <w:sz w:val="18"/>
              </w:rPr>
              <w:t>5</w:t>
            </w:r>
          </w:p>
        </w:tc>
        <w:tc>
          <w:tcPr>
            <w:tcW w:w="1406" w:type="dxa"/>
          </w:tcPr>
          <w:p>
            <w:pPr>
              <w:pStyle w:val="TableParagraph"/>
              <w:ind w:left="53" w:right="107"/>
              <w:jc w:val="center"/>
              <w:rPr>
                <w:sz w:val="18"/>
              </w:rPr>
            </w:pPr>
            <w:r>
              <w:rPr>
                <w:spacing w:val="-2"/>
                <w:sz w:val="18"/>
              </w:rPr>
              <w:t>0.459277</w:t>
            </w:r>
          </w:p>
        </w:tc>
        <w:tc>
          <w:tcPr>
            <w:tcW w:w="1321" w:type="dxa"/>
          </w:tcPr>
          <w:p>
            <w:pPr>
              <w:pStyle w:val="TableParagraph"/>
              <w:ind w:left="54" w:right="1"/>
              <w:jc w:val="center"/>
              <w:rPr>
                <w:sz w:val="18"/>
              </w:rPr>
            </w:pPr>
            <w:r>
              <w:rPr>
                <w:spacing w:val="-2"/>
                <w:sz w:val="18"/>
              </w:rPr>
              <w:t>44.08830</w:t>
            </w:r>
          </w:p>
        </w:tc>
        <w:tc>
          <w:tcPr>
            <w:tcW w:w="1591" w:type="dxa"/>
          </w:tcPr>
          <w:p>
            <w:pPr>
              <w:pStyle w:val="TableParagraph"/>
              <w:ind w:left="51" w:right="69"/>
              <w:jc w:val="center"/>
              <w:rPr>
                <w:sz w:val="18"/>
              </w:rPr>
            </w:pPr>
            <w:r>
              <w:rPr>
                <w:spacing w:val="-2"/>
                <w:sz w:val="18"/>
              </w:rPr>
              <w:t>47.85613</w:t>
            </w:r>
          </w:p>
        </w:tc>
        <w:tc>
          <w:tcPr>
            <w:tcW w:w="1295" w:type="dxa"/>
          </w:tcPr>
          <w:p>
            <w:pPr>
              <w:pStyle w:val="TableParagraph"/>
              <w:ind w:left="337"/>
              <w:rPr>
                <w:sz w:val="18"/>
              </w:rPr>
            </w:pPr>
            <w:r>
              <w:rPr>
                <w:spacing w:val="-2"/>
                <w:sz w:val="18"/>
              </w:rPr>
              <w:t>0.1081</w:t>
            </w:r>
          </w:p>
        </w:tc>
      </w:tr>
      <w:tr>
        <w:trPr>
          <w:trHeight w:val="224" w:hRule="atLeast"/>
        </w:trPr>
        <w:tc>
          <w:tcPr>
            <w:tcW w:w="1444" w:type="dxa"/>
          </w:tcPr>
          <w:p>
            <w:pPr>
              <w:pStyle w:val="TableParagraph"/>
              <w:spacing w:line="198" w:lineRule="exact"/>
              <w:ind w:left="1" w:right="56"/>
              <w:jc w:val="center"/>
              <w:rPr>
                <w:sz w:val="18"/>
              </w:rPr>
            </w:pPr>
            <w:r>
              <w:rPr>
                <w:sz w:val="18"/>
              </w:rPr>
              <w:t>At most </w:t>
            </w:r>
            <w:r>
              <w:rPr>
                <w:spacing w:val="-10"/>
                <w:sz w:val="18"/>
              </w:rPr>
              <w:t>6</w:t>
            </w:r>
          </w:p>
        </w:tc>
        <w:tc>
          <w:tcPr>
            <w:tcW w:w="1406" w:type="dxa"/>
          </w:tcPr>
          <w:p>
            <w:pPr>
              <w:pStyle w:val="TableParagraph"/>
              <w:spacing w:line="198" w:lineRule="exact"/>
              <w:ind w:left="53" w:right="107"/>
              <w:jc w:val="center"/>
              <w:rPr>
                <w:sz w:val="18"/>
              </w:rPr>
            </w:pPr>
            <w:r>
              <w:rPr>
                <w:spacing w:val="-2"/>
                <w:sz w:val="18"/>
              </w:rPr>
              <w:t>0.375165</w:t>
            </w:r>
          </w:p>
        </w:tc>
        <w:tc>
          <w:tcPr>
            <w:tcW w:w="1321" w:type="dxa"/>
          </w:tcPr>
          <w:p>
            <w:pPr>
              <w:pStyle w:val="TableParagraph"/>
              <w:spacing w:line="198" w:lineRule="exact"/>
              <w:ind w:left="54" w:right="1"/>
              <w:jc w:val="center"/>
              <w:rPr>
                <w:sz w:val="18"/>
              </w:rPr>
            </w:pPr>
            <w:r>
              <w:rPr>
                <w:spacing w:val="-2"/>
                <w:sz w:val="18"/>
              </w:rPr>
              <w:t>23.79833</w:t>
            </w:r>
          </w:p>
        </w:tc>
        <w:tc>
          <w:tcPr>
            <w:tcW w:w="1591" w:type="dxa"/>
          </w:tcPr>
          <w:p>
            <w:pPr>
              <w:pStyle w:val="TableParagraph"/>
              <w:spacing w:line="198" w:lineRule="exact"/>
              <w:ind w:left="51" w:right="69"/>
              <w:jc w:val="center"/>
              <w:rPr>
                <w:sz w:val="18"/>
              </w:rPr>
            </w:pPr>
            <w:r>
              <w:rPr>
                <w:spacing w:val="-2"/>
                <w:sz w:val="18"/>
              </w:rPr>
              <w:t>29.79707</w:t>
            </w:r>
          </w:p>
        </w:tc>
        <w:tc>
          <w:tcPr>
            <w:tcW w:w="1295" w:type="dxa"/>
          </w:tcPr>
          <w:p>
            <w:pPr>
              <w:pStyle w:val="TableParagraph"/>
              <w:spacing w:line="198" w:lineRule="exact"/>
              <w:ind w:left="337"/>
              <w:rPr>
                <w:sz w:val="18"/>
              </w:rPr>
            </w:pPr>
            <w:r>
              <w:rPr>
                <w:spacing w:val="-2"/>
                <w:sz w:val="18"/>
              </w:rPr>
              <w:t>0.2091</w:t>
            </w:r>
          </w:p>
        </w:tc>
      </w:tr>
      <w:tr>
        <w:trPr>
          <w:trHeight w:val="224" w:hRule="atLeast"/>
        </w:trPr>
        <w:tc>
          <w:tcPr>
            <w:tcW w:w="1444" w:type="dxa"/>
          </w:tcPr>
          <w:p>
            <w:pPr>
              <w:pStyle w:val="TableParagraph"/>
              <w:spacing w:before="5"/>
              <w:ind w:left="1" w:right="56"/>
              <w:jc w:val="center"/>
              <w:rPr>
                <w:sz w:val="18"/>
              </w:rPr>
            </w:pPr>
            <w:r>
              <w:rPr>
                <w:sz w:val="18"/>
              </w:rPr>
              <w:t>At most </w:t>
            </w:r>
            <w:r>
              <w:rPr>
                <w:spacing w:val="-10"/>
                <w:sz w:val="18"/>
              </w:rPr>
              <w:t>7</w:t>
            </w:r>
          </w:p>
        </w:tc>
        <w:tc>
          <w:tcPr>
            <w:tcW w:w="1406" w:type="dxa"/>
          </w:tcPr>
          <w:p>
            <w:pPr>
              <w:pStyle w:val="TableParagraph"/>
              <w:spacing w:before="5"/>
              <w:ind w:left="53" w:right="107"/>
              <w:jc w:val="center"/>
              <w:rPr>
                <w:sz w:val="18"/>
              </w:rPr>
            </w:pPr>
            <w:r>
              <w:rPr>
                <w:spacing w:val="-2"/>
                <w:sz w:val="18"/>
              </w:rPr>
              <w:t>0.221669</w:t>
            </w:r>
          </w:p>
        </w:tc>
        <w:tc>
          <w:tcPr>
            <w:tcW w:w="1321" w:type="dxa"/>
          </w:tcPr>
          <w:p>
            <w:pPr>
              <w:pStyle w:val="TableParagraph"/>
              <w:spacing w:before="5"/>
              <w:ind w:left="54" w:right="1"/>
              <w:jc w:val="center"/>
              <w:rPr>
                <w:sz w:val="18"/>
              </w:rPr>
            </w:pPr>
            <w:r>
              <w:rPr>
                <w:spacing w:val="-2"/>
                <w:sz w:val="18"/>
              </w:rPr>
              <w:t>8.279514</w:t>
            </w:r>
          </w:p>
        </w:tc>
        <w:tc>
          <w:tcPr>
            <w:tcW w:w="1591" w:type="dxa"/>
          </w:tcPr>
          <w:p>
            <w:pPr>
              <w:pStyle w:val="TableParagraph"/>
              <w:spacing w:before="5"/>
              <w:ind w:left="51" w:right="69"/>
              <w:jc w:val="center"/>
              <w:rPr>
                <w:sz w:val="18"/>
              </w:rPr>
            </w:pPr>
            <w:r>
              <w:rPr>
                <w:spacing w:val="-2"/>
                <w:sz w:val="18"/>
              </w:rPr>
              <w:t>15.49471</w:t>
            </w:r>
          </w:p>
        </w:tc>
        <w:tc>
          <w:tcPr>
            <w:tcW w:w="1295" w:type="dxa"/>
          </w:tcPr>
          <w:p>
            <w:pPr>
              <w:pStyle w:val="TableParagraph"/>
              <w:spacing w:before="5"/>
              <w:ind w:left="337"/>
              <w:rPr>
                <w:sz w:val="18"/>
              </w:rPr>
            </w:pPr>
            <w:r>
              <w:rPr>
                <w:spacing w:val="-2"/>
                <w:sz w:val="18"/>
              </w:rPr>
              <w:t>0.4360</w:t>
            </w:r>
          </w:p>
        </w:tc>
      </w:tr>
      <w:tr>
        <w:trPr>
          <w:trHeight w:val="303" w:hRule="atLeast"/>
        </w:trPr>
        <w:tc>
          <w:tcPr>
            <w:tcW w:w="1444" w:type="dxa"/>
            <w:tcBorders>
              <w:bottom w:val="double" w:sz="6" w:space="0" w:color="000000"/>
            </w:tcBorders>
          </w:tcPr>
          <w:p>
            <w:pPr>
              <w:pStyle w:val="TableParagraph"/>
              <w:spacing w:line="240" w:lineRule="auto"/>
              <w:ind w:left="1" w:right="56"/>
              <w:jc w:val="center"/>
              <w:rPr>
                <w:sz w:val="18"/>
              </w:rPr>
            </w:pPr>
            <w:r>
              <w:rPr>
                <w:sz w:val="18"/>
              </w:rPr>
              <w:t>At most </w:t>
            </w:r>
            <w:r>
              <w:rPr>
                <w:spacing w:val="-10"/>
                <w:sz w:val="18"/>
              </w:rPr>
              <w:t>8</w:t>
            </w:r>
          </w:p>
        </w:tc>
        <w:tc>
          <w:tcPr>
            <w:tcW w:w="1406" w:type="dxa"/>
            <w:tcBorders>
              <w:bottom w:val="double" w:sz="6" w:space="0" w:color="000000"/>
            </w:tcBorders>
          </w:tcPr>
          <w:p>
            <w:pPr>
              <w:pStyle w:val="TableParagraph"/>
              <w:spacing w:line="240" w:lineRule="auto"/>
              <w:ind w:left="53" w:right="107"/>
              <w:jc w:val="center"/>
              <w:rPr>
                <w:sz w:val="18"/>
              </w:rPr>
            </w:pPr>
            <w:r>
              <w:rPr>
                <w:spacing w:val="-2"/>
                <w:sz w:val="18"/>
              </w:rPr>
              <w:t>0.000291</w:t>
            </w:r>
          </w:p>
        </w:tc>
        <w:tc>
          <w:tcPr>
            <w:tcW w:w="1321" w:type="dxa"/>
            <w:tcBorders>
              <w:bottom w:val="double" w:sz="6" w:space="0" w:color="000000"/>
            </w:tcBorders>
          </w:tcPr>
          <w:p>
            <w:pPr>
              <w:pStyle w:val="TableParagraph"/>
              <w:spacing w:line="240" w:lineRule="auto"/>
              <w:ind w:left="54" w:right="1"/>
              <w:jc w:val="center"/>
              <w:rPr>
                <w:sz w:val="18"/>
              </w:rPr>
            </w:pPr>
            <w:r>
              <w:rPr>
                <w:spacing w:val="-2"/>
                <w:sz w:val="18"/>
              </w:rPr>
              <w:t>0.009592</w:t>
            </w:r>
          </w:p>
        </w:tc>
        <w:tc>
          <w:tcPr>
            <w:tcW w:w="1591" w:type="dxa"/>
            <w:tcBorders>
              <w:bottom w:val="double" w:sz="6" w:space="0" w:color="000000"/>
            </w:tcBorders>
          </w:tcPr>
          <w:p>
            <w:pPr>
              <w:pStyle w:val="TableParagraph"/>
              <w:spacing w:line="240" w:lineRule="auto"/>
              <w:ind w:left="51" w:right="69"/>
              <w:jc w:val="center"/>
              <w:rPr>
                <w:sz w:val="18"/>
              </w:rPr>
            </w:pPr>
            <w:r>
              <w:rPr>
                <w:spacing w:val="-2"/>
                <w:sz w:val="18"/>
              </w:rPr>
              <w:t>3.841466</w:t>
            </w:r>
          </w:p>
        </w:tc>
        <w:tc>
          <w:tcPr>
            <w:tcW w:w="1295" w:type="dxa"/>
            <w:tcBorders>
              <w:bottom w:val="double" w:sz="6" w:space="0" w:color="000000"/>
            </w:tcBorders>
          </w:tcPr>
          <w:p>
            <w:pPr>
              <w:pStyle w:val="TableParagraph"/>
              <w:spacing w:line="240" w:lineRule="auto"/>
              <w:ind w:left="337"/>
              <w:rPr>
                <w:sz w:val="18"/>
              </w:rPr>
            </w:pPr>
            <w:r>
              <w:rPr>
                <w:spacing w:val="-2"/>
                <w:sz w:val="18"/>
              </w:rPr>
              <w:t>0.9217</w:t>
            </w:r>
          </w:p>
        </w:tc>
      </w:tr>
      <w:tr>
        <w:trPr>
          <w:trHeight w:val="326" w:hRule="atLeast"/>
        </w:trPr>
        <w:tc>
          <w:tcPr>
            <w:tcW w:w="7057" w:type="dxa"/>
            <w:gridSpan w:val="5"/>
            <w:tcBorders>
              <w:top w:val="double" w:sz="6" w:space="0" w:color="000000"/>
            </w:tcBorders>
          </w:tcPr>
          <w:p>
            <w:pPr>
              <w:pStyle w:val="TableParagraph"/>
              <w:spacing w:line="198" w:lineRule="exact" w:before="108"/>
              <w:ind w:left="50"/>
              <w:rPr>
                <w:sz w:val="18"/>
              </w:rPr>
            </w:pPr>
            <w:r>
              <w:rPr>
                <w:sz w:val="18"/>
              </w:rPr>
              <w:t>Trace</w:t>
            </w:r>
            <w:r>
              <w:rPr>
                <w:spacing w:val="-7"/>
                <w:sz w:val="18"/>
              </w:rPr>
              <w:t> </w:t>
            </w:r>
            <w:r>
              <w:rPr>
                <w:sz w:val="18"/>
              </w:rPr>
              <w:t>test</w:t>
            </w:r>
            <w:r>
              <w:rPr>
                <w:spacing w:val="-3"/>
                <w:sz w:val="18"/>
              </w:rPr>
              <w:t> </w:t>
            </w:r>
            <w:r>
              <w:rPr>
                <w:sz w:val="18"/>
              </w:rPr>
              <w:t>indicates</w:t>
            </w:r>
            <w:r>
              <w:rPr>
                <w:spacing w:val="-2"/>
                <w:sz w:val="18"/>
              </w:rPr>
              <w:t> </w:t>
            </w:r>
            <w:r>
              <w:rPr>
                <w:sz w:val="18"/>
              </w:rPr>
              <w:t>5</w:t>
            </w:r>
            <w:r>
              <w:rPr>
                <w:spacing w:val="-4"/>
                <w:sz w:val="18"/>
              </w:rPr>
              <w:t> </w:t>
            </w:r>
            <w:r>
              <w:rPr>
                <w:sz w:val="18"/>
              </w:rPr>
              <w:t>cointegrating</w:t>
            </w:r>
            <w:r>
              <w:rPr>
                <w:spacing w:val="-5"/>
                <w:sz w:val="18"/>
              </w:rPr>
              <w:t> </w:t>
            </w:r>
            <w:r>
              <w:rPr>
                <w:sz w:val="18"/>
              </w:rPr>
              <w:t>eqn(s)</w:t>
            </w:r>
            <w:r>
              <w:rPr>
                <w:spacing w:val="-2"/>
                <w:sz w:val="18"/>
              </w:rPr>
              <w:t> </w:t>
            </w:r>
            <w:r>
              <w:rPr>
                <w:sz w:val="18"/>
              </w:rPr>
              <w:t>at</w:t>
            </w:r>
            <w:r>
              <w:rPr>
                <w:spacing w:val="-3"/>
                <w:sz w:val="18"/>
              </w:rPr>
              <w:t> </w:t>
            </w:r>
            <w:r>
              <w:rPr>
                <w:sz w:val="18"/>
              </w:rPr>
              <w:t>the</w:t>
            </w:r>
            <w:r>
              <w:rPr>
                <w:spacing w:val="-5"/>
                <w:sz w:val="18"/>
              </w:rPr>
              <w:t> </w:t>
            </w:r>
            <w:r>
              <w:rPr>
                <w:sz w:val="18"/>
              </w:rPr>
              <w:t>0.05</w:t>
            </w:r>
            <w:r>
              <w:rPr>
                <w:spacing w:val="-2"/>
                <w:sz w:val="18"/>
              </w:rPr>
              <w:t> </w:t>
            </w:r>
            <w:r>
              <w:rPr>
                <w:spacing w:val="-4"/>
                <w:sz w:val="18"/>
              </w:rPr>
              <w:t>level</w:t>
            </w:r>
          </w:p>
        </w:tc>
      </w:tr>
      <w:tr>
        <w:trPr>
          <w:trHeight w:val="224" w:hRule="atLeast"/>
        </w:trPr>
        <w:tc>
          <w:tcPr>
            <w:tcW w:w="7057" w:type="dxa"/>
            <w:gridSpan w:val="5"/>
          </w:tcPr>
          <w:p>
            <w:pPr>
              <w:pStyle w:val="TableParagraph"/>
              <w:spacing w:before="5"/>
              <w:ind w:left="50"/>
              <w:rPr>
                <w:sz w:val="18"/>
              </w:rPr>
            </w:pPr>
            <w:r>
              <w:rPr>
                <w:sz w:val="18"/>
              </w:rPr>
              <w:t>*</w:t>
            </w:r>
            <w:r>
              <w:rPr>
                <w:spacing w:val="-3"/>
                <w:sz w:val="18"/>
              </w:rPr>
              <w:t> </w:t>
            </w:r>
            <w:r>
              <w:rPr>
                <w:sz w:val="18"/>
              </w:rPr>
              <w:t>denotes</w:t>
            </w:r>
            <w:r>
              <w:rPr>
                <w:spacing w:val="-1"/>
                <w:sz w:val="18"/>
              </w:rPr>
              <w:t> </w:t>
            </w:r>
            <w:r>
              <w:rPr>
                <w:sz w:val="18"/>
              </w:rPr>
              <w:t>rejection</w:t>
            </w:r>
            <w:r>
              <w:rPr>
                <w:spacing w:val="-3"/>
                <w:sz w:val="18"/>
              </w:rPr>
              <w:t> </w:t>
            </w:r>
            <w:r>
              <w:rPr>
                <w:sz w:val="18"/>
              </w:rPr>
              <w:t>of</w:t>
            </w:r>
            <w:r>
              <w:rPr>
                <w:spacing w:val="-4"/>
                <w:sz w:val="18"/>
              </w:rPr>
              <w:t> </w:t>
            </w:r>
            <w:r>
              <w:rPr>
                <w:sz w:val="18"/>
              </w:rPr>
              <w:t>the</w:t>
            </w:r>
            <w:r>
              <w:rPr>
                <w:spacing w:val="-4"/>
                <w:sz w:val="18"/>
              </w:rPr>
              <w:t> </w:t>
            </w:r>
            <w:r>
              <w:rPr>
                <w:sz w:val="18"/>
              </w:rPr>
              <w:t>hypothesis</w:t>
            </w:r>
            <w:r>
              <w:rPr>
                <w:spacing w:val="-5"/>
                <w:sz w:val="18"/>
              </w:rPr>
              <w:t> </w:t>
            </w:r>
            <w:r>
              <w:rPr>
                <w:sz w:val="18"/>
              </w:rPr>
              <w:t>at</w:t>
            </w:r>
            <w:r>
              <w:rPr>
                <w:spacing w:val="-2"/>
                <w:sz w:val="18"/>
              </w:rPr>
              <w:t> </w:t>
            </w:r>
            <w:r>
              <w:rPr>
                <w:sz w:val="18"/>
              </w:rPr>
              <w:t>the</w:t>
            </w:r>
            <w:r>
              <w:rPr>
                <w:spacing w:val="-3"/>
                <w:sz w:val="18"/>
              </w:rPr>
              <w:t> </w:t>
            </w:r>
            <w:r>
              <w:rPr>
                <w:sz w:val="18"/>
              </w:rPr>
              <w:t>0.05</w:t>
            </w:r>
            <w:r>
              <w:rPr>
                <w:spacing w:val="1"/>
                <w:sz w:val="18"/>
              </w:rPr>
              <w:t> </w:t>
            </w:r>
            <w:r>
              <w:rPr>
                <w:spacing w:val="-4"/>
                <w:sz w:val="18"/>
              </w:rPr>
              <w:t>level</w:t>
            </w:r>
          </w:p>
        </w:tc>
      </w:tr>
      <w:tr>
        <w:trPr>
          <w:trHeight w:val="338" w:hRule="atLeast"/>
        </w:trPr>
        <w:tc>
          <w:tcPr>
            <w:tcW w:w="7057" w:type="dxa"/>
            <w:gridSpan w:val="5"/>
          </w:tcPr>
          <w:p>
            <w:pPr>
              <w:pStyle w:val="TableParagraph"/>
              <w:spacing w:line="240" w:lineRule="auto"/>
              <w:ind w:left="50"/>
              <w:rPr>
                <w:sz w:val="18"/>
              </w:rPr>
            </w:pPr>
            <w:r>
              <w:rPr>
                <w:spacing w:val="-2"/>
                <w:sz w:val="18"/>
              </w:rPr>
              <w:t>**MacKinnon-Haug-Michelis</w:t>
            </w:r>
            <w:r>
              <w:rPr>
                <w:spacing w:val="10"/>
                <w:sz w:val="18"/>
              </w:rPr>
              <w:t> </w:t>
            </w:r>
            <w:r>
              <w:rPr>
                <w:spacing w:val="-2"/>
                <w:sz w:val="18"/>
              </w:rPr>
              <w:t>(1999)</w:t>
            </w:r>
            <w:r>
              <w:rPr>
                <w:spacing w:val="11"/>
                <w:sz w:val="18"/>
              </w:rPr>
              <w:t> </w:t>
            </w:r>
            <w:r>
              <w:rPr>
                <w:spacing w:val="-2"/>
                <w:sz w:val="18"/>
              </w:rPr>
              <w:t>p-values</w:t>
            </w:r>
          </w:p>
        </w:tc>
      </w:tr>
      <w:tr>
        <w:trPr>
          <w:trHeight w:val="414" w:hRule="atLeast"/>
        </w:trPr>
        <w:tc>
          <w:tcPr>
            <w:tcW w:w="7057" w:type="dxa"/>
            <w:gridSpan w:val="5"/>
            <w:tcBorders>
              <w:bottom w:val="double" w:sz="6" w:space="0" w:color="000000"/>
            </w:tcBorders>
          </w:tcPr>
          <w:p>
            <w:pPr>
              <w:pStyle w:val="TableParagraph"/>
              <w:spacing w:line="240" w:lineRule="auto" w:before="119"/>
              <w:rPr>
                <w:sz w:val="18"/>
              </w:rPr>
            </w:pPr>
            <w:r>
              <w:rPr>
                <w:sz w:val="18"/>
              </w:rPr>
              <w:t>Unrestricted</w:t>
            </w:r>
            <w:r>
              <w:rPr>
                <w:spacing w:val="-11"/>
                <w:sz w:val="18"/>
              </w:rPr>
              <w:t> </w:t>
            </w:r>
            <w:r>
              <w:rPr>
                <w:sz w:val="18"/>
              </w:rPr>
              <w:t>Cointegration</w:t>
            </w:r>
            <w:r>
              <w:rPr>
                <w:spacing w:val="-10"/>
                <w:sz w:val="18"/>
              </w:rPr>
              <w:t> </w:t>
            </w:r>
            <w:r>
              <w:rPr>
                <w:sz w:val="18"/>
              </w:rPr>
              <w:t>Rank</w:t>
            </w:r>
            <w:r>
              <w:rPr>
                <w:spacing w:val="-10"/>
                <w:sz w:val="18"/>
              </w:rPr>
              <w:t> </w:t>
            </w:r>
            <w:r>
              <w:rPr>
                <w:sz w:val="18"/>
              </w:rPr>
              <w:t>Test</w:t>
            </w:r>
            <w:r>
              <w:rPr>
                <w:spacing w:val="-10"/>
                <w:sz w:val="18"/>
              </w:rPr>
              <w:t> </w:t>
            </w:r>
            <w:r>
              <w:rPr>
                <w:sz w:val="18"/>
              </w:rPr>
              <w:t>(Maximum</w:t>
            </w:r>
            <w:r>
              <w:rPr>
                <w:spacing w:val="-10"/>
                <w:sz w:val="18"/>
              </w:rPr>
              <w:t> </w:t>
            </w:r>
            <w:r>
              <w:rPr>
                <w:spacing w:val="-2"/>
                <w:sz w:val="18"/>
              </w:rPr>
              <w:t>Eigenvalue)</w:t>
            </w:r>
          </w:p>
        </w:tc>
      </w:tr>
      <w:tr>
        <w:trPr>
          <w:trHeight w:val="327" w:hRule="atLeast"/>
        </w:trPr>
        <w:tc>
          <w:tcPr>
            <w:tcW w:w="1444" w:type="dxa"/>
            <w:tcBorders>
              <w:top w:val="double" w:sz="6" w:space="0" w:color="000000"/>
            </w:tcBorders>
          </w:tcPr>
          <w:p>
            <w:pPr>
              <w:pStyle w:val="TableParagraph"/>
              <w:spacing w:before="108"/>
              <w:ind w:left="3" w:right="56"/>
              <w:jc w:val="center"/>
              <w:rPr>
                <w:sz w:val="18"/>
              </w:rPr>
            </w:pPr>
            <w:r>
              <w:rPr>
                <w:spacing w:val="-2"/>
                <w:sz w:val="18"/>
              </w:rPr>
              <w:t>Hypothesized</w:t>
            </w:r>
          </w:p>
        </w:tc>
        <w:tc>
          <w:tcPr>
            <w:tcW w:w="1406" w:type="dxa"/>
            <w:tcBorders>
              <w:top w:val="double" w:sz="6" w:space="0" w:color="000000"/>
            </w:tcBorders>
          </w:tcPr>
          <w:p>
            <w:pPr>
              <w:pStyle w:val="TableParagraph"/>
              <w:spacing w:line="240" w:lineRule="auto" w:before="0"/>
              <w:rPr>
                <w:rFonts w:ascii="Times New Roman"/>
                <w:sz w:val="18"/>
              </w:rPr>
            </w:pPr>
          </w:p>
        </w:tc>
        <w:tc>
          <w:tcPr>
            <w:tcW w:w="1321" w:type="dxa"/>
            <w:tcBorders>
              <w:top w:val="double" w:sz="6" w:space="0" w:color="000000"/>
            </w:tcBorders>
          </w:tcPr>
          <w:p>
            <w:pPr>
              <w:pStyle w:val="TableParagraph"/>
              <w:spacing w:before="108"/>
              <w:ind w:left="53" w:right="52"/>
              <w:jc w:val="center"/>
              <w:rPr>
                <w:sz w:val="18"/>
              </w:rPr>
            </w:pPr>
            <w:r>
              <w:rPr>
                <w:spacing w:val="-2"/>
                <w:sz w:val="18"/>
              </w:rPr>
              <w:t>Max-Eigen</w:t>
            </w:r>
          </w:p>
        </w:tc>
        <w:tc>
          <w:tcPr>
            <w:tcW w:w="1591" w:type="dxa"/>
            <w:tcBorders>
              <w:top w:val="double" w:sz="6" w:space="0" w:color="000000"/>
            </w:tcBorders>
          </w:tcPr>
          <w:p>
            <w:pPr>
              <w:pStyle w:val="TableParagraph"/>
              <w:spacing w:before="108"/>
              <w:ind w:left="1" w:right="69"/>
              <w:jc w:val="center"/>
              <w:rPr>
                <w:sz w:val="18"/>
              </w:rPr>
            </w:pPr>
            <w:r>
              <w:rPr>
                <w:spacing w:val="-4"/>
                <w:sz w:val="18"/>
              </w:rPr>
              <w:t>0.05</w:t>
            </w:r>
          </w:p>
        </w:tc>
        <w:tc>
          <w:tcPr>
            <w:tcW w:w="1295" w:type="dxa"/>
            <w:tcBorders>
              <w:top w:val="double" w:sz="6" w:space="0" w:color="000000"/>
            </w:tcBorders>
          </w:tcPr>
          <w:p>
            <w:pPr>
              <w:pStyle w:val="TableParagraph"/>
              <w:spacing w:line="240" w:lineRule="auto" w:before="0"/>
              <w:rPr>
                <w:rFonts w:ascii="Times New Roman"/>
                <w:sz w:val="18"/>
              </w:rPr>
            </w:pPr>
          </w:p>
        </w:tc>
      </w:tr>
      <w:tr>
        <w:trPr>
          <w:trHeight w:val="303" w:hRule="atLeast"/>
        </w:trPr>
        <w:tc>
          <w:tcPr>
            <w:tcW w:w="1444" w:type="dxa"/>
            <w:tcBorders>
              <w:bottom w:val="double" w:sz="6" w:space="0" w:color="000000"/>
            </w:tcBorders>
          </w:tcPr>
          <w:p>
            <w:pPr>
              <w:pStyle w:val="TableParagraph"/>
              <w:spacing w:line="240" w:lineRule="auto"/>
              <w:ind w:left="2" w:right="56"/>
              <w:jc w:val="center"/>
              <w:rPr>
                <w:sz w:val="18"/>
              </w:rPr>
            </w:pPr>
            <w:r>
              <w:rPr>
                <w:sz w:val="18"/>
              </w:rPr>
              <w:t>No. of </w:t>
            </w:r>
            <w:r>
              <w:rPr>
                <w:spacing w:val="-2"/>
                <w:sz w:val="18"/>
              </w:rPr>
              <w:t>CE(s)</w:t>
            </w:r>
          </w:p>
        </w:tc>
        <w:tc>
          <w:tcPr>
            <w:tcW w:w="1406" w:type="dxa"/>
            <w:tcBorders>
              <w:bottom w:val="double" w:sz="6" w:space="0" w:color="000000"/>
            </w:tcBorders>
          </w:tcPr>
          <w:p>
            <w:pPr>
              <w:pStyle w:val="TableParagraph"/>
              <w:spacing w:line="240" w:lineRule="auto"/>
              <w:ind w:left="53" w:right="155"/>
              <w:jc w:val="center"/>
              <w:rPr>
                <w:sz w:val="18"/>
              </w:rPr>
            </w:pPr>
            <w:r>
              <w:rPr>
                <w:spacing w:val="-2"/>
                <w:sz w:val="18"/>
              </w:rPr>
              <w:t>Eigenvalue</w:t>
            </w:r>
          </w:p>
        </w:tc>
        <w:tc>
          <w:tcPr>
            <w:tcW w:w="1321" w:type="dxa"/>
            <w:tcBorders>
              <w:bottom w:val="double" w:sz="6" w:space="0" w:color="000000"/>
            </w:tcBorders>
          </w:tcPr>
          <w:p>
            <w:pPr>
              <w:pStyle w:val="TableParagraph"/>
              <w:spacing w:line="240" w:lineRule="auto"/>
              <w:ind w:left="53" w:right="53"/>
              <w:jc w:val="center"/>
              <w:rPr>
                <w:sz w:val="18"/>
              </w:rPr>
            </w:pPr>
            <w:r>
              <w:rPr>
                <w:spacing w:val="-2"/>
                <w:sz w:val="18"/>
              </w:rPr>
              <w:t>Statistic</w:t>
            </w:r>
          </w:p>
        </w:tc>
        <w:tc>
          <w:tcPr>
            <w:tcW w:w="1591" w:type="dxa"/>
            <w:tcBorders>
              <w:bottom w:val="double" w:sz="6" w:space="0" w:color="000000"/>
            </w:tcBorders>
          </w:tcPr>
          <w:p>
            <w:pPr>
              <w:pStyle w:val="TableParagraph"/>
              <w:spacing w:line="240" w:lineRule="auto"/>
              <w:ind w:right="69"/>
              <w:jc w:val="center"/>
              <w:rPr>
                <w:sz w:val="18"/>
              </w:rPr>
            </w:pPr>
            <w:r>
              <w:rPr>
                <w:sz w:val="18"/>
              </w:rPr>
              <w:t>Critical</w:t>
            </w:r>
            <w:r>
              <w:rPr>
                <w:spacing w:val="-6"/>
                <w:sz w:val="18"/>
              </w:rPr>
              <w:t> </w:t>
            </w:r>
            <w:r>
              <w:rPr>
                <w:spacing w:val="-2"/>
                <w:sz w:val="18"/>
              </w:rPr>
              <w:t>Value</w:t>
            </w:r>
          </w:p>
        </w:tc>
        <w:tc>
          <w:tcPr>
            <w:tcW w:w="1295" w:type="dxa"/>
            <w:tcBorders>
              <w:bottom w:val="double" w:sz="6" w:space="0" w:color="000000"/>
            </w:tcBorders>
          </w:tcPr>
          <w:p>
            <w:pPr>
              <w:pStyle w:val="TableParagraph"/>
              <w:spacing w:line="240" w:lineRule="auto"/>
              <w:ind w:left="301"/>
              <w:rPr>
                <w:sz w:val="18"/>
              </w:rPr>
            </w:pPr>
            <w:r>
              <w:rPr>
                <w:spacing w:val="-2"/>
                <w:sz w:val="18"/>
              </w:rPr>
              <w:t>Prob.**</w:t>
            </w:r>
          </w:p>
        </w:tc>
      </w:tr>
      <w:tr>
        <w:trPr>
          <w:trHeight w:val="326" w:hRule="atLeast"/>
        </w:trPr>
        <w:tc>
          <w:tcPr>
            <w:tcW w:w="1444" w:type="dxa"/>
            <w:tcBorders>
              <w:top w:val="double" w:sz="6" w:space="0" w:color="000000"/>
            </w:tcBorders>
          </w:tcPr>
          <w:p>
            <w:pPr>
              <w:pStyle w:val="TableParagraph"/>
              <w:spacing w:before="107"/>
              <w:ind w:left="2" w:right="56"/>
              <w:jc w:val="center"/>
              <w:rPr>
                <w:sz w:val="18"/>
              </w:rPr>
            </w:pPr>
            <w:r>
              <w:rPr>
                <w:sz w:val="18"/>
              </w:rPr>
              <w:t>None</w:t>
            </w:r>
            <w:r>
              <w:rPr>
                <w:spacing w:val="-7"/>
                <w:sz w:val="18"/>
              </w:rPr>
              <w:t> </w:t>
            </w:r>
            <w:r>
              <w:rPr>
                <w:spacing w:val="-10"/>
                <w:sz w:val="18"/>
              </w:rPr>
              <w:t>*</w:t>
            </w:r>
          </w:p>
        </w:tc>
        <w:tc>
          <w:tcPr>
            <w:tcW w:w="1406" w:type="dxa"/>
            <w:tcBorders>
              <w:top w:val="double" w:sz="6" w:space="0" w:color="000000"/>
            </w:tcBorders>
          </w:tcPr>
          <w:p>
            <w:pPr>
              <w:pStyle w:val="TableParagraph"/>
              <w:spacing w:before="107"/>
              <w:ind w:left="53" w:right="107"/>
              <w:jc w:val="center"/>
              <w:rPr>
                <w:sz w:val="18"/>
              </w:rPr>
            </w:pPr>
            <w:r>
              <w:rPr>
                <w:spacing w:val="-2"/>
                <w:sz w:val="18"/>
              </w:rPr>
              <w:t>0.936456</w:t>
            </w:r>
          </w:p>
        </w:tc>
        <w:tc>
          <w:tcPr>
            <w:tcW w:w="1321" w:type="dxa"/>
            <w:tcBorders>
              <w:top w:val="double" w:sz="6" w:space="0" w:color="000000"/>
            </w:tcBorders>
          </w:tcPr>
          <w:p>
            <w:pPr>
              <w:pStyle w:val="TableParagraph"/>
              <w:spacing w:before="107"/>
              <w:ind w:left="54" w:right="1"/>
              <w:jc w:val="center"/>
              <w:rPr>
                <w:sz w:val="18"/>
              </w:rPr>
            </w:pPr>
            <w:r>
              <w:rPr>
                <w:spacing w:val="-2"/>
                <w:sz w:val="18"/>
              </w:rPr>
              <w:t>90.94867</w:t>
            </w:r>
          </w:p>
        </w:tc>
        <w:tc>
          <w:tcPr>
            <w:tcW w:w="1591" w:type="dxa"/>
            <w:tcBorders>
              <w:top w:val="double" w:sz="6" w:space="0" w:color="000000"/>
            </w:tcBorders>
          </w:tcPr>
          <w:p>
            <w:pPr>
              <w:pStyle w:val="TableParagraph"/>
              <w:spacing w:before="107"/>
              <w:ind w:left="51" w:right="69"/>
              <w:jc w:val="center"/>
              <w:rPr>
                <w:sz w:val="18"/>
              </w:rPr>
            </w:pPr>
            <w:r>
              <w:rPr>
                <w:spacing w:val="-2"/>
                <w:sz w:val="18"/>
              </w:rPr>
              <w:t>58.43354</w:t>
            </w:r>
          </w:p>
        </w:tc>
        <w:tc>
          <w:tcPr>
            <w:tcW w:w="1295" w:type="dxa"/>
            <w:tcBorders>
              <w:top w:val="double" w:sz="6" w:space="0" w:color="000000"/>
            </w:tcBorders>
          </w:tcPr>
          <w:p>
            <w:pPr>
              <w:pStyle w:val="TableParagraph"/>
              <w:spacing w:before="107"/>
              <w:ind w:left="337"/>
              <w:rPr>
                <w:sz w:val="18"/>
              </w:rPr>
            </w:pPr>
            <w:r>
              <w:rPr>
                <w:spacing w:val="-2"/>
                <w:sz w:val="18"/>
              </w:rPr>
              <w:t>0.0000</w:t>
            </w:r>
          </w:p>
        </w:tc>
      </w:tr>
      <w:tr>
        <w:trPr>
          <w:trHeight w:val="225" w:hRule="atLeast"/>
        </w:trPr>
        <w:tc>
          <w:tcPr>
            <w:tcW w:w="1444" w:type="dxa"/>
          </w:tcPr>
          <w:p>
            <w:pPr>
              <w:pStyle w:val="TableParagraph"/>
              <w:ind w:left="2" w:right="56"/>
              <w:jc w:val="center"/>
              <w:rPr>
                <w:sz w:val="18"/>
              </w:rPr>
            </w:pPr>
            <w:r>
              <w:rPr>
                <w:sz w:val="18"/>
              </w:rPr>
              <w:t>At</w:t>
            </w:r>
            <w:r>
              <w:rPr>
                <w:spacing w:val="-3"/>
                <w:sz w:val="18"/>
              </w:rPr>
              <w:t> </w:t>
            </w:r>
            <w:r>
              <w:rPr>
                <w:sz w:val="18"/>
              </w:rPr>
              <w:t>most 1 </w:t>
            </w:r>
            <w:r>
              <w:rPr>
                <w:spacing w:val="-10"/>
                <w:sz w:val="18"/>
              </w:rPr>
              <w:t>*</w:t>
            </w:r>
          </w:p>
        </w:tc>
        <w:tc>
          <w:tcPr>
            <w:tcW w:w="1406" w:type="dxa"/>
          </w:tcPr>
          <w:p>
            <w:pPr>
              <w:pStyle w:val="TableParagraph"/>
              <w:ind w:left="53" w:right="107"/>
              <w:jc w:val="center"/>
              <w:rPr>
                <w:sz w:val="18"/>
              </w:rPr>
            </w:pPr>
            <w:r>
              <w:rPr>
                <w:spacing w:val="-2"/>
                <w:sz w:val="18"/>
              </w:rPr>
              <w:t>0.883467</w:t>
            </w:r>
          </w:p>
        </w:tc>
        <w:tc>
          <w:tcPr>
            <w:tcW w:w="1321" w:type="dxa"/>
          </w:tcPr>
          <w:p>
            <w:pPr>
              <w:pStyle w:val="TableParagraph"/>
              <w:ind w:left="54" w:right="1"/>
              <w:jc w:val="center"/>
              <w:rPr>
                <w:sz w:val="18"/>
              </w:rPr>
            </w:pPr>
            <w:r>
              <w:rPr>
                <w:spacing w:val="-2"/>
                <w:sz w:val="18"/>
              </w:rPr>
              <w:t>70.93620</w:t>
            </w:r>
          </w:p>
        </w:tc>
        <w:tc>
          <w:tcPr>
            <w:tcW w:w="1591" w:type="dxa"/>
          </w:tcPr>
          <w:p>
            <w:pPr>
              <w:pStyle w:val="TableParagraph"/>
              <w:ind w:left="51" w:right="69"/>
              <w:jc w:val="center"/>
              <w:rPr>
                <w:sz w:val="18"/>
              </w:rPr>
            </w:pPr>
            <w:r>
              <w:rPr>
                <w:spacing w:val="-2"/>
                <w:sz w:val="18"/>
              </w:rPr>
              <w:t>52.36261</w:t>
            </w:r>
          </w:p>
        </w:tc>
        <w:tc>
          <w:tcPr>
            <w:tcW w:w="1295" w:type="dxa"/>
          </w:tcPr>
          <w:p>
            <w:pPr>
              <w:pStyle w:val="TableParagraph"/>
              <w:ind w:left="337"/>
              <w:rPr>
                <w:sz w:val="18"/>
              </w:rPr>
            </w:pPr>
            <w:r>
              <w:rPr>
                <w:spacing w:val="-2"/>
                <w:sz w:val="18"/>
              </w:rPr>
              <w:t>0.0003</w:t>
            </w:r>
          </w:p>
        </w:tc>
      </w:tr>
      <w:tr>
        <w:trPr>
          <w:trHeight w:val="225" w:hRule="atLeast"/>
        </w:trPr>
        <w:tc>
          <w:tcPr>
            <w:tcW w:w="1444" w:type="dxa"/>
          </w:tcPr>
          <w:p>
            <w:pPr>
              <w:pStyle w:val="TableParagraph"/>
              <w:ind w:left="2" w:right="56"/>
              <w:jc w:val="center"/>
              <w:rPr>
                <w:sz w:val="18"/>
              </w:rPr>
            </w:pPr>
            <w:r>
              <w:rPr>
                <w:sz w:val="18"/>
              </w:rPr>
              <w:t>At</w:t>
            </w:r>
            <w:r>
              <w:rPr>
                <w:spacing w:val="-3"/>
                <w:sz w:val="18"/>
              </w:rPr>
              <w:t> </w:t>
            </w:r>
            <w:r>
              <w:rPr>
                <w:sz w:val="18"/>
              </w:rPr>
              <w:t>most 2 </w:t>
            </w:r>
            <w:r>
              <w:rPr>
                <w:spacing w:val="-10"/>
                <w:sz w:val="18"/>
              </w:rPr>
              <w:t>*</w:t>
            </w:r>
          </w:p>
        </w:tc>
        <w:tc>
          <w:tcPr>
            <w:tcW w:w="1406" w:type="dxa"/>
          </w:tcPr>
          <w:p>
            <w:pPr>
              <w:pStyle w:val="TableParagraph"/>
              <w:ind w:left="53" w:right="107"/>
              <w:jc w:val="center"/>
              <w:rPr>
                <w:sz w:val="18"/>
              </w:rPr>
            </w:pPr>
            <w:r>
              <w:rPr>
                <w:spacing w:val="-2"/>
                <w:sz w:val="18"/>
              </w:rPr>
              <w:t>0.809735</w:t>
            </w:r>
          </w:p>
        </w:tc>
        <w:tc>
          <w:tcPr>
            <w:tcW w:w="1321" w:type="dxa"/>
          </w:tcPr>
          <w:p>
            <w:pPr>
              <w:pStyle w:val="TableParagraph"/>
              <w:ind w:left="54" w:right="1"/>
              <w:jc w:val="center"/>
              <w:rPr>
                <w:sz w:val="18"/>
              </w:rPr>
            </w:pPr>
            <w:r>
              <w:rPr>
                <w:spacing w:val="-2"/>
                <w:sz w:val="18"/>
              </w:rPr>
              <w:t>54.75813</w:t>
            </w:r>
          </w:p>
        </w:tc>
        <w:tc>
          <w:tcPr>
            <w:tcW w:w="1591" w:type="dxa"/>
          </w:tcPr>
          <w:p>
            <w:pPr>
              <w:pStyle w:val="TableParagraph"/>
              <w:ind w:left="51" w:right="69"/>
              <w:jc w:val="center"/>
              <w:rPr>
                <w:sz w:val="18"/>
              </w:rPr>
            </w:pPr>
            <w:r>
              <w:rPr>
                <w:spacing w:val="-2"/>
                <w:sz w:val="18"/>
              </w:rPr>
              <w:t>46.23142</w:t>
            </w:r>
          </w:p>
        </w:tc>
        <w:tc>
          <w:tcPr>
            <w:tcW w:w="1295" w:type="dxa"/>
          </w:tcPr>
          <w:p>
            <w:pPr>
              <w:pStyle w:val="TableParagraph"/>
              <w:ind w:left="337"/>
              <w:rPr>
                <w:sz w:val="18"/>
              </w:rPr>
            </w:pPr>
            <w:r>
              <w:rPr>
                <w:spacing w:val="-2"/>
                <w:sz w:val="18"/>
              </w:rPr>
              <w:t>0.0049</w:t>
            </w:r>
          </w:p>
        </w:tc>
      </w:tr>
      <w:tr>
        <w:trPr>
          <w:trHeight w:val="224" w:hRule="atLeast"/>
        </w:trPr>
        <w:tc>
          <w:tcPr>
            <w:tcW w:w="1444" w:type="dxa"/>
          </w:tcPr>
          <w:p>
            <w:pPr>
              <w:pStyle w:val="TableParagraph"/>
              <w:spacing w:line="198" w:lineRule="exact"/>
              <w:ind w:left="1" w:right="56"/>
              <w:jc w:val="center"/>
              <w:rPr>
                <w:sz w:val="18"/>
              </w:rPr>
            </w:pPr>
            <w:r>
              <w:rPr>
                <w:sz w:val="18"/>
              </w:rPr>
              <w:t>At most </w:t>
            </w:r>
            <w:r>
              <w:rPr>
                <w:spacing w:val="-10"/>
                <w:sz w:val="18"/>
              </w:rPr>
              <w:t>3</w:t>
            </w:r>
          </w:p>
        </w:tc>
        <w:tc>
          <w:tcPr>
            <w:tcW w:w="1406" w:type="dxa"/>
          </w:tcPr>
          <w:p>
            <w:pPr>
              <w:pStyle w:val="TableParagraph"/>
              <w:spacing w:line="198" w:lineRule="exact"/>
              <w:ind w:left="53" w:right="107"/>
              <w:jc w:val="center"/>
              <w:rPr>
                <w:sz w:val="18"/>
              </w:rPr>
            </w:pPr>
            <w:r>
              <w:rPr>
                <w:spacing w:val="-2"/>
                <w:sz w:val="18"/>
              </w:rPr>
              <w:t>0.648905</w:t>
            </w:r>
          </w:p>
        </w:tc>
        <w:tc>
          <w:tcPr>
            <w:tcW w:w="1321" w:type="dxa"/>
          </w:tcPr>
          <w:p>
            <w:pPr>
              <w:pStyle w:val="TableParagraph"/>
              <w:spacing w:line="198" w:lineRule="exact"/>
              <w:ind w:left="54" w:right="1"/>
              <w:jc w:val="center"/>
              <w:rPr>
                <w:sz w:val="18"/>
              </w:rPr>
            </w:pPr>
            <w:r>
              <w:rPr>
                <w:spacing w:val="-2"/>
                <w:sz w:val="18"/>
              </w:rPr>
              <w:t>34.54109</w:t>
            </w:r>
          </w:p>
        </w:tc>
        <w:tc>
          <w:tcPr>
            <w:tcW w:w="1591" w:type="dxa"/>
          </w:tcPr>
          <w:p>
            <w:pPr>
              <w:pStyle w:val="TableParagraph"/>
              <w:spacing w:line="198" w:lineRule="exact"/>
              <w:ind w:left="51" w:right="69"/>
              <w:jc w:val="center"/>
              <w:rPr>
                <w:sz w:val="18"/>
              </w:rPr>
            </w:pPr>
            <w:r>
              <w:rPr>
                <w:spacing w:val="-2"/>
                <w:sz w:val="18"/>
              </w:rPr>
              <w:t>40.07757</w:t>
            </w:r>
          </w:p>
        </w:tc>
        <w:tc>
          <w:tcPr>
            <w:tcW w:w="1295" w:type="dxa"/>
          </w:tcPr>
          <w:p>
            <w:pPr>
              <w:pStyle w:val="TableParagraph"/>
              <w:spacing w:line="198" w:lineRule="exact"/>
              <w:ind w:left="337"/>
              <w:rPr>
                <w:sz w:val="18"/>
              </w:rPr>
            </w:pPr>
            <w:r>
              <w:rPr>
                <w:spacing w:val="-2"/>
                <w:sz w:val="18"/>
              </w:rPr>
              <w:t>0.1843</w:t>
            </w:r>
          </w:p>
        </w:tc>
      </w:tr>
      <w:tr>
        <w:trPr>
          <w:trHeight w:val="224" w:hRule="atLeast"/>
        </w:trPr>
        <w:tc>
          <w:tcPr>
            <w:tcW w:w="1444" w:type="dxa"/>
          </w:tcPr>
          <w:p>
            <w:pPr>
              <w:pStyle w:val="TableParagraph"/>
              <w:spacing w:before="5"/>
              <w:ind w:left="1" w:right="56"/>
              <w:jc w:val="center"/>
              <w:rPr>
                <w:sz w:val="18"/>
              </w:rPr>
            </w:pPr>
            <w:r>
              <w:rPr>
                <w:sz w:val="18"/>
              </w:rPr>
              <w:t>At most </w:t>
            </w:r>
            <w:r>
              <w:rPr>
                <w:spacing w:val="-10"/>
                <w:sz w:val="18"/>
              </w:rPr>
              <w:t>4</w:t>
            </w:r>
          </w:p>
        </w:tc>
        <w:tc>
          <w:tcPr>
            <w:tcW w:w="1406" w:type="dxa"/>
          </w:tcPr>
          <w:p>
            <w:pPr>
              <w:pStyle w:val="TableParagraph"/>
              <w:spacing w:before="5"/>
              <w:ind w:left="53" w:right="107"/>
              <w:jc w:val="center"/>
              <w:rPr>
                <w:sz w:val="18"/>
              </w:rPr>
            </w:pPr>
            <w:r>
              <w:rPr>
                <w:spacing w:val="-2"/>
                <w:sz w:val="18"/>
              </w:rPr>
              <w:t>0.632945</w:t>
            </w:r>
          </w:p>
        </w:tc>
        <w:tc>
          <w:tcPr>
            <w:tcW w:w="1321" w:type="dxa"/>
          </w:tcPr>
          <w:p>
            <w:pPr>
              <w:pStyle w:val="TableParagraph"/>
              <w:spacing w:before="5"/>
              <w:ind w:left="54" w:right="1"/>
              <w:jc w:val="center"/>
              <w:rPr>
                <w:sz w:val="18"/>
              </w:rPr>
            </w:pPr>
            <w:r>
              <w:rPr>
                <w:spacing w:val="-2"/>
                <w:sz w:val="18"/>
              </w:rPr>
              <w:t>33.07406</w:t>
            </w:r>
          </w:p>
        </w:tc>
        <w:tc>
          <w:tcPr>
            <w:tcW w:w="1591" w:type="dxa"/>
          </w:tcPr>
          <w:p>
            <w:pPr>
              <w:pStyle w:val="TableParagraph"/>
              <w:spacing w:before="5"/>
              <w:ind w:left="51" w:right="69"/>
              <w:jc w:val="center"/>
              <w:rPr>
                <w:sz w:val="18"/>
              </w:rPr>
            </w:pPr>
            <w:r>
              <w:rPr>
                <w:spacing w:val="-2"/>
                <w:sz w:val="18"/>
              </w:rPr>
              <w:t>33.87687</w:t>
            </w:r>
          </w:p>
        </w:tc>
        <w:tc>
          <w:tcPr>
            <w:tcW w:w="1295" w:type="dxa"/>
          </w:tcPr>
          <w:p>
            <w:pPr>
              <w:pStyle w:val="TableParagraph"/>
              <w:spacing w:before="5"/>
              <w:ind w:left="337"/>
              <w:rPr>
                <w:sz w:val="18"/>
              </w:rPr>
            </w:pPr>
            <w:r>
              <w:rPr>
                <w:spacing w:val="-2"/>
                <w:sz w:val="18"/>
              </w:rPr>
              <w:t>0.0621</w:t>
            </w:r>
          </w:p>
        </w:tc>
      </w:tr>
      <w:tr>
        <w:trPr>
          <w:trHeight w:val="225" w:hRule="atLeast"/>
        </w:trPr>
        <w:tc>
          <w:tcPr>
            <w:tcW w:w="1444" w:type="dxa"/>
          </w:tcPr>
          <w:p>
            <w:pPr>
              <w:pStyle w:val="TableParagraph"/>
              <w:ind w:left="1" w:right="56"/>
              <w:jc w:val="center"/>
              <w:rPr>
                <w:sz w:val="18"/>
              </w:rPr>
            </w:pPr>
            <w:r>
              <w:rPr>
                <w:sz w:val="18"/>
              </w:rPr>
              <w:t>At most </w:t>
            </w:r>
            <w:r>
              <w:rPr>
                <w:spacing w:val="-10"/>
                <w:sz w:val="18"/>
              </w:rPr>
              <w:t>5</w:t>
            </w:r>
          </w:p>
        </w:tc>
        <w:tc>
          <w:tcPr>
            <w:tcW w:w="1406" w:type="dxa"/>
          </w:tcPr>
          <w:p>
            <w:pPr>
              <w:pStyle w:val="TableParagraph"/>
              <w:ind w:left="53" w:right="107"/>
              <w:jc w:val="center"/>
              <w:rPr>
                <w:sz w:val="18"/>
              </w:rPr>
            </w:pPr>
            <w:r>
              <w:rPr>
                <w:spacing w:val="-2"/>
                <w:sz w:val="18"/>
              </w:rPr>
              <w:t>0.459277</w:t>
            </w:r>
          </w:p>
        </w:tc>
        <w:tc>
          <w:tcPr>
            <w:tcW w:w="1321" w:type="dxa"/>
          </w:tcPr>
          <w:p>
            <w:pPr>
              <w:pStyle w:val="TableParagraph"/>
              <w:ind w:left="54" w:right="1"/>
              <w:jc w:val="center"/>
              <w:rPr>
                <w:sz w:val="18"/>
              </w:rPr>
            </w:pPr>
            <w:r>
              <w:rPr>
                <w:spacing w:val="-2"/>
                <w:sz w:val="18"/>
              </w:rPr>
              <w:t>20.28997</w:t>
            </w:r>
          </w:p>
        </w:tc>
        <w:tc>
          <w:tcPr>
            <w:tcW w:w="1591" w:type="dxa"/>
          </w:tcPr>
          <w:p>
            <w:pPr>
              <w:pStyle w:val="TableParagraph"/>
              <w:ind w:left="51" w:right="69"/>
              <w:jc w:val="center"/>
              <w:rPr>
                <w:sz w:val="18"/>
              </w:rPr>
            </w:pPr>
            <w:r>
              <w:rPr>
                <w:spacing w:val="-2"/>
                <w:sz w:val="18"/>
              </w:rPr>
              <w:t>27.58434</w:t>
            </w:r>
          </w:p>
        </w:tc>
        <w:tc>
          <w:tcPr>
            <w:tcW w:w="1295" w:type="dxa"/>
          </w:tcPr>
          <w:p>
            <w:pPr>
              <w:pStyle w:val="TableParagraph"/>
              <w:ind w:left="337"/>
              <w:rPr>
                <w:sz w:val="18"/>
              </w:rPr>
            </w:pPr>
            <w:r>
              <w:rPr>
                <w:spacing w:val="-2"/>
                <w:sz w:val="18"/>
              </w:rPr>
              <w:t>0.3214</w:t>
            </w:r>
          </w:p>
        </w:tc>
      </w:tr>
      <w:tr>
        <w:trPr>
          <w:trHeight w:val="225" w:hRule="atLeast"/>
        </w:trPr>
        <w:tc>
          <w:tcPr>
            <w:tcW w:w="1444" w:type="dxa"/>
          </w:tcPr>
          <w:p>
            <w:pPr>
              <w:pStyle w:val="TableParagraph"/>
              <w:ind w:left="1" w:right="56"/>
              <w:jc w:val="center"/>
              <w:rPr>
                <w:sz w:val="18"/>
              </w:rPr>
            </w:pPr>
            <w:r>
              <w:rPr>
                <w:sz w:val="18"/>
              </w:rPr>
              <w:t>At most </w:t>
            </w:r>
            <w:r>
              <w:rPr>
                <w:spacing w:val="-10"/>
                <w:sz w:val="18"/>
              </w:rPr>
              <w:t>6</w:t>
            </w:r>
          </w:p>
        </w:tc>
        <w:tc>
          <w:tcPr>
            <w:tcW w:w="1406" w:type="dxa"/>
          </w:tcPr>
          <w:p>
            <w:pPr>
              <w:pStyle w:val="TableParagraph"/>
              <w:ind w:left="53" w:right="107"/>
              <w:jc w:val="center"/>
              <w:rPr>
                <w:sz w:val="18"/>
              </w:rPr>
            </w:pPr>
            <w:r>
              <w:rPr>
                <w:spacing w:val="-2"/>
                <w:sz w:val="18"/>
              </w:rPr>
              <w:t>0.375165</w:t>
            </w:r>
          </w:p>
        </w:tc>
        <w:tc>
          <w:tcPr>
            <w:tcW w:w="1321" w:type="dxa"/>
          </w:tcPr>
          <w:p>
            <w:pPr>
              <w:pStyle w:val="TableParagraph"/>
              <w:ind w:left="54" w:right="1"/>
              <w:jc w:val="center"/>
              <w:rPr>
                <w:sz w:val="18"/>
              </w:rPr>
            </w:pPr>
            <w:r>
              <w:rPr>
                <w:spacing w:val="-2"/>
                <w:sz w:val="18"/>
              </w:rPr>
              <w:t>15.51882</w:t>
            </w:r>
          </w:p>
        </w:tc>
        <w:tc>
          <w:tcPr>
            <w:tcW w:w="1591" w:type="dxa"/>
          </w:tcPr>
          <w:p>
            <w:pPr>
              <w:pStyle w:val="TableParagraph"/>
              <w:ind w:left="51" w:right="69"/>
              <w:jc w:val="center"/>
              <w:rPr>
                <w:sz w:val="18"/>
              </w:rPr>
            </w:pPr>
            <w:r>
              <w:rPr>
                <w:spacing w:val="-2"/>
                <w:sz w:val="18"/>
              </w:rPr>
              <w:t>21.13162</w:t>
            </w:r>
          </w:p>
        </w:tc>
        <w:tc>
          <w:tcPr>
            <w:tcW w:w="1295" w:type="dxa"/>
          </w:tcPr>
          <w:p>
            <w:pPr>
              <w:pStyle w:val="TableParagraph"/>
              <w:ind w:left="337"/>
              <w:rPr>
                <w:sz w:val="18"/>
              </w:rPr>
            </w:pPr>
            <w:r>
              <w:rPr>
                <w:spacing w:val="-2"/>
                <w:sz w:val="18"/>
              </w:rPr>
              <w:t>0.2542</w:t>
            </w:r>
          </w:p>
        </w:tc>
      </w:tr>
      <w:tr>
        <w:trPr>
          <w:trHeight w:val="213" w:hRule="atLeast"/>
        </w:trPr>
        <w:tc>
          <w:tcPr>
            <w:tcW w:w="1444" w:type="dxa"/>
          </w:tcPr>
          <w:p>
            <w:pPr>
              <w:pStyle w:val="TableParagraph"/>
              <w:spacing w:line="187" w:lineRule="exact"/>
              <w:ind w:left="1" w:right="56"/>
              <w:jc w:val="center"/>
              <w:rPr>
                <w:sz w:val="18"/>
              </w:rPr>
            </w:pPr>
            <w:r>
              <w:rPr>
                <w:sz w:val="18"/>
              </w:rPr>
              <w:t>At most </w:t>
            </w:r>
            <w:r>
              <w:rPr>
                <w:spacing w:val="-10"/>
                <w:sz w:val="18"/>
              </w:rPr>
              <w:t>7</w:t>
            </w:r>
          </w:p>
        </w:tc>
        <w:tc>
          <w:tcPr>
            <w:tcW w:w="1406" w:type="dxa"/>
          </w:tcPr>
          <w:p>
            <w:pPr>
              <w:pStyle w:val="TableParagraph"/>
              <w:spacing w:line="187" w:lineRule="exact"/>
              <w:ind w:left="53" w:right="107"/>
              <w:jc w:val="center"/>
              <w:rPr>
                <w:sz w:val="18"/>
              </w:rPr>
            </w:pPr>
            <w:r>
              <w:rPr>
                <w:spacing w:val="-2"/>
                <w:sz w:val="18"/>
              </w:rPr>
              <w:t>0.221669</w:t>
            </w:r>
          </w:p>
        </w:tc>
        <w:tc>
          <w:tcPr>
            <w:tcW w:w="1321" w:type="dxa"/>
          </w:tcPr>
          <w:p>
            <w:pPr>
              <w:pStyle w:val="TableParagraph"/>
              <w:spacing w:line="187" w:lineRule="exact"/>
              <w:ind w:left="54" w:right="1"/>
              <w:jc w:val="center"/>
              <w:rPr>
                <w:sz w:val="18"/>
              </w:rPr>
            </w:pPr>
            <w:r>
              <w:rPr>
                <w:spacing w:val="-2"/>
                <w:sz w:val="18"/>
              </w:rPr>
              <w:t>8.269922</w:t>
            </w:r>
          </w:p>
        </w:tc>
        <w:tc>
          <w:tcPr>
            <w:tcW w:w="1591" w:type="dxa"/>
          </w:tcPr>
          <w:p>
            <w:pPr>
              <w:pStyle w:val="TableParagraph"/>
              <w:spacing w:line="187" w:lineRule="exact"/>
              <w:ind w:left="51" w:right="69"/>
              <w:jc w:val="center"/>
              <w:rPr>
                <w:sz w:val="18"/>
              </w:rPr>
            </w:pPr>
            <w:r>
              <w:rPr>
                <w:spacing w:val="-2"/>
                <w:sz w:val="18"/>
              </w:rPr>
              <w:t>14.26460</w:t>
            </w:r>
          </w:p>
        </w:tc>
        <w:tc>
          <w:tcPr>
            <w:tcW w:w="1295" w:type="dxa"/>
          </w:tcPr>
          <w:p>
            <w:pPr>
              <w:pStyle w:val="TableParagraph"/>
              <w:spacing w:line="187" w:lineRule="exact"/>
              <w:ind w:left="337"/>
              <w:rPr>
                <w:sz w:val="18"/>
              </w:rPr>
            </w:pPr>
            <w:r>
              <w:rPr>
                <w:spacing w:val="-2"/>
                <w:sz w:val="18"/>
              </w:rPr>
              <w:t>0.3519</w:t>
            </w:r>
          </w:p>
        </w:tc>
      </w:tr>
    </w:tbl>
    <w:p>
      <w:pPr>
        <w:spacing w:after="0" w:line="187" w:lineRule="exact"/>
        <w:rPr>
          <w:sz w:val="18"/>
        </w:rPr>
        <w:sectPr>
          <w:footerReference w:type="default" r:id="rId14"/>
          <w:pgSz w:w="15840" w:h="12240" w:orient="landscape"/>
          <w:pgMar w:header="0" w:footer="1012" w:top="1380" w:bottom="1200" w:left="1340" w:right="120"/>
        </w:sectPr>
      </w:pPr>
    </w:p>
    <w:p>
      <w:pPr>
        <w:pStyle w:val="BodyText"/>
        <w:spacing w:before="4"/>
        <w:ind w:left="0"/>
        <w:rPr>
          <w:b/>
          <w:sz w:val="7"/>
        </w:rPr>
      </w:pP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7"/>
        <w:gridCol w:w="1266"/>
        <w:gridCol w:w="1561"/>
        <w:gridCol w:w="1350"/>
        <w:gridCol w:w="1415"/>
        <w:gridCol w:w="1409"/>
        <w:gridCol w:w="1439"/>
        <w:gridCol w:w="1409"/>
        <w:gridCol w:w="1418"/>
        <w:gridCol w:w="1417"/>
      </w:tblGrid>
      <w:tr>
        <w:trPr>
          <w:trHeight w:val="289" w:hRule="atLeast"/>
        </w:trPr>
        <w:tc>
          <w:tcPr>
            <w:tcW w:w="1467" w:type="dxa"/>
            <w:tcBorders>
              <w:bottom w:val="double" w:sz="6" w:space="0" w:color="000000"/>
            </w:tcBorders>
          </w:tcPr>
          <w:p>
            <w:pPr>
              <w:pStyle w:val="TableParagraph"/>
              <w:spacing w:line="201" w:lineRule="exact" w:before="0"/>
              <w:ind w:left="3" w:right="81"/>
              <w:jc w:val="center"/>
              <w:rPr>
                <w:sz w:val="18"/>
              </w:rPr>
            </w:pPr>
            <w:r>
              <w:rPr>
                <w:sz w:val="18"/>
              </w:rPr>
              <w:t>At most </w:t>
            </w:r>
            <w:r>
              <w:rPr>
                <w:spacing w:val="-10"/>
                <w:sz w:val="18"/>
              </w:rPr>
              <w:t>8</w:t>
            </w:r>
          </w:p>
        </w:tc>
        <w:tc>
          <w:tcPr>
            <w:tcW w:w="1266" w:type="dxa"/>
            <w:tcBorders>
              <w:bottom w:val="double" w:sz="6" w:space="0" w:color="000000"/>
            </w:tcBorders>
          </w:tcPr>
          <w:p>
            <w:pPr>
              <w:pStyle w:val="TableParagraph"/>
              <w:spacing w:line="201" w:lineRule="exact" w:before="0"/>
              <w:ind w:right="236"/>
              <w:jc w:val="right"/>
              <w:rPr>
                <w:sz w:val="18"/>
              </w:rPr>
            </w:pPr>
            <w:r>
              <w:rPr/>
              <mc:AlternateContent>
                <mc:Choice Requires="wps">
                  <w:drawing>
                    <wp:anchor distT="0" distB="0" distL="0" distR="0" allowOverlap="1" layoutInCell="1" locked="0" behindDoc="1" simplePos="0" relativeHeight="478140416">
                      <wp:simplePos x="0" y="0"/>
                      <wp:positionH relativeFrom="column">
                        <wp:posOffset>227431</wp:posOffset>
                      </wp:positionH>
                      <wp:positionV relativeFrom="paragraph">
                        <wp:posOffset>124300</wp:posOffset>
                      </wp:positionV>
                      <wp:extent cx="5505450" cy="5661025"/>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5505450" cy="5661025"/>
                                <a:chExt cx="5505450" cy="5661025"/>
                              </a:xfrm>
                            </wpg:grpSpPr>
                            <wps:wsp>
                              <wps:cNvPr id="280" name="Graphic 280"/>
                              <wps:cNvSpPr/>
                              <wps:spPr>
                                <a:xfrm>
                                  <a:off x="0" y="0"/>
                                  <a:ext cx="5505450" cy="5661025"/>
                                </a:xfrm>
                                <a:custGeom>
                                  <a:avLst/>
                                  <a:gdLst/>
                                  <a:ahLst/>
                                  <a:cxnLst/>
                                  <a:rect l="l" t="t" r="r" b="b"/>
                                  <a:pathLst>
                                    <a:path w="5505450" h="5661025">
                                      <a:moveTo>
                                        <a:pt x="677037" y="5536984"/>
                                      </a:moveTo>
                                      <a:lnTo>
                                        <a:pt x="123825" y="4983861"/>
                                      </a:lnTo>
                                      <a:lnTo>
                                        <a:pt x="0" y="5107686"/>
                                      </a:lnTo>
                                      <a:lnTo>
                                        <a:pt x="553212" y="5660809"/>
                                      </a:lnTo>
                                      <a:lnTo>
                                        <a:pt x="677037" y="5536984"/>
                                      </a:lnTo>
                                      <a:close/>
                                    </a:path>
                                    <a:path w="5505450" h="5661025">
                                      <a:moveTo>
                                        <a:pt x="1052703" y="5107749"/>
                                      </a:moveTo>
                                      <a:lnTo>
                                        <a:pt x="1049020" y="5055489"/>
                                      </a:lnTo>
                                      <a:lnTo>
                                        <a:pt x="1033995" y="4999825"/>
                                      </a:lnTo>
                                      <a:lnTo>
                                        <a:pt x="1007364" y="4944618"/>
                                      </a:lnTo>
                                      <a:lnTo>
                                        <a:pt x="970749" y="4891671"/>
                                      </a:lnTo>
                                      <a:lnTo>
                                        <a:pt x="925957" y="4841367"/>
                                      </a:lnTo>
                                      <a:lnTo>
                                        <a:pt x="596138" y="4511548"/>
                                      </a:lnTo>
                                      <a:lnTo>
                                        <a:pt x="472821" y="4634865"/>
                                      </a:lnTo>
                                      <a:lnTo>
                                        <a:pt x="810387" y="4972558"/>
                                      </a:lnTo>
                                      <a:lnTo>
                                        <a:pt x="830897" y="4995367"/>
                                      </a:lnTo>
                                      <a:lnTo>
                                        <a:pt x="846543" y="5017833"/>
                                      </a:lnTo>
                                      <a:lnTo>
                                        <a:pt x="857389" y="5039931"/>
                                      </a:lnTo>
                                      <a:lnTo>
                                        <a:pt x="863473" y="5061585"/>
                                      </a:lnTo>
                                      <a:lnTo>
                                        <a:pt x="864425" y="5082425"/>
                                      </a:lnTo>
                                      <a:lnTo>
                                        <a:pt x="860488" y="5101869"/>
                                      </a:lnTo>
                                      <a:lnTo>
                                        <a:pt x="838073" y="5136515"/>
                                      </a:lnTo>
                                      <a:lnTo>
                                        <a:pt x="803160" y="5159083"/>
                                      </a:lnTo>
                                      <a:lnTo>
                                        <a:pt x="783615" y="5162867"/>
                                      </a:lnTo>
                                      <a:lnTo>
                                        <a:pt x="762635" y="5161534"/>
                                      </a:lnTo>
                                      <a:lnTo>
                                        <a:pt x="718566" y="5144859"/>
                                      </a:lnTo>
                                      <a:lnTo>
                                        <a:pt x="673735" y="5109210"/>
                                      </a:lnTo>
                                      <a:lnTo>
                                        <a:pt x="336169" y="4771517"/>
                                      </a:lnTo>
                                      <a:lnTo>
                                        <a:pt x="212725" y="4894834"/>
                                      </a:lnTo>
                                      <a:lnTo>
                                        <a:pt x="542544" y="5224653"/>
                                      </a:lnTo>
                                      <a:lnTo>
                                        <a:pt x="589292" y="5265547"/>
                                      </a:lnTo>
                                      <a:lnTo>
                                        <a:pt x="647573" y="5306822"/>
                                      </a:lnTo>
                                      <a:lnTo>
                                        <a:pt x="690054" y="5328818"/>
                                      </a:lnTo>
                                      <a:lnTo>
                                        <a:pt x="737870" y="5344033"/>
                                      </a:lnTo>
                                      <a:lnTo>
                                        <a:pt x="785342" y="5351424"/>
                                      </a:lnTo>
                                      <a:lnTo>
                                        <a:pt x="807173" y="5351526"/>
                                      </a:lnTo>
                                      <a:lnTo>
                                        <a:pt x="827786" y="5349367"/>
                                      </a:lnTo>
                                      <a:lnTo>
                                        <a:pt x="867879" y="5337492"/>
                                      </a:lnTo>
                                      <a:lnTo>
                                        <a:pt x="908177" y="5314188"/>
                                      </a:lnTo>
                                      <a:lnTo>
                                        <a:pt x="945210" y="5284952"/>
                                      </a:lnTo>
                                      <a:lnTo>
                                        <a:pt x="977011" y="5255895"/>
                                      </a:lnTo>
                                      <a:lnTo>
                                        <a:pt x="1019365" y="5204485"/>
                                      </a:lnTo>
                                      <a:lnTo>
                                        <a:pt x="1045337" y="5151247"/>
                                      </a:lnTo>
                                      <a:lnTo>
                                        <a:pt x="1050340" y="5130609"/>
                                      </a:lnTo>
                                      <a:lnTo>
                                        <a:pt x="1052703" y="5107749"/>
                                      </a:lnTo>
                                      <a:close/>
                                    </a:path>
                                    <a:path w="5505450" h="5661025">
                                      <a:moveTo>
                                        <a:pt x="1514906" y="4610379"/>
                                      </a:moveTo>
                                      <a:lnTo>
                                        <a:pt x="1510944" y="4569625"/>
                                      </a:lnTo>
                                      <a:lnTo>
                                        <a:pt x="1500924" y="4528058"/>
                                      </a:lnTo>
                                      <a:lnTo>
                                        <a:pt x="1484630" y="4485640"/>
                                      </a:lnTo>
                                      <a:lnTo>
                                        <a:pt x="1466799" y="4451121"/>
                                      </a:lnTo>
                                      <a:lnTo>
                                        <a:pt x="1444396" y="4415548"/>
                                      </a:lnTo>
                                      <a:lnTo>
                                        <a:pt x="1417332" y="4378972"/>
                                      </a:lnTo>
                                      <a:lnTo>
                                        <a:pt x="1385658" y="4341507"/>
                                      </a:lnTo>
                                      <a:lnTo>
                                        <a:pt x="1374343" y="4329595"/>
                                      </a:lnTo>
                                      <a:lnTo>
                                        <a:pt x="1349248" y="4303141"/>
                                      </a:lnTo>
                                      <a:lnTo>
                                        <a:pt x="1334071" y="4289018"/>
                                      </a:lnTo>
                                      <a:lnTo>
                                        <a:pt x="1334071" y="4602658"/>
                                      </a:lnTo>
                                      <a:lnTo>
                                        <a:pt x="1330960" y="4628210"/>
                                      </a:lnTo>
                                      <a:lnTo>
                                        <a:pt x="1304544" y="4672584"/>
                                      </a:lnTo>
                                      <a:lnTo>
                                        <a:pt x="1260627" y="4698276"/>
                                      </a:lnTo>
                                      <a:lnTo>
                                        <a:pt x="1234922" y="4701095"/>
                                      </a:lnTo>
                                      <a:lnTo>
                                        <a:pt x="1206627" y="4697095"/>
                                      </a:lnTo>
                                      <a:lnTo>
                                        <a:pt x="1141310" y="4665548"/>
                                      </a:lnTo>
                                      <a:lnTo>
                                        <a:pt x="1103998" y="4636846"/>
                                      </a:lnTo>
                                      <a:lnTo>
                                        <a:pt x="1063625" y="4599305"/>
                                      </a:lnTo>
                                      <a:lnTo>
                                        <a:pt x="1025956" y="4558728"/>
                                      </a:lnTo>
                                      <a:lnTo>
                                        <a:pt x="997077" y="4521200"/>
                                      </a:lnTo>
                                      <a:lnTo>
                                        <a:pt x="976858" y="4486834"/>
                                      </a:lnTo>
                                      <a:lnTo>
                                        <a:pt x="961186" y="4427385"/>
                                      </a:lnTo>
                                      <a:lnTo>
                                        <a:pt x="963891" y="4401807"/>
                                      </a:lnTo>
                                      <a:lnTo>
                                        <a:pt x="988695" y="4358894"/>
                                      </a:lnTo>
                                      <a:lnTo>
                                        <a:pt x="1032675" y="4332884"/>
                                      </a:lnTo>
                                      <a:lnTo>
                                        <a:pt x="1058392" y="4329595"/>
                                      </a:lnTo>
                                      <a:lnTo>
                                        <a:pt x="1086523" y="4332884"/>
                                      </a:lnTo>
                                      <a:lnTo>
                                        <a:pt x="1150073" y="4362755"/>
                                      </a:lnTo>
                                      <a:lnTo>
                                        <a:pt x="1185532" y="4389602"/>
                                      </a:lnTo>
                                      <a:lnTo>
                                        <a:pt x="1223391" y="4424553"/>
                                      </a:lnTo>
                                      <a:lnTo>
                                        <a:pt x="1264805" y="4468812"/>
                                      </a:lnTo>
                                      <a:lnTo>
                                        <a:pt x="1296377" y="4508716"/>
                                      </a:lnTo>
                                      <a:lnTo>
                                        <a:pt x="1318183" y="4544161"/>
                                      </a:lnTo>
                                      <a:lnTo>
                                        <a:pt x="1334071" y="4602658"/>
                                      </a:lnTo>
                                      <a:lnTo>
                                        <a:pt x="1334071" y="4289018"/>
                                      </a:lnTo>
                                      <a:lnTo>
                                        <a:pt x="1304861" y="4261828"/>
                                      </a:lnTo>
                                      <a:lnTo>
                                        <a:pt x="1260741" y="4226865"/>
                                      </a:lnTo>
                                      <a:lnTo>
                                        <a:pt x="1216926" y="4198201"/>
                                      </a:lnTo>
                                      <a:lnTo>
                                        <a:pt x="1173403" y="4175760"/>
                                      </a:lnTo>
                                      <a:lnTo>
                                        <a:pt x="1130211" y="4159504"/>
                                      </a:lnTo>
                                      <a:lnTo>
                                        <a:pt x="1087374" y="4149344"/>
                                      </a:lnTo>
                                      <a:lnTo>
                                        <a:pt x="1037336" y="4145813"/>
                                      </a:lnTo>
                                      <a:lnTo>
                                        <a:pt x="989520" y="4152163"/>
                                      </a:lnTo>
                                      <a:lnTo>
                                        <a:pt x="943940" y="4168292"/>
                                      </a:lnTo>
                                      <a:lnTo>
                                        <a:pt x="900595" y="4194073"/>
                                      </a:lnTo>
                                      <a:lnTo>
                                        <a:pt x="859536" y="4229354"/>
                                      </a:lnTo>
                                      <a:lnTo>
                                        <a:pt x="825195" y="4269638"/>
                                      </a:lnTo>
                                      <a:lnTo>
                                        <a:pt x="800277" y="4312539"/>
                                      </a:lnTo>
                                      <a:lnTo>
                                        <a:pt x="784872" y="4358056"/>
                                      </a:lnTo>
                                      <a:lnTo>
                                        <a:pt x="779068" y="4406112"/>
                                      </a:lnTo>
                                      <a:lnTo>
                                        <a:pt x="782955" y="4456684"/>
                                      </a:lnTo>
                                      <a:lnTo>
                                        <a:pt x="793432" y="4500080"/>
                                      </a:lnTo>
                                      <a:lnTo>
                                        <a:pt x="810082" y="4543882"/>
                                      </a:lnTo>
                                      <a:lnTo>
                                        <a:pt x="832942" y="4588040"/>
                                      </a:lnTo>
                                      <a:lnTo>
                                        <a:pt x="862076" y="4632515"/>
                                      </a:lnTo>
                                      <a:lnTo>
                                        <a:pt x="897547" y="4677270"/>
                                      </a:lnTo>
                                      <a:lnTo>
                                        <a:pt x="939419" y="4722241"/>
                                      </a:lnTo>
                                      <a:lnTo>
                                        <a:pt x="977925" y="4758525"/>
                                      </a:lnTo>
                                      <a:lnTo>
                                        <a:pt x="1016152" y="4789995"/>
                                      </a:lnTo>
                                      <a:lnTo>
                                        <a:pt x="1054023" y="4816703"/>
                                      </a:lnTo>
                                      <a:lnTo>
                                        <a:pt x="1091463" y="4838725"/>
                                      </a:lnTo>
                                      <a:lnTo>
                                        <a:pt x="1128395" y="4856099"/>
                                      </a:lnTo>
                                      <a:lnTo>
                                        <a:pt x="1173149" y="4871567"/>
                                      </a:lnTo>
                                      <a:lnTo>
                                        <a:pt x="1215809" y="4880241"/>
                                      </a:lnTo>
                                      <a:lnTo>
                                        <a:pt x="1256347" y="4882426"/>
                                      </a:lnTo>
                                      <a:lnTo>
                                        <a:pt x="1294765" y="4878451"/>
                                      </a:lnTo>
                                      <a:lnTo>
                                        <a:pt x="1331455" y="4868176"/>
                                      </a:lnTo>
                                      <a:lnTo>
                                        <a:pt x="1367294" y="4850955"/>
                                      </a:lnTo>
                                      <a:lnTo>
                                        <a:pt x="1402295" y="4826990"/>
                                      </a:lnTo>
                                      <a:lnTo>
                                        <a:pt x="1436497" y="4796409"/>
                                      </a:lnTo>
                                      <a:lnTo>
                                        <a:pt x="1466329" y="4762271"/>
                                      </a:lnTo>
                                      <a:lnTo>
                                        <a:pt x="1489113" y="4726533"/>
                                      </a:lnTo>
                                      <a:lnTo>
                                        <a:pt x="1504734" y="4689221"/>
                                      </a:lnTo>
                                      <a:lnTo>
                                        <a:pt x="1513078" y="4650359"/>
                                      </a:lnTo>
                                      <a:lnTo>
                                        <a:pt x="1514906" y="4610379"/>
                                      </a:lnTo>
                                      <a:close/>
                                    </a:path>
                                    <a:path w="5505450" h="5661025">
                                      <a:moveTo>
                                        <a:pt x="1687068" y="4242308"/>
                                      </a:moveTo>
                                      <a:lnTo>
                                        <a:pt x="1568323" y="4123436"/>
                                      </a:lnTo>
                                      <a:lnTo>
                                        <a:pt x="1406906" y="4284980"/>
                                      </a:lnTo>
                                      <a:lnTo>
                                        <a:pt x="1525651" y="4403725"/>
                                      </a:lnTo>
                                      <a:lnTo>
                                        <a:pt x="1687068" y="4242308"/>
                                      </a:lnTo>
                                      <a:close/>
                                    </a:path>
                                    <a:path w="5505450" h="5661025">
                                      <a:moveTo>
                                        <a:pt x="2011426" y="4202557"/>
                                      </a:moveTo>
                                      <a:lnTo>
                                        <a:pt x="1458214" y="3649345"/>
                                      </a:lnTo>
                                      <a:lnTo>
                                        <a:pt x="1334389" y="3773170"/>
                                      </a:lnTo>
                                      <a:lnTo>
                                        <a:pt x="1887601" y="4326382"/>
                                      </a:lnTo>
                                      <a:lnTo>
                                        <a:pt x="2011426" y="4202557"/>
                                      </a:lnTo>
                                      <a:close/>
                                    </a:path>
                                    <a:path w="5505450" h="5661025">
                                      <a:moveTo>
                                        <a:pt x="2223643" y="3990340"/>
                                      </a:moveTo>
                                      <a:lnTo>
                                        <a:pt x="2018411" y="3784981"/>
                                      </a:lnTo>
                                      <a:lnTo>
                                        <a:pt x="2086102" y="3717290"/>
                                      </a:lnTo>
                                      <a:lnTo>
                                        <a:pt x="2118220" y="3679304"/>
                                      </a:lnTo>
                                      <a:lnTo>
                                        <a:pt x="2121700" y="3672967"/>
                                      </a:lnTo>
                                      <a:lnTo>
                                        <a:pt x="2139683" y="3640201"/>
                                      </a:lnTo>
                                      <a:lnTo>
                                        <a:pt x="2150389" y="3600069"/>
                                      </a:lnTo>
                                      <a:lnTo>
                                        <a:pt x="2150237" y="3558921"/>
                                      </a:lnTo>
                                      <a:lnTo>
                                        <a:pt x="2140077" y="3517239"/>
                                      </a:lnTo>
                                      <a:lnTo>
                                        <a:pt x="2125307" y="3484930"/>
                                      </a:lnTo>
                                      <a:lnTo>
                                        <a:pt x="2120976" y="3475444"/>
                                      </a:lnTo>
                                      <a:lnTo>
                                        <a:pt x="2092845" y="3433572"/>
                                      </a:lnTo>
                                      <a:lnTo>
                                        <a:pt x="2055622" y="3391662"/>
                                      </a:lnTo>
                                      <a:lnTo>
                                        <a:pt x="2015096" y="3355416"/>
                                      </a:lnTo>
                                      <a:lnTo>
                                        <a:pt x="1975065" y="3328060"/>
                                      </a:lnTo>
                                      <a:lnTo>
                                        <a:pt x="1969516" y="3325444"/>
                                      </a:lnTo>
                                      <a:lnTo>
                                        <a:pt x="1969516" y="3575050"/>
                                      </a:lnTo>
                                      <a:lnTo>
                                        <a:pt x="1968728" y="3591293"/>
                                      </a:lnTo>
                                      <a:lnTo>
                                        <a:pt x="1962873" y="3607993"/>
                                      </a:lnTo>
                                      <a:lnTo>
                                        <a:pt x="1952117" y="3625151"/>
                                      </a:lnTo>
                                      <a:lnTo>
                                        <a:pt x="1936623" y="3642741"/>
                                      </a:lnTo>
                                      <a:lnTo>
                                        <a:pt x="1906397" y="3672967"/>
                                      </a:lnTo>
                                      <a:lnTo>
                                        <a:pt x="1782953" y="3549523"/>
                                      </a:lnTo>
                                      <a:lnTo>
                                        <a:pt x="1818132" y="3514344"/>
                                      </a:lnTo>
                                      <a:lnTo>
                                        <a:pt x="1835251" y="3499459"/>
                                      </a:lnTo>
                                      <a:lnTo>
                                        <a:pt x="1851812" y="3489668"/>
                                      </a:lnTo>
                                      <a:lnTo>
                                        <a:pt x="1867852" y="3484930"/>
                                      </a:lnTo>
                                      <a:lnTo>
                                        <a:pt x="1883410" y="3485261"/>
                                      </a:lnTo>
                                      <a:lnTo>
                                        <a:pt x="1926856" y="3505149"/>
                                      </a:lnTo>
                                      <a:lnTo>
                                        <a:pt x="1960791" y="3544824"/>
                                      </a:lnTo>
                                      <a:lnTo>
                                        <a:pt x="1969516" y="3575050"/>
                                      </a:lnTo>
                                      <a:lnTo>
                                        <a:pt x="1969516" y="3325444"/>
                                      </a:lnTo>
                                      <a:lnTo>
                                        <a:pt x="1935568" y="3309391"/>
                                      </a:lnTo>
                                      <a:lnTo>
                                        <a:pt x="1896618" y="3299206"/>
                                      </a:lnTo>
                                      <a:lnTo>
                                        <a:pt x="1858467" y="3298609"/>
                                      </a:lnTo>
                                      <a:lnTo>
                                        <a:pt x="1821599" y="3307956"/>
                                      </a:lnTo>
                                      <a:lnTo>
                                        <a:pt x="1786039" y="3327095"/>
                                      </a:lnTo>
                                      <a:lnTo>
                                        <a:pt x="1751838" y="3355848"/>
                                      </a:lnTo>
                                      <a:lnTo>
                                        <a:pt x="1546352" y="3561207"/>
                                      </a:lnTo>
                                      <a:lnTo>
                                        <a:pt x="2099564" y="4114419"/>
                                      </a:lnTo>
                                      <a:lnTo>
                                        <a:pt x="2223643" y="3990340"/>
                                      </a:lnTo>
                                      <a:close/>
                                    </a:path>
                                    <a:path w="5505450" h="5661025">
                                      <a:moveTo>
                                        <a:pt x="2725166" y="3488817"/>
                                      </a:moveTo>
                                      <a:lnTo>
                                        <a:pt x="2308479" y="3072257"/>
                                      </a:lnTo>
                                      <a:lnTo>
                                        <a:pt x="2434590" y="2946146"/>
                                      </a:lnTo>
                                      <a:lnTo>
                                        <a:pt x="2298065" y="2809621"/>
                                      </a:lnTo>
                                      <a:lnTo>
                                        <a:pt x="1922399" y="3185287"/>
                                      </a:lnTo>
                                      <a:lnTo>
                                        <a:pt x="2058924" y="3321812"/>
                                      </a:lnTo>
                                      <a:lnTo>
                                        <a:pt x="2184908" y="3195828"/>
                                      </a:lnTo>
                                      <a:lnTo>
                                        <a:pt x="2601595" y="3612388"/>
                                      </a:lnTo>
                                      <a:lnTo>
                                        <a:pt x="2725166" y="3488817"/>
                                      </a:lnTo>
                                      <a:close/>
                                    </a:path>
                                    <a:path w="5505450" h="5661025">
                                      <a:moveTo>
                                        <a:pt x="3128645" y="3085338"/>
                                      </a:moveTo>
                                      <a:lnTo>
                                        <a:pt x="2712085" y="2668651"/>
                                      </a:lnTo>
                                      <a:lnTo>
                                        <a:pt x="2838069" y="2542667"/>
                                      </a:lnTo>
                                      <a:lnTo>
                                        <a:pt x="2701544" y="2406142"/>
                                      </a:lnTo>
                                      <a:lnTo>
                                        <a:pt x="2325878" y="2781808"/>
                                      </a:lnTo>
                                      <a:lnTo>
                                        <a:pt x="2462530" y="2918333"/>
                                      </a:lnTo>
                                      <a:lnTo>
                                        <a:pt x="2588514" y="2792349"/>
                                      </a:lnTo>
                                      <a:lnTo>
                                        <a:pt x="3005074" y="3208909"/>
                                      </a:lnTo>
                                      <a:lnTo>
                                        <a:pt x="3128645" y="3085338"/>
                                      </a:lnTo>
                                      <a:close/>
                                    </a:path>
                                    <a:path w="5505450" h="5661025">
                                      <a:moveTo>
                                        <a:pt x="3594430" y="2530856"/>
                                      </a:moveTo>
                                      <a:lnTo>
                                        <a:pt x="3590506" y="2490063"/>
                                      </a:lnTo>
                                      <a:lnTo>
                                        <a:pt x="3580536" y="2448458"/>
                                      </a:lnTo>
                                      <a:lnTo>
                                        <a:pt x="3564255" y="2406015"/>
                                      </a:lnTo>
                                      <a:lnTo>
                                        <a:pt x="3546360" y="2371560"/>
                                      </a:lnTo>
                                      <a:lnTo>
                                        <a:pt x="3523919" y="2336038"/>
                                      </a:lnTo>
                                      <a:lnTo>
                                        <a:pt x="3496805" y="2299449"/>
                                      </a:lnTo>
                                      <a:lnTo>
                                        <a:pt x="3465157" y="2262073"/>
                                      </a:lnTo>
                                      <a:lnTo>
                                        <a:pt x="3453765" y="2250097"/>
                                      </a:lnTo>
                                      <a:lnTo>
                                        <a:pt x="3428746" y="2223770"/>
                                      </a:lnTo>
                                      <a:lnTo>
                                        <a:pt x="3413569" y="2209635"/>
                                      </a:lnTo>
                                      <a:lnTo>
                                        <a:pt x="3413569" y="2523134"/>
                                      </a:lnTo>
                                      <a:lnTo>
                                        <a:pt x="3410432" y="2548661"/>
                                      </a:lnTo>
                                      <a:lnTo>
                                        <a:pt x="3383915" y="2593086"/>
                                      </a:lnTo>
                                      <a:lnTo>
                                        <a:pt x="3340176" y="2618714"/>
                                      </a:lnTo>
                                      <a:lnTo>
                                        <a:pt x="3314522" y="2621483"/>
                                      </a:lnTo>
                                      <a:lnTo>
                                        <a:pt x="3286252" y="2617470"/>
                                      </a:lnTo>
                                      <a:lnTo>
                                        <a:pt x="3220936" y="2585936"/>
                                      </a:lnTo>
                                      <a:lnTo>
                                        <a:pt x="3183623" y="2557272"/>
                                      </a:lnTo>
                                      <a:lnTo>
                                        <a:pt x="3143250" y="2519807"/>
                                      </a:lnTo>
                                      <a:lnTo>
                                        <a:pt x="3105505" y="2479154"/>
                                      </a:lnTo>
                                      <a:lnTo>
                                        <a:pt x="3076600" y="2441600"/>
                                      </a:lnTo>
                                      <a:lnTo>
                                        <a:pt x="3056407" y="2407208"/>
                                      </a:lnTo>
                                      <a:lnTo>
                                        <a:pt x="3040786" y="2347785"/>
                                      </a:lnTo>
                                      <a:lnTo>
                                        <a:pt x="3043453" y="2322245"/>
                                      </a:lnTo>
                                      <a:lnTo>
                                        <a:pt x="3068193" y="2279396"/>
                                      </a:lnTo>
                                      <a:lnTo>
                                        <a:pt x="3112173" y="2253386"/>
                                      </a:lnTo>
                                      <a:lnTo>
                                        <a:pt x="3137890" y="2250097"/>
                                      </a:lnTo>
                                      <a:lnTo>
                                        <a:pt x="3166021" y="2253386"/>
                                      </a:lnTo>
                                      <a:lnTo>
                                        <a:pt x="3229521" y="2283256"/>
                                      </a:lnTo>
                                      <a:lnTo>
                                        <a:pt x="3265005" y="2310104"/>
                                      </a:lnTo>
                                      <a:lnTo>
                                        <a:pt x="3302889" y="2345055"/>
                                      </a:lnTo>
                                      <a:lnTo>
                                        <a:pt x="3344329" y="2389289"/>
                                      </a:lnTo>
                                      <a:lnTo>
                                        <a:pt x="3375926" y="2429167"/>
                                      </a:lnTo>
                                      <a:lnTo>
                                        <a:pt x="3397732" y="2464612"/>
                                      </a:lnTo>
                                      <a:lnTo>
                                        <a:pt x="3413569" y="2523134"/>
                                      </a:lnTo>
                                      <a:lnTo>
                                        <a:pt x="3413569" y="2209635"/>
                                      </a:lnTo>
                                      <a:lnTo>
                                        <a:pt x="3384359" y="2182406"/>
                                      </a:lnTo>
                                      <a:lnTo>
                                        <a:pt x="3340239" y="2147405"/>
                                      </a:lnTo>
                                      <a:lnTo>
                                        <a:pt x="3296424" y="2118715"/>
                                      </a:lnTo>
                                      <a:lnTo>
                                        <a:pt x="3252901" y="2096274"/>
                                      </a:lnTo>
                                      <a:lnTo>
                                        <a:pt x="3209709" y="2080006"/>
                                      </a:lnTo>
                                      <a:lnTo>
                                        <a:pt x="3166872" y="2069846"/>
                                      </a:lnTo>
                                      <a:lnTo>
                                        <a:pt x="3116834" y="2066315"/>
                                      </a:lnTo>
                                      <a:lnTo>
                                        <a:pt x="3069018" y="2072665"/>
                                      </a:lnTo>
                                      <a:lnTo>
                                        <a:pt x="3023438" y="2088769"/>
                                      </a:lnTo>
                                      <a:lnTo>
                                        <a:pt x="2980093" y="2114512"/>
                                      </a:lnTo>
                                      <a:lnTo>
                                        <a:pt x="2939034" y="2149729"/>
                                      </a:lnTo>
                                      <a:lnTo>
                                        <a:pt x="2904744" y="2190026"/>
                                      </a:lnTo>
                                      <a:lnTo>
                                        <a:pt x="2879839" y="2232964"/>
                                      </a:lnTo>
                                      <a:lnTo>
                                        <a:pt x="2864434" y="2278507"/>
                                      </a:lnTo>
                                      <a:lnTo>
                                        <a:pt x="2858643" y="2326602"/>
                                      </a:lnTo>
                                      <a:lnTo>
                                        <a:pt x="2862580" y="2377186"/>
                                      </a:lnTo>
                                      <a:lnTo>
                                        <a:pt x="2873006" y="2420582"/>
                                      </a:lnTo>
                                      <a:lnTo>
                                        <a:pt x="2889618" y="2464346"/>
                                      </a:lnTo>
                                      <a:lnTo>
                                        <a:pt x="2912453" y="2508478"/>
                                      </a:lnTo>
                                      <a:lnTo>
                                        <a:pt x="2941574" y="2552928"/>
                                      </a:lnTo>
                                      <a:lnTo>
                                        <a:pt x="2977045" y="2597645"/>
                                      </a:lnTo>
                                      <a:lnTo>
                                        <a:pt x="3018917" y="2642616"/>
                                      </a:lnTo>
                                      <a:lnTo>
                                        <a:pt x="3057474" y="2678912"/>
                                      </a:lnTo>
                                      <a:lnTo>
                                        <a:pt x="3095714" y="2710408"/>
                                      </a:lnTo>
                                      <a:lnTo>
                                        <a:pt x="3133560" y="2737167"/>
                                      </a:lnTo>
                                      <a:lnTo>
                                        <a:pt x="3170974" y="2759214"/>
                                      </a:lnTo>
                                      <a:lnTo>
                                        <a:pt x="3207893" y="2776601"/>
                                      </a:lnTo>
                                      <a:lnTo>
                                        <a:pt x="3252711" y="2792006"/>
                                      </a:lnTo>
                                      <a:lnTo>
                                        <a:pt x="3295358" y="2800693"/>
                                      </a:lnTo>
                                      <a:lnTo>
                                        <a:pt x="3335871" y="2802915"/>
                                      </a:lnTo>
                                      <a:lnTo>
                                        <a:pt x="3374263" y="2798953"/>
                                      </a:lnTo>
                                      <a:lnTo>
                                        <a:pt x="3410978" y="2788602"/>
                                      </a:lnTo>
                                      <a:lnTo>
                                        <a:pt x="3446843" y="2771368"/>
                                      </a:lnTo>
                                      <a:lnTo>
                                        <a:pt x="3481844" y="2747416"/>
                                      </a:lnTo>
                                      <a:lnTo>
                                        <a:pt x="3515995" y="2716911"/>
                                      </a:lnTo>
                                      <a:lnTo>
                                        <a:pt x="3545852" y="2682722"/>
                                      </a:lnTo>
                                      <a:lnTo>
                                        <a:pt x="3568662" y="2646984"/>
                                      </a:lnTo>
                                      <a:lnTo>
                                        <a:pt x="3579342" y="2621483"/>
                                      </a:lnTo>
                                      <a:lnTo>
                                        <a:pt x="3584283" y="2609710"/>
                                      </a:lnTo>
                                      <a:lnTo>
                                        <a:pt x="3592576" y="2570861"/>
                                      </a:lnTo>
                                      <a:lnTo>
                                        <a:pt x="3594430" y="2530856"/>
                                      </a:lnTo>
                                      <a:close/>
                                    </a:path>
                                    <a:path w="5505450" h="5661025">
                                      <a:moveTo>
                                        <a:pt x="4237799" y="1898713"/>
                                      </a:moveTo>
                                      <a:lnTo>
                                        <a:pt x="4226814" y="1835531"/>
                                      </a:lnTo>
                                      <a:lnTo>
                                        <a:pt x="4199420" y="1767636"/>
                                      </a:lnTo>
                                      <a:lnTo>
                                        <a:pt x="4179786" y="1732191"/>
                                      </a:lnTo>
                                      <a:lnTo>
                                        <a:pt x="4155948" y="1695831"/>
                                      </a:lnTo>
                                      <a:lnTo>
                                        <a:pt x="4117517" y="1711452"/>
                                      </a:lnTo>
                                      <a:lnTo>
                                        <a:pt x="4002278" y="1758823"/>
                                      </a:lnTo>
                                      <a:lnTo>
                                        <a:pt x="4022331" y="1788236"/>
                                      </a:lnTo>
                                      <a:lnTo>
                                        <a:pt x="4037863" y="1815719"/>
                                      </a:lnTo>
                                      <a:lnTo>
                                        <a:pt x="4049064" y="1841309"/>
                                      </a:lnTo>
                                      <a:lnTo>
                                        <a:pt x="4056126" y="1864995"/>
                                      </a:lnTo>
                                      <a:lnTo>
                                        <a:pt x="4058107" y="1887347"/>
                                      </a:lnTo>
                                      <a:lnTo>
                                        <a:pt x="4054373" y="1908327"/>
                                      </a:lnTo>
                                      <a:lnTo>
                                        <a:pt x="4029964" y="1946402"/>
                                      </a:lnTo>
                                      <a:lnTo>
                                        <a:pt x="3988892" y="1970443"/>
                                      </a:lnTo>
                                      <a:lnTo>
                                        <a:pt x="3965079" y="1973021"/>
                                      </a:lnTo>
                                      <a:lnTo>
                                        <a:pt x="3939159" y="1969135"/>
                                      </a:lnTo>
                                      <a:lnTo>
                                        <a:pt x="3875684" y="1935657"/>
                                      </a:lnTo>
                                      <a:lnTo>
                                        <a:pt x="3836708" y="1904365"/>
                                      </a:lnTo>
                                      <a:lnTo>
                                        <a:pt x="3792982" y="1863217"/>
                                      </a:lnTo>
                                      <a:lnTo>
                                        <a:pt x="3759441" y="1827504"/>
                                      </a:lnTo>
                                      <a:lnTo>
                                        <a:pt x="3732936" y="1794510"/>
                                      </a:lnTo>
                                      <a:lnTo>
                                        <a:pt x="3700907" y="1737233"/>
                                      </a:lnTo>
                                      <a:lnTo>
                                        <a:pt x="3692626" y="1704390"/>
                                      </a:lnTo>
                                      <a:lnTo>
                                        <a:pt x="3692868" y="1674964"/>
                                      </a:lnTo>
                                      <a:lnTo>
                                        <a:pt x="3718560" y="1626108"/>
                                      </a:lnTo>
                                      <a:lnTo>
                                        <a:pt x="3762629" y="1603121"/>
                                      </a:lnTo>
                                      <a:lnTo>
                                        <a:pt x="3775773" y="1601851"/>
                                      </a:lnTo>
                                      <a:lnTo>
                                        <a:pt x="3789375" y="1602105"/>
                                      </a:lnTo>
                                      <a:lnTo>
                                        <a:pt x="3827894" y="1611642"/>
                                      </a:lnTo>
                                      <a:lnTo>
                                        <a:pt x="3867150" y="1632966"/>
                                      </a:lnTo>
                                      <a:lnTo>
                                        <a:pt x="3942588" y="1490218"/>
                                      </a:lnTo>
                                      <a:lnTo>
                                        <a:pt x="3889870" y="1461084"/>
                                      </a:lnTo>
                                      <a:lnTo>
                                        <a:pt x="3839959" y="1440662"/>
                                      </a:lnTo>
                                      <a:lnTo>
                                        <a:pt x="3792918" y="1428572"/>
                                      </a:lnTo>
                                      <a:lnTo>
                                        <a:pt x="3748786" y="1424432"/>
                                      </a:lnTo>
                                      <a:lnTo>
                                        <a:pt x="3706520" y="1429385"/>
                                      </a:lnTo>
                                      <a:lnTo>
                                        <a:pt x="3665626" y="1443939"/>
                                      </a:lnTo>
                                      <a:lnTo>
                                        <a:pt x="3626015" y="1467904"/>
                                      </a:lnTo>
                                      <a:lnTo>
                                        <a:pt x="3587623" y="1501140"/>
                                      </a:lnTo>
                                      <a:lnTo>
                                        <a:pt x="3553612" y="1540979"/>
                                      </a:lnTo>
                                      <a:lnTo>
                                        <a:pt x="3528949" y="1583207"/>
                                      </a:lnTo>
                                      <a:lnTo>
                                        <a:pt x="3513709" y="1627797"/>
                                      </a:lnTo>
                                      <a:lnTo>
                                        <a:pt x="3508006" y="1674749"/>
                                      </a:lnTo>
                                      <a:lnTo>
                                        <a:pt x="3511931" y="1724025"/>
                                      </a:lnTo>
                                      <a:lnTo>
                                        <a:pt x="3522535" y="1766570"/>
                                      </a:lnTo>
                                      <a:lnTo>
                                        <a:pt x="3539325" y="1809699"/>
                                      </a:lnTo>
                                      <a:lnTo>
                                        <a:pt x="3562375" y="1853438"/>
                                      </a:lnTo>
                                      <a:lnTo>
                                        <a:pt x="3591801" y="1897773"/>
                                      </a:lnTo>
                                      <a:lnTo>
                                        <a:pt x="3627704" y="1942693"/>
                                      </a:lnTo>
                                      <a:lnTo>
                                        <a:pt x="3670173" y="1988185"/>
                                      </a:lnTo>
                                      <a:lnTo>
                                        <a:pt x="3711130" y="2026716"/>
                                      </a:lnTo>
                                      <a:lnTo>
                                        <a:pt x="3751542" y="2059787"/>
                                      </a:lnTo>
                                      <a:lnTo>
                                        <a:pt x="3791394" y="2087511"/>
                                      </a:lnTo>
                                      <a:lnTo>
                                        <a:pt x="3830663" y="2110003"/>
                                      </a:lnTo>
                                      <a:lnTo>
                                        <a:pt x="3869309" y="2127377"/>
                                      </a:lnTo>
                                      <a:lnTo>
                                        <a:pt x="3915486" y="2142363"/>
                                      </a:lnTo>
                                      <a:lnTo>
                                        <a:pt x="3958183" y="2150580"/>
                                      </a:lnTo>
                                      <a:lnTo>
                                        <a:pt x="3997337" y="2152332"/>
                                      </a:lnTo>
                                      <a:lnTo>
                                        <a:pt x="4032885" y="2147951"/>
                                      </a:lnTo>
                                      <a:lnTo>
                                        <a:pt x="4099725" y="2120328"/>
                                      </a:lnTo>
                                      <a:lnTo>
                                        <a:pt x="4132694" y="2097024"/>
                                      </a:lnTo>
                                      <a:lnTo>
                                        <a:pt x="4165346" y="2067560"/>
                                      </a:lnTo>
                                      <a:lnTo>
                                        <a:pt x="4209059" y="2013115"/>
                                      </a:lnTo>
                                      <a:lnTo>
                                        <a:pt x="4232402" y="1957324"/>
                                      </a:lnTo>
                                      <a:lnTo>
                                        <a:pt x="4237025" y="1928583"/>
                                      </a:lnTo>
                                      <a:lnTo>
                                        <a:pt x="4237799" y="1898713"/>
                                      </a:lnTo>
                                      <a:close/>
                                    </a:path>
                                    <a:path w="5505450" h="5661025">
                                      <a:moveTo>
                                        <a:pt x="4680788" y="1444447"/>
                                      </a:moveTo>
                                      <a:lnTo>
                                        <a:pt x="4676864" y="1403692"/>
                                      </a:lnTo>
                                      <a:lnTo>
                                        <a:pt x="4666894" y="1362100"/>
                                      </a:lnTo>
                                      <a:lnTo>
                                        <a:pt x="4650613" y="1319657"/>
                                      </a:lnTo>
                                      <a:lnTo>
                                        <a:pt x="4632769" y="1285138"/>
                                      </a:lnTo>
                                      <a:lnTo>
                                        <a:pt x="4610341" y="1249578"/>
                                      </a:lnTo>
                                      <a:lnTo>
                                        <a:pt x="4583290" y="1213040"/>
                                      </a:lnTo>
                                      <a:lnTo>
                                        <a:pt x="4551591" y="1175588"/>
                                      </a:lnTo>
                                      <a:lnTo>
                                        <a:pt x="4515231" y="1137285"/>
                                      </a:lnTo>
                                      <a:lnTo>
                                        <a:pt x="4499927" y="1123035"/>
                                      </a:lnTo>
                                      <a:lnTo>
                                        <a:pt x="4499927" y="1436776"/>
                                      </a:lnTo>
                                      <a:lnTo>
                                        <a:pt x="4496816" y="1462278"/>
                                      </a:lnTo>
                                      <a:lnTo>
                                        <a:pt x="4470387" y="1506601"/>
                                      </a:lnTo>
                                      <a:lnTo>
                                        <a:pt x="4426597" y="1532293"/>
                                      </a:lnTo>
                                      <a:lnTo>
                                        <a:pt x="4400905" y="1535112"/>
                                      </a:lnTo>
                                      <a:lnTo>
                                        <a:pt x="4372610" y="1531112"/>
                                      </a:lnTo>
                                      <a:lnTo>
                                        <a:pt x="4307294" y="1499577"/>
                                      </a:lnTo>
                                      <a:lnTo>
                                        <a:pt x="4269981" y="1470914"/>
                                      </a:lnTo>
                                      <a:lnTo>
                                        <a:pt x="4229608" y="1433449"/>
                                      </a:lnTo>
                                      <a:lnTo>
                                        <a:pt x="4191863" y="1392796"/>
                                      </a:lnTo>
                                      <a:lnTo>
                                        <a:pt x="4162958" y="1355242"/>
                                      </a:lnTo>
                                      <a:lnTo>
                                        <a:pt x="4142765" y="1320850"/>
                                      </a:lnTo>
                                      <a:lnTo>
                                        <a:pt x="4127169" y="1261414"/>
                                      </a:lnTo>
                                      <a:lnTo>
                                        <a:pt x="4129862" y="1235837"/>
                                      </a:lnTo>
                                      <a:lnTo>
                                        <a:pt x="4154551" y="1193038"/>
                                      </a:lnTo>
                                      <a:lnTo>
                                        <a:pt x="4198556" y="1166964"/>
                                      </a:lnTo>
                                      <a:lnTo>
                                        <a:pt x="4224299" y="1163624"/>
                                      </a:lnTo>
                                      <a:lnTo>
                                        <a:pt x="4252468" y="1166876"/>
                                      </a:lnTo>
                                      <a:lnTo>
                                        <a:pt x="4316006" y="1196771"/>
                                      </a:lnTo>
                                      <a:lnTo>
                                        <a:pt x="4351490" y="1223619"/>
                                      </a:lnTo>
                                      <a:lnTo>
                                        <a:pt x="4389374" y="1258570"/>
                                      </a:lnTo>
                                      <a:lnTo>
                                        <a:pt x="4430788" y="1302829"/>
                                      </a:lnTo>
                                      <a:lnTo>
                                        <a:pt x="4462348" y="1342745"/>
                                      </a:lnTo>
                                      <a:lnTo>
                                        <a:pt x="4484116" y="1378229"/>
                                      </a:lnTo>
                                      <a:lnTo>
                                        <a:pt x="4499927" y="1436776"/>
                                      </a:lnTo>
                                      <a:lnTo>
                                        <a:pt x="4499927" y="1123035"/>
                                      </a:lnTo>
                                      <a:lnTo>
                                        <a:pt x="4470844" y="1095921"/>
                                      </a:lnTo>
                                      <a:lnTo>
                                        <a:pt x="4426724" y="1060919"/>
                                      </a:lnTo>
                                      <a:lnTo>
                                        <a:pt x="4382909" y="1032230"/>
                                      </a:lnTo>
                                      <a:lnTo>
                                        <a:pt x="4339387" y="1009789"/>
                                      </a:lnTo>
                                      <a:lnTo>
                                        <a:pt x="4296194" y="993521"/>
                                      </a:lnTo>
                                      <a:lnTo>
                                        <a:pt x="4253357" y="983361"/>
                                      </a:lnTo>
                                      <a:lnTo>
                                        <a:pt x="4203268" y="979881"/>
                                      </a:lnTo>
                                      <a:lnTo>
                                        <a:pt x="4155440" y="986269"/>
                                      </a:lnTo>
                                      <a:lnTo>
                                        <a:pt x="4109859" y="1002411"/>
                                      </a:lnTo>
                                      <a:lnTo>
                                        <a:pt x="4066502" y="1028153"/>
                                      </a:lnTo>
                                      <a:lnTo>
                                        <a:pt x="4025392" y="1063371"/>
                                      </a:lnTo>
                                      <a:lnTo>
                                        <a:pt x="3991102" y="1103668"/>
                                      </a:lnTo>
                                      <a:lnTo>
                                        <a:pt x="3966197" y="1146606"/>
                                      </a:lnTo>
                                      <a:lnTo>
                                        <a:pt x="3950792" y="1192149"/>
                                      </a:lnTo>
                                      <a:lnTo>
                                        <a:pt x="3945001" y="1240243"/>
                                      </a:lnTo>
                                      <a:lnTo>
                                        <a:pt x="3948938" y="1290828"/>
                                      </a:lnTo>
                                      <a:lnTo>
                                        <a:pt x="3959364" y="1334223"/>
                                      </a:lnTo>
                                      <a:lnTo>
                                        <a:pt x="3975976" y="1377988"/>
                                      </a:lnTo>
                                      <a:lnTo>
                                        <a:pt x="3998811" y="1422120"/>
                                      </a:lnTo>
                                      <a:lnTo>
                                        <a:pt x="4027932" y="1466570"/>
                                      </a:lnTo>
                                      <a:lnTo>
                                        <a:pt x="4063403" y="1511287"/>
                                      </a:lnTo>
                                      <a:lnTo>
                                        <a:pt x="4105275" y="1556258"/>
                                      </a:lnTo>
                                      <a:lnTo>
                                        <a:pt x="4143832" y="1592554"/>
                                      </a:lnTo>
                                      <a:lnTo>
                                        <a:pt x="4182072" y="1624050"/>
                                      </a:lnTo>
                                      <a:lnTo>
                                        <a:pt x="4219943" y="1650809"/>
                                      </a:lnTo>
                                      <a:lnTo>
                                        <a:pt x="4257395" y="1672856"/>
                                      </a:lnTo>
                                      <a:lnTo>
                                        <a:pt x="4294378" y="1690243"/>
                                      </a:lnTo>
                                      <a:lnTo>
                                        <a:pt x="4339133" y="1705635"/>
                                      </a:lnTo>
                                      <a:lnTo>
                                        <a:pt x="4381792" y="1714271"/>
                                      </a:lnTo>
                                      <a:lnTo>
                                        <a:pt x="4422330" y="1716443"/>
                                      </a:lnTo>
                                      <a:lnTo>
                                        <a:pt x="4460735" y="1712468"/>
                                      </a:lnTo>
                                      <a:lnTo>
                                        <a:pt x="4533227" y="1684972"/>
                                      </a:lnTo>
                                      <a:lnTo>
                                        <a:pt x="4568253" y="1661007"/>
                                      </a:lnTo>
                                      <a:lnTo>
                                        <a:pt x="4602480" y="1630426"/>
                                      </a:lnTo>
                                      <a:lnTo>
                                        <a:pt x="4632261" y="1596301"/>
                                      </a:lnTo>
                                      <a:lnTo>
                                        <a:pt x="4655032" y="1560601"/>
                                      </a:lnTo>
                                      <a:lnTo>
                                        <a:pt x="4670641" y="1523288"/>
                                      </a:lnTo>
                                      <a:lnTo>
                                        <a:pt x="4678934" y="1484376"/>
                                      </a:lnTo>
                                      <a:lnTo>
                                        <a:pt x="4680788" y="1444447"/>
                                      </a:lnTo>
                                      <a:close/>
                                    </a:path>
                                    <a:path w="5505450" h="5661025">
                                      <a:moveTo>
                                        <a:pt x="4986147" y="1227963"/>
                                      </a:moveTo>
                                      <a:lnTo>
                                        <a:pt x="4780788" y="1022604"/>
                                      </a:lnTo>
                                      <a:lnTo>
                                        <a:pt x="4848479" y="954913"/>
                                      </a:lnTo>
                                      <a:lnTo>
                                        <a:pt x="4880622" y="916901"/>
                                      </a:lnTo>
                                      <a:lnTo>
                                        <a:pt x="4884090" y="910590"/>
                                      </a:lnTo>
                                      <a:lnTo>
                                        <a:pt x="4902111" y="877760"/>
                                      </a:lnTo>
                                      <a:lnTo>
                                        <a:pt x="4912817" y="837577"/>
                                      </a:lnTo>
                                      <a:lnTo>
                                        <a:pt x="4912614" y="796417"/>
                                      </a:lnTo>
                                      <a:lnTo>
                                        <a:pt x="4902517" y="754748"/>
                                      </a:lnTo>
                                      <a:lnTo>
                                        <a:pt x="4883442" y="713003"/>
                                      </a:lnTo>
                                      <a:lnTo>
                                        <a:pt x="4855299" y="671169"/>
                                      </a:lnTo>
                                      <a:lnTo>
                                        <a:pt x="4817999" y="629285"/>
                                      </a:lnTo>
                                      <a:lnTo>
                                        <a:pt x="4777473" y="593026"/>
                                      </a:lnTo>
                                      <a:lnTo>
                                        <a:pt x="4737443" y="565632"/>
                                      </a:lnTo>
                                      <a:lnTo>
                                        <a:pt x="4731893" y="563016"/>
                                      </a:lnTo>
                                      <a:lnTo>
                                        <a:pt x="4731893" y="812673"/>
                                      </a:lnTo>
                                      <a:lnTo>
                                        <a:pt x="4731131" y="828903"/>
                                      </a:lnTo>
                                      <a:lnTo>
                                        <a:pt x="4725314" y="845553"/>
                                      </a:lnTo>
                                      <a:lnTo>
                                        <a:pt x="4714595" y="862672"/>
                                      </a:lnTo>
                                      <a:lnTo>
                                        <a:pt x="4699127" y="880237"/>
                                      </a:lnTo>
                                      <a:lnTo>
                                        <a:pt x="4668774" y="910590"/>
                                      </a:lnTo>
                                      <a:lnTo>
                                        <a:pt x="4545330" y="787146"/>
                                      </a:lnTo>
                                      <a:lnTo>
                                        <a:pt x="4580509" y="751967"/>
                                      </a:lnTo>
                                      <a:lnTo>
                                        <a:pt x="4597628" y="737082"/>
                                      </a:lnTo>
                                      <a:lnTo>
                                        <a:pt x="4614189" y="727290"/>
                                      </a:lnTo>
                                      <a:lnTo>
                                        <a:pt x="4630229" y="722553"/>
                                      </a:lnTo>
                                      <a:lnTo>
                                        <a:pt x="4645787" y="722884"/>
                                      </a:lnTo>
                                      <a:lnTo>
                                        <a:pt x="4689233" y="742772"/>
                                      </a:lnTo>
                                      <a:lnTo>
                                        <a:pt x="4723168" y="782447"/>
                                      </a:lnTo>
                                      <a:lnTo>
                                        <a:pt x="4731893" y="812673"/>
                                      </a:lnTo>
                                      <a:lnTo>
                                        <a:pt x="4731893" y="563016"/>
                                      </a:lnTo>
                                      <a:lnTo>
                                        <a:pt x="4697946" y="546963"/>
                                      </a:lnTo>
                                      <a:lnTo>
                                        <a:pt x="4658995" y="536829"/>
                                      </a:lnTo>
                                      <a:lnTo>
                                        <a:pt x="4620869" y="536219"/>
                                      </a:lnTo>
                                      <a:lnTo>
                                        <a:pt x="4584039" y="545515"/>
                                      </a:lnTo>
                                      <a:lnTo>
                                        <a:pt x="4548530" y="564603"/>
                                      </a:lnTo>
                                      <a:lnTo>
                                        <a:pt x="4514342" y="593344"/>
                                      </a:lnTo>
                                      <a:lnTo>
                                        <a:pt x="4308729" y="798830"/>
                                      </a:lnTo>
                                      <a:lnTo>
                                        <a:pt x="4861941" y="1352042"/>
                                      </a:lnTo>
                                      <a:lnTo>
                                        <a:pt x="4986147" y="1227963"/>
                                      </a:lnTo>
                                      <a:close/>
                                    </a:path>
                                    <a:path w="5505450" h="5661025">
                                      <a:moveTo>
                                        <a:pt x="5505323" y="708660"/>
                                      </a:moveTo>
                                      <a:lnTo>
                                        <a:pt x="5273548" y="477012"/>
                                      </a:lnTo>
                                      <a:lnTo>
                                        <a:pt x="5240020" y="381711"/>
                                      </a:lnTo>
                                      <a:lnTo>
                                        <a:pt x="5141201" y="95250"/>
                                      </a:lnTo>
                                      <a:lnTo>
                                        <a:pt x="5107686" y="0"/>
                                      </a:lnTo>
                                      <a:lnTo>
                                        <a:pt x="4971034" y="136652"/>
                                      </a:lnTo>
                                      <a:lnTo>
                                        <a:pt x="4988852" y="181178"/>
                                      </a:lnTo>
                                      <a:lnTo>
                                        <a:pt x="5041531" y="315112"/>
                                      </a:lnTo>
                                      <a:lnTo>
                                        <a:pt x="5077079" y="404241"/>
                                      </a:lnTo>
                                      <a:lnTo>
                                        <a:pt x="5032565" y="386359"/>
                                      </a:lnTo>
                                      <a:lnTo>
                                        <a:pt x="4898745" y="333527"/>
                                      </a:lnTo>
                                      <a:lnTo>
                                        <a:pt x="4809744" y="297942"/>
                                      </a:lnTo>
                                      <a:lnTo>
                                        <a:pt x="4672457" y="435229"/>
                                      </a:lnTo>
                                      <a:lnTo>
                                        <a:pt x="4767770" y="468693"/>
                                      </a:lnTo>
                                      <a:lnTo>
                                        <a:pt x="5054397" y="567385"/>
                                      </a:lnTo>
                                      <a:lnTo>
                                        <a:pt x="5149723" y="600837"/>
                                      </a:lnTo>
                                      <a:lnTo>
                                        <a:pt x="5381498" y="832485"/>
                                      </a:lnTo>
                                      <a:lnTo>
                                        <a:pt x="5505323" y="70866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7.907999pt;margin-top:9.787461pt;width:433.5pt;height:445.75pt;mso-position-horizontal-relative:column;mso-position-vertical-relative:paragraph;z-index:-25176064" id="docshapegroup279" coordorigin="358,196" coordsize="8670,8915">
                      <v:shape style="position:absolute;left:358;top:195;width:8670;height:8915" id="docshape280" coordorigin="358,196" coordsize="8670,8915" path="m1424,8915l553,8044,358,8239,1229,9110,1424,8915xm2016,8239l2015,8200,2010,8157,2001,8113,1987,8069,1968,8026,1945,7983,1917,7940,1887,7899,1853,7859,1816,7820,1297,7301,1103,7495,1634,8027,1667,8062,1691,8098,1708,8133,1718,8167,1719,8200,1713,8230,1699,8259,1678,8285,1652,8306,1623,8320,1592,8326,1559,8324,1525,8315,1490,8298,1455,8274,1419,8242,888,7710,693,7904,1213,8424,1247,8456,1286,8488,1330,8520,1378,8553,1410,8572,1445,8588,1482,8601,1520,8612,1559,8619,1595,8623,1629,8623,1662,8620,1693,8613,1725,8601,1757,8585,1788,8565,1819,8541,1847,8519,1873,8496,1897,8473,1933,8433,1963,8392,1987,8350,2004,8308,2012,8275,2016,8239xm2744,7456l2738,7392,2722,7327,2696,7260,2668,7205,2633,7149,2590,7092,2540,7033,2522,7014,2483,6972,2459,6950,2459,7444,2454,7484,2439,7521,2413,7554,2380,7580,2343,7595,2303,7599,2258,7593,2209,7575,2156,7543,2097,7498,2033,7439,1974,7375,1928,7316,1897,7262,1878,7213,1872,7168,1876,7128,1891,7092,1915,7060,1948,7035,1984,7019,2025,7014,2069,7019,2117,7037,2169,7066,2225,7109,2285,7164,2350,7233,2400,7296,2434,7352,2453,7401,2459,7444,2459,6950,2413,6907,2344,6852,2275,6807,2206,6772,2138,6746,2071,6730,1992,6725,1916,6735,1845,6760,1776,6801,1712,6856,1658,6920,1618,6987,1594,7059,1585,7135,1591,7214,1608,7282,1634,7351,1670,7421,1716,7491,1772,7562,1838,7632,1898,7689,1958,7739,2018,7781,2077,7816,2135,7843,2206,7868,2273,7881,2337,7885,2397,7878,2455,7862,2511,7835,2567,7797,2620,7749,2667,7695,2703,7639,2720,7599,2728,7580,2741,7519,2744,7456xm3015,6877l2828,6689,2574,6944,2761,7131,3015,6877xm3526,6814l2655,5943,2460,6138,3331,7009,3526,6814xm3860,6480l3537,6156,3643,6050,3694,5990,3699,5980,3728,5928,3745,5865,3744,5800,3728,5735,3705,5684,3698,5669,3654,5603,3595,5537,3532,5480,3469,5437,3460,5433,3460,5826,3459,5851,3449,5878,3432,5905,3408,5932,3360,5980,3166,5786,3221,5730,3248,5707,3274,5691,3300,5684,3324,5684,3348,5691,3371,5701,3393,5716,3414,5734,3432,5756,3446,5778,3455,5802,3460,5826,3460,5433,3406,5407,3345,5391,3285,5390,3227,5405,3171,5435,3117,5481,2793,5804,3665,6675,3860,6480xm4650,5690l3994,5034,4192,4835,3977,4620,3386,5212,3601,5427,3799,5229,4455,5885,4650,5690xm5285,5055l4629,4398,4828,4200,4613,3985,4021,4577,4236,4792,4435,4593,5091,5249,5285,5055xm6019,4181l6013,4117,5997,4052,5971,3985,5943,3930,5908,3875,5865,3817,5815,3758,5797,3739,5758,3698,5734,3675,5734,4169,5729,4209,5713,4246,5687,4279,5655,4305,5618,4320,5578,4324,5533,4318,5484,4300,5431,4268,5372,4223,5308,4164,5249,4100,5203,4041,5171,3987,5153,3938,5147,3893,5151,3853,5165,3817,5190,3785,5223,3760,5259,3744,5300,3739,5344,3744,5392,3762,5444,3791,5500,3834,5560,3889,5625,3958,5675,4021,5709,4077,5728,4126,5734,4169,5734,3675,5688,3633,5618,3577,5549,3532,5481,3497,5413,3471,5345,3455,5267,3450,5191,3460,5119,3485,5051,3526,4987,3581,4933,3645,4893,3712,4869,3784,4860,3860,4866,3939,4883,4008,4909,4077,4945,4146,4991,4216,5046,4287,5112,4357,5173,4415,5233,4464,5293,4506,5352,4541,5410,4568,5481,4593,5548,4606,5612,4610,5672,4604,5730,4587,5786,4560,5841,4522,5895,4474,5942,4421,5978,4364,5995,4324,6003,4306,6016,4244,6019,4181xm7032,3186l7027,3137,7015,3086,6996,3034,6971,2979,6941,2924,6903,2866,6842,2891,6661,2966,6693,3012,6717,3055,6735,3095,6746,3133,6749,3168,6743,3201,6728,3232,6705,3261,6674,3285,6640,3299,6602,3303,6562,3297,6515,3278,6462,3244,6400,3195,6331,3130,6279,3074,6237,3022,6206,2974,6186,2932,6173,2880,6174,2833,6187,2792,6214,2757,6229,2743,6246,2733,6264,2725,6284,2720,6304,2718,6326,2719,6348,2722,6371,2728,6386,2734,6404,2742,6425,2753,6448,2767,6567,2543,6484,2497,6405,2465,6331,2445,6262,2439,6195,2447,6131,2470,6068,2507,6008,2560,5954,2622,5916,2689,5892,2759,5883,2833,5889,2911,5905,2978,5932,3046,5968,3115,6015,3184,6071,3255,6138,3327,6202,3387,6266,3440,6329,3483,6391,3519,6452,3546,6524,3570,6592,3582,6653,3585,6709,3578,6762,3562,6814,3535,6866,3498,6918,3452,6956,3409,6987,3366,7009,3322,7023,3278,7031,3233,7032,3186xm7729,2470l7723,2406,7708,2341,7682,2274,7654,2220,7619,2164,7576,2106,7526,2047,7508,2028,7469,1987,7445,1964,7445,2458,7440,2499,7424,2535,7398,2568,7366,2594,7329,2609,7289,2613,7244,2607,7195,2589,7141,2557,7083,2512,7019,2453,6960,2389,6914,2330,6882,2276,6864,2227,6858,2182,6862,2142,6876,2106,6901,2075,6933,2049,6970,2033,7011,2028,7055,2033,7103,2051,7155,2080,7211,2123,7271,2178,7336,2247,7385,2310,7420,2366,7439,2415,7445,2458,7445,1964,7399,1922,7329,1866,7260,1821,7192,1786,7124,1760,7056,1744,6977,1739,6902,1749,6830,1774,6762,1815,6697,1870,6643,1934,6604,2001,6580,2073,6571,2149,6577,2229,6593,2297,6620,2366,6656,2435,6701,2505,6757,2576,6823,2647,6884,2704,6944,2753,7004,2795,7063,2830,7121,2858,7191,2882,7259,2895,7322,2899,7383,2893,7441,2876,7497,2849,7552,2812,7606,2763,7653,2710,7689,2653,7706,2613,7714,2595,7727,2533,7729,2470xm8210,2130l7887,1806,7994,1700,8044,1640,8050,1630,8078,1578,8095,1515,8095,1450,8079,1384,8056,1334,8049,1319,8004,1253,7946,1187,7882,1130,7819,1087,7810,1082,7810,1476,7809,1501,7800,1527,7783,1554,7758,1582,7711,1630,7516,1435,7572,1380,7599,1357,7625,1341,7650,1334,7674,1334,7698,1341,7721,1351,7743,1365,7764,1384,7782,1405,7796,1428,7805,1451,7810,1476,7810,1082,7757,1057,7695,1041,7635,1040,7577,1055,7521,1085,7467,1130,7144,1454,8015,2325,8210,2130xm9028,1312l8663,947,8610,797,8455,346,8402,196,8187,411,8215,481,8298,692,8354,832,8283,804,8073,721,7933,665,7716,881,7866,934,8318,1089,8468,1142,8833,1507,9028,1312xe" filled="true" fillcolor="#c0c0c0" stroked="false">
                        <v:path arrowok="t"/>
                        <v:fill opacity="32896f" type="solid"/>
                      </v:shape>
                      <w10:wrap type="none"/>
                    </v:group>
                  </w:pict>
                </mc:Fallback>
              </mc:AlternateContent>
            </w:r>
            <w:r>
              <w:rPr>
                <w:spacing w:val="-2"/>
                <w:sz w:val="18"/>
              </w:rPr>
              <w:t>0.000291</w:t>
            </w:r>
          </w:p>
        </w:tc>
        <w:tc>
          <w:tcPr>
            <w:tcW w:w="1561" w:type="dxa"/>
            <w:tcBorders>
              <w:bottom w:val="double" w:sz="6" w:space="0" w:color="000000"/>
            </w:tcBorders>
          </w:tcPr>
          <w:p>
            <w:pPr>
              <w:pStyle w:val="TableParagraph"/>
              <w:spacing w:line="201" w:lineRule="exact" w:before="0"/>
              <w:ind w:left="51" w:right="4"/>
              <w:jc w:val="center"/>
              <w:rPr>
                <w:sz w:val="18"/>
              </w:rPr>
            </w:pPr>
            <w:r>
              <w:rPr>
                <w:spacing w:val="-2"/>
                <w:sz w:val="18"/>
              </w:rPr>
              <w:t>0.009592</w:t>
            </w:r>
          </w:p>
        </w:tc>
        <w:tc>
          <w:tcPr>
            <w:tcW w:w="1350" w:type="dxa"/>
            <w:tcBorders>
              <w:bottom w:val="double" w:sz="6" w:space="0" w:color="000000"/>
            </w:tcBorders>
          </w:tcPr>
          <w:p>
            <w:pPr>
              <w:pStyle w:val="TableParagraph"/>
              <w:spacing w:line="201" w:lineRule="exact" w:before="0"/>
              <w:ind w:left="51" w:right="74"/>
              <w:jc w:val="center"/>
              <w:rPr>
                <w:sz w:val="18"/>
              </w:rPr>
            </w:pPr>
            <w:r>
              <w:rPr>
                <w:spacing w:val="-2"/>
                <w:sz w:val="18"/>
              </w:rPr>
              <w:t>3.841466</w:t>
            </w:r>
          </w:p>
        </w:tc>
        <w:tc>
          <w:tcPr>
            <w:tcW w:w="1415" w:type="dxa"/>
            <w:tcBorders>
              <w:bottom w:val="double" w:sz="6" w:space="0" w:color="000000"/>
            </w:tcBorders>
          </w:tcPr>
          <w:p>
            <w:pPr>
              <w:pStyle w:val="TableParagraph"/>
              <w:spacing w:line="201" w:lineRule="exact" w:before="0"/>
              <w:ind w:left="52" w:right="6"/>
              <w:jc w:val="center"/>
              <w:rPr>
                <w:sz w:val="18"/>
              </w:rPr>
            </w:pPr>
            <w:r>
              <w:rPr>
                <w:spacing w:val="-2"/>
                <w:sz w:val="18"/>
              </w:rPr>
              <w:t>0.9217</w:t>
            </w:r>
          </w:p>
        </w:tc>
        <w:tc>
          <w:tcPr>
            <w:tcW w:w="1409" w:type="dxa"/>
          </w:tcPr>
          <w:p>
            <w:pPr>
              <w:pStyle w:val="TableParagraph"/>
              <w:spacing w:line="240" w:lineRule="auto" w:before="0"/>
              <w:rPr>
                <w:rFonts w:ascii="Times New Roman"/>
                <w:sz w:val="18"/>
              </w:rPr>
            </w:pPr>
          </w:p>
        </w:tc>
        <w:tc>
          <w:tcPr>
            <w:tcW w:w="1439" w:type="dxa"/>
          </w:tcPr>
          <w:p>
            <w:pPr>
              <w:pStyle w:val="TableParagraph"/>
              <w:spacing w:line="240" w:lineRule="auto" w:before="0"/>
              <w:rPr>
                <w:rFonts w:ascii="Times New Roman"/>
                <w:sz w:val="18"/>
              </w:rPr>
            </w:pPr>
          </w:p>
        </w:tc>
        <w:tc>
          <w:tcPr>
            <w:tcW w:w="1409" w:type="dxa"/>
          </w:tcPr>
          <w:p>
            <w:pPr>
              <w:pStyle w:val="TableParagraph"/>
              <w:spacing w:line="240" w:lineRule="auto" w:before="0"/>
              <w:rPr>
                <w:rFonts w:ascii="Times New Roman"/>
                <w:sz w:val="18"/>
              </w:rPr>
            </w:pPr>
          </w:p>
        </w:tc>
        <w:tc>
          <w:tcPr>
            <w:tcW w:w="1418" w:type="dxa"/>
          </w:tcPr>
          <w:p>
            <w:pPr>
              <w:pStyle w:val="TableParagraph"/>
              <w:spacing w:line="240" w:lineRule="auto" w:before="0"/>
              <w:rPr>
                <w:rFonts w:ascii="Times New Roman"/>
                <w:sz w:val="18"/>
              </w:rPr>
            </w:pPr>
          </w:p>
        </w:tc>
        <w:tc>
          <w:tcPr>
            <w:tcW w:w="1417" w:type="dxa"/>
          </w:tcPr>
          <w:p>
            <w:pPr>
              <w:pStyle w:val="TableParagraph"/>
              <w:spacing w:line="240" w:lineRule="auto" w:before="0"/>
              <w:rPr>
                <w:rFonts w:ascii="Times New Roman"/>
                <w:sz w:val="18"/>
              </w:rPr>
            </w:pPr>
          </w:p>
        </w:tc>
      </w:tr>
      <w:tr>
        <w:trPr>
          <w:trHeight w:val="327" w:hRule="atLeast"/>
        </w:trPr>
        <w:tc>
          <w:tcPr>
            <w:tcW w:w="14151" w:type="dxa"/>
            <w:gridSpan w:val="10"/>
          </w:tcPr>
          <w:p>
            <w:pPr>
              <w:pStyle w:val="TableParagraph"/>
              <w:spacing w:before="108"/>
              <w:ind w:left="50"/>
              <w:rPr>
                <w:sz w:val="18"/>
              </w:rPr>
            </w:pPr>
            <w:r>
              <w:rPr>
                <w:sz w:val="18"/>
              </w:rPr>
              <w:t>Max-eigenvalue</w:t>
            </w:r>
            <w:r>
              <w:rPr>
                <w:spacing w:val="-7"/>
                <w:sz w:val="18"/>
              </w:rPr>
              <w:t> </w:t>
            </w:r>
            <w:r>
              <w:rPr>
                <w:sz w:val="18"/>
              </w:rPr>
              <w:t>test</w:t>
            </w:r>
            <w:r>
              <w:rPr>
                <w:spacing w:val="-6"/>
                <w:sz w:val="18"/>
              </w:rPr>
              <w:t> </w:t>
            </w:r>
            <w:r>
              <w:rPr>
                <w:sz w:val="18"/>
              </w:rPr>
              <w:t>indicates</w:t>
            </w:r>
            <w:r>
              <w:rPr>
                <w:spacing w:val="-8"/>
                <w:sz w:val="18"/>
              </w:rPr>
              <w:t> </w:t>
            </w:r>
            <w:r>
              <w:rPr>
                <w:sz w:val="18"/>
              </w:rPr>
              <w:t>3</w:t>
            </w:r>
            <w:r>
              <w:rPr>
                <w:spacing w:val="-5"/>
                <w:sz w:val="18"/>
              </w:rPr>
              <w:t> </w:t>
            </w:r>
            <w:r>
              <w:rPr>
                <w:sz w:val="18"/>
              </w:rPr>
              <w:t>cointegrating</w:t>
            </w:r>
            <w:r>
              <w:rPr>
                <w:spacing w:val="-8"/>
                <w:sz w:val="18"/>
              </w:rPr>
              <w:t> </w:t>
            </w:r>
            <w:r>
              <w:rPr>
                <w:sz w:val="18"/>
              </w:rPr>
              <w:t>eqn(s)</w:t>
            </w:r>
            <w:r>
              <w:rPr>
                <w:spacing w:val="-5"/>
                <w:sz w:val="18"/>
              </w:rPr>
              <w:t> </w:t>
            </w:r>
            <w:r>
              <w:rPr>
                <w:sz w:val="18"/>
              </w:rPr>
              <w:t>at</w:t>
            </w:r>
            <w:r>
              <w:rPr>
                <w:spacing w:val="-8"/>
                <w:sz w:val="18"/>
              </w:rPr>
              <w:t> </w:t>
            </w:r>
            <w:r>
              <w:rPr>
                <w:sz w:val="18"/>
              </w:rPr>
              <w:t>the</w:t>
            </w:r>
            <w:r>
              <w:rPr>
                <w:spacing w:val="-7"/>
                <w:sz w:val="18"/>
              </w:rPr>
              <w:t> </w:t>
            </w:r>
            <w:r>
              <w:rPr>
                <w:sz w:val="18"/>
              </w:rPr>
              <w:t>0.05</w:t>
            </w:r>
            <w:r>
              <w:rPr>
                <w:spacing w:val="-6"/>
                <w:sz w:val="18"/>
              </w:rPr>
              <w:t> </w:t>
            </w:r>
            <w:r>
              <w:rPr>
                <w:spacing w:val="-2"/>
                <w:sz w:val="18"/>
              </w:rPr>
              <w:t>level</w:t>
            </w:r>
          </w:p>
        </w:tc>
      </w:tr>
      <w:tr>
        <w:trPr>
          <w:trHeight w:val="225" w:hRule="atLeast"/>
        </w:trPr>
        <w:tc>
          <w:tcPr>
            <w:tcW w:w="14151" w:type="dxa"/>
            <w:gridSpan w:val="10"/>
          </w:tcPr>
          <w:p>
            <w:pPr>
              <w:pStyle w:val="TableParagraph"/>
              <w:ind w:left="50"/>
              <w:rPr>
                <w:sz w:val="18"/>
              </w:rPr>
            </w:pPr>
            <w:r>
              <w:rPr>
                <w:sz w:val="18"/>
              </w:rPr>
              <w:t>*</w:t>
            </w:r>
            <w:r>
              <w:rPr>
                <w:spacing w:val="-3"/>
                <w:sz w:val="18"/>
              </w:rPr>
              <w:t> </w:t>
            </w:r>
            <w:r>
              <w:rPr>
                <w:sz w:val="18"/>
              </w:rPr>
              <w:t>denotes</w:t>
            </w:r>
            <w:r>
              <w:rPr>
                <w:spacing w:val="-1"/>
                <w:sz w:val="18"/>
              </w:rPr>
              <w:t> </w:t>
            </w:r>
            <w:r>
              <w:rPr>
                <w:sz w:val="18"/>
              </w:rPr>
              <w:t>rejection</w:t>
            </w:r>
            <w:r>
              <w:rPr>
                <w:spacing w:val="-3"/>
                <w:sz w:val="18"/>
              </w:rPr>
              <w:t> </w:t>
            </w:r>
            <w:r>
              <w:rPr>
                <w:sz w:val="18"/>
              </w:rPr>
              <w:t>of</w:t>
            </w:r>
            <w:r>
              <w:rPr>
                <w:spacing w:val="-4"/>
                <w:sz w:val="18"/>
              </w:rPr>
              <w:t> </w:t>
            </w:r>
            <w:r>
              <w:rPr>
                <w:sz w:val="18"/>
              </w:rPr>
              <w:t>the</w:t>
            </w:r>
            <w:r>
              <w:rPr>
                <w:spacing w:val="-5"/>
                <w:sz w:val="18"/>
              </w:rPr>
              <w:t> </w:t>
            </w:r>
            <w:r>
              <w:rPr>
                <w:sz w:val="18"/>
              </w:rPr>
              <w:t>hypothesis</w:t>
            </w:r>
            <w:r>
              <w:rPr>
                <w:spacing w:val="-4"/>
                <w:sz w:val="18"/>
              </w:rPr>
              <w:t> </w:t>
            </w:r>
            <w:r>
              <w:rPr>
                <w:sz w:val="18"/>
              </w:rPr>
              <w:t>at</w:t>
            </w:r>
            <w:r>
              <w:rPr>
                <w:spacing w:val="-2"/>
                <w:sz w:val="18"/>
              </w:rPr>
              <w:t> </w:t>
            </w:r>
            <w:r>
              <w:rPr>
                <w:sz w:val="18"/>
              </w:rPr>
              <w:t>the</w:t>
            </w:r>
            <w:r>
              <w:rPr>
                <w:spacing w:val="-3"/>
                <w:sz w:val="18"/>
              </w:rPr>
              <w:t> </w:t>
            </w:r>
            <w:r>
              <w:rPr>
                <w:sz w:val="18"/>
              </w:rPr>
              <w:t>0.05</w:t>
            </w:r>
            <w:r>
              <w:rPr>
                <w:spacing w:val="-4"/>
                <w:sz w:val="18"/>
              </w:rPr>
              <w:t> level</w:t>
            </w:r>
          </w:p>
        </w:tc>
      </w:tr>
      <w:tr>
        <w:trPr>
          <w:trHeight w:val="337" w:hRule="atLeast"/>
        </w:trPr>
        <w:tc>
          <w:tcPr>
            <w:tcW w:w="14151" w:type="dxa"/>
            <w:gridSpan w:val="10"/>
          </w:tcPr>
          <w:p>
            <w:pPr>
              <w:pStyle w:val="TableParagraph"/>
              <w:spacing w:line="240" w:lineRule="auto"/>
              <w:ind w:left="50"/>
              <w:rPr>
                <w:sz w:val="18"/>
              </w:rPr>
            </w:pPr>
            <w:r>
              <w:rPr>
                <w:spacing w:val="-2"/>
                <w:sz w:val="18"/>
              </w:rPr>
              <w:t>**MacKinnon-Haug-Michelis</w:t>
            </w:r>
            <w:r>
              <w:rPr>
                <w:spacing w:val="10"/>
                <w:sz w:val="18"/>
              </w:rPr>
              <w:t> </w:t>
            </w:r>
            <w:r>
              <w:rPr>
                <w:spacing w:val="-2"/>
                <w:sz w:val="18"/>
              </w:rPr>
              <w:t>(1999)</w:t>
            </w:r>
            <w:r>
              <w:rPr>
                <w:spacing w:val="11"/>
                <w:sz w:val="18"/>
              </w:rPr>
              <w:t> </w:t>
            </w:r>
            <w:r>
              <w:rPr>
                <w:spacing w:val="-2"/>
                <w:sz w:val="18"/>
              </w:rPr>
              <w:t>p-values</w:t>
            </w:r>
          </w:p>
        </w:tc>
      </w:tr>
      <w:tr>
        <w:trPr>
          <w:trHeight w:val="415" w:hRule="atLeast"/>
        </w:trPr>
        <w:tc>
          <w:tcPr>
            <w:tcW w:w="14151" w:type="dxa"/>
            <w:gridSpan w:val="10"/>
            <w:tcBorders>
              <w:bottom w:val="double" w:sz="6" w:space="0" w:color="000000"/>
            </w:tcBorders>
          </w:tcPr>
          <w:p>
            <w:pPr>
              <w:pStyle w:val="TableParagraph"/>
              <w:spacing w:line="240" w:lineRule="auto" w:before="118"/>
              <w:ind w:left="50"/>
              <w:rPr>
                <w:sz w:val="18"/>
              </w:rPr>
            </w:pPr>
            <w:r>
              <w:rPr>
                <w:spacing w:val="-2"/>
                <w:sz w:val="18"/>
              </w:rPr>
              <w:t>Unrestricted</w:t>
            </w:r>
            <w:r>
              <w:rPr>
                <w:spacing w:val="5"/>
                <w:sz w:val="18"/>
              </w:rPr>
              <w:t> </w:t>
            </w:r>
            <w:r>
              <w:rPr>
                <w:spacing w:val="-2"/>
                <w:sz w:val="18"/>
              </w:rPr>
              <w:t>Cointegrating</w:t>
            </w:r>
            <w:r>
              <w:rPr>
                <w:spacing w:val="6"/>
                <w:sz w:val="18"/>
              </w:rPr>
              <w:t> </w:t>
            </w:r>
            <w:r>
              <w:rPr>
                <w:spacing w:val="-2"/>
                <w:sz w:val="18"/>
              </w:rPr>
              <w:t>Coefficients</w:t>
            </w:r>
            <w:r>
              <w:rPr>
                <w:spacing w:val="7"/>
                <w:sz w:val="18"/>
              </w:rPr>
              <w:t> </w:t>
            </w:r>
            <w:r>
              <w:rPr>
                <w:spacing w:val="-2"/>
                <w:sz w:val="18"/>
              </w:rPr>
              <w:t>(normalized</w:t>
            </w:r>
            <w:r>
              <w:rPr>
                <w:spacing w:val="3"/>
                <w:sz w:val="18"/>
              </w:rPr>
              <w:t> </w:t>
            </w:r>
            <w:r>
              <w:rPr>
                <w:spacing w:val="-2"/>
                <w:sz w:val="18"/>
              </w:rPr>
              <w:t>by</w:t>
            </w:r>
            <w:r>
              <w:rPr>
                <w:spacing w:val="5"/>
                <w:sz w:val="18"/>
              </w:rPr>
              <w:t> </w:t>
            </w:r>
            <w:r>
              <w:rPr>
                <w:spacing w:val="-2"/>
                <w:sz w:val="18"/>
              </w:rPr>
              <w:t>b'*S11*b=I):</w:t>
            </w:r>
          </w:p>
        </w:tc>
      </w:tr>
      <w:tr>
        <w:trPr>
          <w:trHeight w:val="326" w:hRule="atLeast"/>
        </w:trPr>
        <w:tc>
          <w:tcPr>
            <w:tcW w:w="1467" w:type="dxa"/>
            <w:tcBorders>
              <w:top w:val="double" w:sz="6" w:space="0" w:color="000000"/>
            </w:tcBorders>
          </w:tcPr>
          <w:p>
            <w:pPr>
              <w:pStyle w:val="TableParagraph"/>
              <w:spacing w:line="198" w:lineRule="exact" w:before="108"/>
              <w:ind w:right="81"/>
              <w:jc w:val="center"/>
              <w:rPr>
                <w:sz w:val="18"/>
              </w:rPr>
            </w:pPr>
            <w:r>
              <w:rPr>
                <w:spacing w:val="-4"/>
                <w:sz w:val="18"/>
              </w:rPr>
              <w:t>RGDP</w:t>
            </w:r>
          </w:p>
        </w:tc>
        <w:tc>
          <w:tcPr>
            <w:tcW w:w="1266" w:type="dxa"/>
            <w:tcBorders>
              <w:top w:val="double" w:sz="6" w:space="0" w:color="000000"/>
            </w:tcBorders>
          </w:tcPr>
          <w:p>
            <w:pPr>
              <w:pStyle w:val="TableParagraph"/>
              <w:spacing w:line="198" w:lineRule="exact" w:before="108"/>
              <w:ind w:left="38" w:right="47"/>
              <w:jc w:val="center"/>
              <w:rPr>
                <w:sz w:val="18"/>
              </w:rPr>
            </w:pPr>
            <w:r>
              <w:rPr>
                <w:spacing w:val="-5"/>
                <w:sz w:val="18"/>
              </w:rPr>
              <w:t>FDI</w:t>
            </w:r>
          </w:p>
        </w:tc>
        <w:tc>
          <w:tcPr>
            <w:tcW w:w="1561" w:type="dxa"/>
            <w:tcBorders>
              <w:top w:val="double" w:sz="6" w:space="0" w:color="000000"/>
            </w:tcBorders>
          </w:tcPr>
          <w:p>
            <w:pPr>
              <w:pStyle w:val="TableParagraph"/>
              <w:spacing w:line="198" w:lineRule="exact" w:before="108"/>
              <w:ind w:left="48" w:right="52"/>
              <w:jc w:val="center"/>
              <w:rPr>
                <w:sz w:val="18"/>
              </w:rPr>
            </w:pPr>
            <w:r>
              <w:rPr>
                <w:spacing w:val="-5"/>
                <w:sz w:val="18"/>
              </w:rPr>
              <w:t>FPI</w:t>
            </w:r>
          </w:p>
        </w:tc>
        <w:tc>
          <w:tcPr>
            <w:tcW w:w="1350" w:type="dxa"/>
            <w:tcBorders>
              <w:top w:val="double" w:sz="6" w:space="0" w:color="000000"/>
            </w:tcBorders>
          </w:tcPr>
          <w:p>
            <w:pPr>
              <w:pStyle w:val="TableParagraph"/>
              <w:spacing w:line="198" w:lineRule="exact" w:before="108"/>
              <w:ind w:right="74"/>
              <w:jc w:val="center"/>
              <w:rPr>
                <w:sz w:val="18"/>
              </w:rPr>
            </w:pPr>
            <w:r>
              <w:rPr>
                <w:spacing w:val="-5"/>
                <w:sz w:val="18"/>
              </w:rPr>
              <w:t>TOP</w:t>
            </w:r>
          </w:p>
        </w:tc>
        <w:tc>
          <w:tcPr>
            <w:tcW w:w="1415" w:type="dxa"/>
            <w:tcBorders>
              <w:top w:val="double" w:sz="6" w:space="0" w:color="000000"/>
            </w:tcBorders>
          </w:tcPr>
          <w:p>
            <w:pPr>
              <w:pStyle w:val="TableParagraph"/>
              <w:spacing w:line="198" w:lineRule="exact" w:before="108"/>
              <w:ind w:left="46" w:right="52"/>
              <w:jc w:val="center"/>
              <w:rPr>
                <w:sz w:val="18"/>
              </w:rPr>
            </w:pPr>
            <w:r>
              <w:rPr>
                <w:spacing w:val="-5"/>
                <w:sz w:val="18"/>
              </w:rPr>
              <w:t>REM</w:t>
            </w:r>
          </w:p>
        </w:tc>
        <w:tc>
          <w:tcPr>
            <w:tcW w:w="1409" w:type="dxa"/>
            <w:tcBorders>
              <w:top w:val="double" w:sz="6" w:space="0" w:color="000000"/>
            </w:tcBorders>
          </w:tcPr>
          <w:p>
            <w:pPr>
              <w:pStyle w:val="TableParagraph"/>
              <w:spacing w:line="198" w:lineRule="exact" w:before="108"/>
              <w:ind w:left="56" w:right="52"/>
              <w:jc w:val="center"/>
              <w:rPr>
                <w:sz w:val="18"/>
              </w:rPr>
            </w:pPr>
            <w:r>
              <w:rPr>
                <w:spacing w:val="-5"/>
                <w:sz w:val="18"/>
              </w:rPr>
              <w:t>ODA</w:t>
            </w:r>
          </w:p>
        </w:tc>
        <w:tc>
          <w:tcPr>
            <w:tcW w:w="1439" w:type="dxa"/>
            <w:tcBorders>
              <w:top w:val="double" w:sz="6" w:space="0" w:color="000000"/>
            </w:tcBorders>
          </w:tcPr>
          <w:p>
            <w:pPr>
              <w:pStyle w:val="TableParagraph"/>
              <w:spacing w:line="198" w:lineRule="exact" w:before="108"/>
              <w:ind w:left="44" w:right="48"/>
              <w:jc w:val="center"/>
              <w:rPr>
                <w:sz w:val="18"/>
              </w:rPr>
            </w:pPr>
            <w:r>
              <w:rPr>
                <w:spacing w:val="-2"/>
                <w:sz w:val="18"/>
              </w:rPr>
              <w:t>CPS_GDP</w:t>
            </w:r>
          </w:p>
        </w:tc>
        <w:tc>
          <w:tcPr>
            <w:tcW w:w="1409" w:type="dxa"/>
            <w:tcBorders>
              <w:top w:val="double" w:sz="6" w:space="0" w:color="000000"/>
            </w:tcBorders>
          </w:tcPr>
          <w:p>
            <w:pPr>
              <w:pStyle w:val="TableParagraph"/>
              <w:spacing w:line="198" w:lineRule="exact" w:before="108"/>
              <w:ind w:left="56" w:right="74"/>
              <w:jc w:val="center"/>
              <w:rPr>
                <w:sz w:val="18"/>
              </w:rPr>
            </w:pPr>
            <w:r>
              <w:rPr>
                <w:spacing w:val="-5"/>
                <w:sz w:val="18"/>
              </w:rPr>
              <w:t>INT</w:t>
            </w:r>
          </w:p>
        </w:tc>
        <w:tc>
          <w:tcPr>
            <w:tcW w:w="1418" w:type="dxa"/>
            <w:tcBorders>
              <w:top w:val="double" w:sz="6" w:space="0" w:color="000000"/>
            </w:tcBorders>
          </w:tcPr>
          <w:p>
            <w:pPr>
              <w:pStyle w:val="TableParagraph"/>
              <w:spacing w:line="198" w:lineRule="exact" w:before="108"/>
              <w:ind w:left="43" w:right="52"/>
              <w:jc w:val="center"/>
              <w:rPr>
                <w:sz w:val="18"/>
              </w:rPr>
            </w:pPr>
            <w:r>
              <w:rPr>
                <w:spacing w:val="-4"/>
                <w:sz w:val="18"/>
              </w:rPr>
              <w:t>EXCH</w:t>
            </w:r>
          </w:p>
        </w:tc>
        <w:tc>
          <w:tcPr>
            <w:tcW w:w="1417" w:type="dxa"/>
            <w:tcBorders>
              <w:top w:val="double" w:sz="6" w:space="0" w:color="000000"/>
            </w:tcBorders>
          </w:tcPr>
          <w:p>
            <w:pPr>
              <w:pStyle w:val="TableParagraph"/>
              <w:spacing w:line="240" w:lineRule="auto" w:before="0"/>
              <w:rPr>
                <w:rFonts w:ascii="Times New Roman"/>
                <w:sz w:val="18"/>
              </w:rPr>
            </w:pPr>
          </w:p>
        </w:tc>
      </w:tr>
      <w:tr>
        <w:trPr>
          <w:trHeight w:val="224" w:hRule="atLeast"/>
        </w:trPr>
        <w:tc>
          <w:tcPr>
            <w:tcW w:w="1467" w:type="dxa"/>
          </w:tcPr>
          <w:p>
            <w:pPr>
              <w:pStyle w:val="TableParagraph"/>
              <w:spacing w:line="200" w:lineRule="exact" w:before="5"/>
              <w:ind w:left="2" w:right="81"/>
              <w:jc w:val="center"/>
              <w:rPr>
                <w:sz w:val="18"/>
              </w:rPr>
            </w:pPr>
            <w:r>
              <w:rPr>
                <w:spacing w:val="-2"/>
                <w:sz w:val="18"/>
              </w:rPr>
              <w:t>-6.75E-</w:t>
            </w:r>
            <w:r>
              <w:rPr>
                <w:spacing w:val="-5"/>
                <w:sz w:val="18"/>
              </w:rPr>
              <w:t>06</w:t>
            </w:r>
          </w:p>
        </w:tc>
        <w:tc>
          <w:tcPr>
            <w:tcW w:w="1266" w:type="dxa"/>
          </w:tcPr>
          <w:p>
            <w:pPr>
              <w:pStyle w:val="TableParagraph"/>
              <w:spacing w:line="200" w:lineRule="exact" w:before="5"/>
              <w:ind w:right="246"/>
              <w:jc w:val="right"/>
              <w:rPr>
                <w:sz w:val="18"/>
              </w:rPr>
            </w:pPr>
            <w:r>
              <w:rPr>
                <w:spacing w:val="-2"/>
                <w:sz w:val="18"/>
              </w:rPr>
              <w:t>7.41E-</w:t>
            </w:r>
            <w:r>
              <w:rPr>
                <w:spacing w:val="-5"/>
                <w:sz w:val="18"/>
              </w:rPr>
              <w:t>05</w:t>
            </w:r>
          </w:p>
        </w:tc>
        <w:tc>
          <w:tcPr>
            <w:tcW w:w="1561" w:type="dxa"/>
          </w:tcPr>
          <w:p>
            <w:pPr>
              <w:pStyle w:val="TableParagraph"/>
              <w:spacing w:line="200" w:lineRule="exact" w:before="5"/>
              <w:ind w:left="48" w:right="48"/>
              <w:jc w:val="center"/>
              <w:rPr>
                <w:sz w:val="18"/>
              </w:rPr>
            </w:pPr>
            <w:r>
              <w:rPr>
                <w:spacing w:val="-2"/>
                <w:sz w:val="18"/>
              </w:rPr>
              <w:t>-0.070018</w:t>
            </w:r>
          </w:p>
        </w:tc>
        <w:tc>
          <w:tcPr>
            <w:tcW w:w="1350" w:type="dxa"/>
          </w:tcPr>
          <w:p>
            <w:pPr>
              <w:pStyle w:val="TableParagraph"/>
              <w:spacing w:line="200" w:lineRule="exact" w:before="5"/>
              <w:ind w:left="1" w:right="74"/>
              <w:jc w:val="center"/>
              <w:rPr>
                <w:sz w:val="18"/>
              </w:rPr>
            </w:pPr>
            <w:r>
              <w:rPr>
                <w:spacing w:val="-2"/>
                <w:sz w:val="18"/>
              </w:rPr>
              <w:t>-0.025721</w:t>
            </w:r>
          </w:p>
        </w:tc>
        <w:tc>
          <w:tcPr>
            <w:tcW w:w="1415" w:type="dxa"/>
          </w:tcPr>
          <w:p>
            <w:pPr>
              <w:pStyle w:val="TableParagraph"/>
              <w:spacing w:line="200" w:lineRule="exact" w:before="5"/>
              <w:ind w:left="52" w:right="6"/>
              <w:jc w:val="center"/>
              <w:rPr>
                <w:sz w:val="18"/>
              </w:rPr>
            </w:pPr>
            <w:r>
              <w:rPr>
                <w:spacing w:val="-2"/>
                <w:sz w:val="18"/>
              </w:rPr>
              <w:t>0.000418</w:t>
            </w:r>
          </w:p>
        </w:tc>
        <w:tc>
          <w:tcPr>
            <w:tcW w:w="1409" w:type="dxa"/>
          </w:tcPr>
          <w:p>
            <w:pPr>
              <w:pStyle w:val="TableParagraph"/>
              <w:spacing w:line="200" w:lineRule="exact" w:before="5"/>
              <w:ind w:left="56" w:right="52"/>
              <w:jc w:val="center"/>
              <w:rPr>
                <w:sz w:val="18"/>
              </w:rPr>
            </w:pPr>
            <w:r>
              <w:rPr>
                <w:spacing w:val="-2"/>
                <w:sz w:val="18"/>
              </w:rPr>
              <w:t>-0.000486</w:t>
            </w:r>
          </w:p>
        </w:tc>
        <w:tc>
          <w:tcPr>
            <w:tcW w:w="1439" w:type="dxa"/>
          </w:tcPr>
          <w:p>
            <w:pPr>
              <w:pStyle w:val="TableParagraph"/>
              <w:spacing w:line="200" w:lineRule="exact" w:before="5"/>
              <w:ind w:left="50" w:right="7"/>
              <w:jc w:val="center"/>
              <w:rPr>
                <w:sz w:val="18"/>
              </w:rPr>
            </w:pPr>
            <w:r>
              <w:rPr>
                <w:spacing w:val="-2"/>
                <w:sz w:val="18"/>
              </w:rPr>
              <w:t>0.226794</w:t>
            </w:r>
          </w:p>
        </w:tc>
        <w:tc>
          <w:tcPr>
            <w:tcW w:w="1409" w:type="dxa"/>
          </w:tcPr>
          <w:p>
            <w:pPr>
              <w:pStyle w:val="TableParagraph"/>
              <w:spacing w:line="200" w:lineRule="exact" w:before="5"/>
              <w:ind w:left="56" w:right="75"/>
              <w:jc w:val="center"/>
              <w:rPr>
                <w:sz w:val="18"/>
              </w:rPr>
            </w:pPr>
            <w:r>
              <w:rPr>
                <w:spacing w:val="-2"/>
                <w:sz w:val="18"/>
              </w:rPr>
              <w:t>-0.095825</w:t>
            </w:r>
          </w:p>
        </w:tc>
        <w:tc>
          <w:tcPr>
            <w:tcW w:w="1418" w:type="dxa"/>
          </w:tcPr>
          <w:p>
            <w:pPr>
              <w:pStyle w:val="TableParagraph"/>
              <w:spacing w:line="200" w:lineRule="exact" w:before="5"/>
              <w:ind w:left="48" w:right="10"/>
              <w:jc w:val="center"/>
              <w:rPr>
                <w:sz w:val="18"/>
              </w:rPr>
            </w:pPr>
            <w:r>
              <w:rPr>
                <w:spacing w:val="-2"/>
                <w:sz w:val="18"/>
              </w:rPr>
              <w:t>0.085649</w:t>
            </w:r>
          </w:p>
        </w:tc>
        <w:tc>
          <w:tcPr>
            <w:tcW w:w="1417"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4" w:right="81"/>
              <w:jc w:val="center"/>
              <w:rPr>
                <w:sz w:val="18"/>
              </w:rPr>
            </w:pPr>
            <w:r>
              <w:rPr>
                <w:spacing w:val="-2"/>
                <w:sz w:val="18"/>
              </w:rPr>
              <w:t>-0.000259</w:t>
            </w:r>
          </w:p>
        </w:tc>
        <w:tc>
          <w:tcPr>
            <w:tcW w:w="1266" w:type="dxa"/>
          </w:tcPr>
          <w:p>
            <w:pPr>
              <w:pStyle w:val="TableParagraph"/>
              <w:ind w:right="231"/>
              <w:jc w:val="right"/>
              <w:rPr>
                <w:sz w:val="18"/>
              </w:rPr>
            </w:pPr>
            <w:r>
              <w:rPr>
                <w:spacing w:val="-2"/>
                <w:sz w:val="18"/>
              </w:rPr>
              <w:t>-0.000445</w:t>
            </w:r>
          </w:p>
        </w:tc>
        <w:tc>
          <w:tcPr>
            <w:tcW w:w="1561" w:type="dxa"/>
          </w:tcPr>
          <w:p>
            <w:pPr>
              <w:pStyle w:val="TableParagraph"/>
              <w:ind w:left="51" w:right="4"/>
              <w:jc w:val="center"/>
              <w:rPr>
                <w:sz w:val="18"/>
              </w:rPr>
            </w:pPr>
            <w:r>
              <w:rPr>
                <w:spacing w:val="-2"/>
                <w:sz w:val="18"/>
              </w:rPr>
              <w:t>0.154058</w:t>
            </w:r>
          </w:p>
        </w:tc>
        <w:tc>
          <w:tcPr>
            <w:tcW w:w="1350" w:type="dxa"/>
          </w:tcPr>
          <w:p>
            <w:pPr>
              <w:pStyle w:val="TableParagraph"/>
              <w:ind w:left="51" w:right="74"/>
              <w:jc w:val="center"/>
              <w:rPr>
                <w:sz w:val="18"/>
              </w:rPr>
            </w:pPr>
            <w:r>
              <w:rPr>
                <w:spacing w:val="-2"/>
                <w:sz w:val="18"/>
              </w:rPr>
              <w:t>0.081797</w:t>
            </w:r>
          </w:p>
        </w:tc>
        <w:tc>
          <w:tcPr>
            <w:tcW w:w="1415" w:type="dxa"/>
          </w:tcPr>
          <w:p>
            <w:pPr>
              <w:pStyle w:val="TableParagraph"/>
              <w:ind w:left="46" w:right="48"/>
              <w:jc w:val="center"/>
              <w:rPr>
                <w:sz w:val="18"/>
              </w:rPr>
            </w:pPr>
            <w:r>
              <w:rPr>
                <w:spacing w:val="-2"/>
                <w:sz w:val="18"/>
              </w:rPr>
              <w:t>-0.002201</w:t>
            </w:r>
          </w:p>
        </w:tc>
        <w:tc>
          <w:tcPr>
            <w:tcW w:w="1409" w:type="dxa"/>
          </w:tcPr>
          <w:p>
            <w:pPr>
              <w:pStyle w:val="TableParagraph"/>
              <w:ind w:left="74" w:right="19"/>
              <w:jc w:val="center"/>
              <w:rPr>
                <w:sz w:val="18"/>
              </w:rPr>
            </w:pPr>
            <w:r>
              <w:rPr>
                <w:spacing w:val="-2"/>
                <w:sz w:val="18"/>
              </w:rPr>
              <w:t>0.000398</w:t>
            </w:r>
          </w:p>
        </w:tc>
        <w:tc>
          <w:tcPr>
            <w:tcW w:w="1439" w:type="dxa"/>
          </w:tcPr>
          <w:p>
            <w:pPr>
              <w:pStyle w:val="TableParagraph"/>
              <w:ind w:left="50" w:right="7"/>
              <w:jc w:val="center"/>
              <w:rPr>
                <w:sz w:val="18"/>
              </w:rPr>
            </w:pPr>
            <w:r>
              <w:rPr>
                <w:spacing w:val="-2"/>
                <w:sz w:val="18"/>
              </w:rPr>
              <w:t>0.193614</w:t>
            </w:r>
          </w:p>
        </w:tc>
        <w:tc>
          <w:tcPr>
            <w:tcW w:w="1409" w:type="dxa"/>
          </w:tcPr>
          <w:p>
            <w:pPr>
              <w:pStyle w:val="TableParagraph"/>
              <w:ind w:left="56" w:right="27"/>
              <w:jc w:val="center"/>
              <w:rPr>
                <w:sz w:val="18"/>
              </w:rPr>
            </w:pPr>
            <w:r>
              <w:rPr>
                <w:spacing w:val="-2"/>
                <w:sz w:val="18"/>
              </w:rPr>
              <w:t>0.102473</w:t>
            </w:r>
          </w:p>
        </w:tc>
        <w:tc>
          <w:tcPr>
            <w:tcW w:w="1418" w:type="dxa"/>
          </w:tcPr>
          <w:p>
            <w:pPr>
              <w:pStyle w:val="TableParagraph"/>
              <w:ind w:left="43" w:right="52"/>
              <w:jc w:val="center"/>
              <w:rPr>
                <w:sz w:val="18"/>
              </w:rPr>
            </w:pPr>
            <w:r>
              <w:rPr>
                <w:spacing w:val="-2"/>
                <w:sz w:val="18"/>
              </w:rPr>
              <w:t>-0.109317</w:t>
            </w:r>
          </w:p>
        </w:tc>
        <w:tc>
          <w:tcPr>
            <w:tcW w:w="1417"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56" w:right="81"/>
              <w:jc w:val="center"/>
              <w:rPr>
                <w:sz w:val="18"/>
              </w:rPr>
            </w:pPr>
            <w:r>
              <w:rPr>
                <w:spacing w:val="-2"/>
                <w:sz w:val="18"/>
              </w:rPr>
              <w:t>0.000378</w:t>
            </w:r>
          </w:p>
        </w:tc>
        <w:tc>
          <w:tcPr>
            <w:tcW w:w="1266" w:type="dxa"/>
          </w:tcPr>
          <w:p>
            <w:pPr>
              <w:pStyle w:val="TableParagraph"/>
              <w:ind w:right="231"/>
              <w:jc w:val="right"/>
              <w:rPr>
                <w:sz w:val="18"/>
              </w:rPr>
            </w:pPr>
            <w:r>
              <w:rPr>
                <w:spacing w:val="-2"/>
                <w:sz w:val="18"/>
              </w:rPr>
              <w:t>-0.000542</w:t>
            </w:r>
          </w:p>
        </w:tc>
        <w:tc>
          <w:tcPr>
            <w:tcW w:w="1561" w:type="dxa"/>
          </w:tcPr>
          <w:p>
            <w:pPr>
              <w:pStyle w:val="TableParagraph"/>
              <w:ind w:left="48" w:right="48"/>
              <w:jc w:val="center"/>
              <w:rPr>
                <w:sz w:val="18"/>
              </w:rPr>
            </w:pPr>
            <w:r>
              <w:rPr>
                <w:spacing w:val="-2"/>
                <w:sz w:val="18"/>
              </w:rPr>
              <w:t>-0.059001</w:t>
            </w:r>
          </w:p>
        </w:tc>
        <w:tc>
          <w:tcPr>
            <w:tcW w:w="1350" w:type="dxa"/>
          </w:tcPr>
          <w:p>
            <w:pPr>
              <w:pStyle w:val="TableParagraph"/>
              <w:ind w:left="1" w:right="74"/>
              <w:jc w:val="center"/>
              <w:rPr>
                <w:sz w:val="18"/>
              </w:rPr>
            </w:pPr>
            <w:r>
              <w:rPr>
                <w:spacing w:val="-2"/>
                <w:sz w:val="18"/>
              </w:rPr>
              <w:t>-0.017105</w:t>
            </w:r>
          </w:p>
        </w:tc>
        <w:tc>
          <w:tcPr>
            <w:tcW w:w="1415" w:type="dxa"/>
          </w:tcPr>
          <w:p>
            <w:pPr>
              <w:pStyle w:val="TableParagraph"/>
              <w:ind w:left="52" w:right="6"/>
              <w:jc w:val="center"/>
              <w:rPr>
                <w:sz w:val="18"/>
              </w:rPr>
            </w:pPr>
            <w:r>
              <w:rPr>
                <w:spacing w:val="-2"/>
                <w:sz w:val="18"/>
              </w:rPr>
              <w:t>0.003677</w:t>
            </w:r>
          </w:p>
        </w:tc>
        <w:tc>
          <w:tcPr>
            <w:tcW w:w="1409" w:type="dxa"/>
          </w:tcPr>
          <w:p>
            <w:pPr>
              <w:pStyle w:val="TableParagraph"/>
              <w:ind w:left="56" w:right="52"/>
              <w:jc w:val="center"/>
              <w:rPr>
                <w:sz w:val="18"/>
              </w:rPr>
            </w:pPr>
            <w:r>
              <w:rPr>
                <w:spacing w:val="-2"/>
                <w:sz w:val="18"/>
              </w:rPr>
              <w:t>-0.000561</w:t>
            </w:r>
          </w:p>
        </w:tc>
        <w:tc>
          <w:tcPr>
            <w:tcW w:w="1439" w:type="dxa"/>
          </w:tcPr>
          <w:p>
            <w:pPr>
              <w:pStyle w:val="TableParagraph"/>
              <w:ind w:left="44" w:right="48"/>
              <w:jc w:val="center"/>
              <w:rPr>
                <w:sz w:val="18"/>
              </w:rPr>
            </w:pPr>
            <w:r>
              <w:rPr>
                <w:spacing w:val="-2"/>
                <w:sz w:val="18"/>
              </w:rPr>
              <w:t>-0.383821</w:t>
            </w:r>
          </w:p>
        </w:tc>
        <w:tc>
          <w:tcPr>
            <w:tcW w:w="1409" w:type="dxa"/>
          </w:tcPr>
          <w:p>
            <w:pPr>
              <w:pStyle w:val="TableParagraph"/>
              <w:ind w:left="56" w:right="27"/>
              <w:jc w:val="center"/>
              <w:rPr>
                <w:sz w:val="18"/>
              </w:rPr>
            </w:pPr>
            <w:r>
              <w:rPr>
                <w:spacing w:val="-2"/>
                <w:sz w:val="18"/>
              </w:rPr>
              <w:t>0.003112</w:t>
            </w:r>
          </w:p>
        </w:tc>
        <w:tc>
          <w:tcPr>
            <w:tcW w:w="1418" w:type="dxa"/>
          </w:tcPr>
          <w:p>
            <w:pPr>
              <w:pStyle w:val="TableParagraph"/>
              <w:ind w:left="48" w:right="10"/>
              <w:jc w:val="center"/>
              <w:rPr>
                <w:sz w:val="18"/>
              </w:rPr>
            </w:pPr>
            <w:r>
              <w:rPr>
                <w:spacing w:val="-2"/>
                <w:sz w:val="18"/>
              </w:rPr>
              <w:t>0.013310</w:t>
            </w:r>
          </w:p>
        </w:tc>
        <w:tc>
          <w:tcPr>
            <w:tcW w:w="1417"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left="53" w:right="81"/>
              <w:jc w:val="center"/>
              <w:rPr>
                <w:sz w:val="18"/>
              </w:rPr>
            </w:pPr>
            <w:r>
              <w:rPr>
                <w:spacing w:val="-2"/>
                <w:sz w:val="18"/>
              </w:rPr>
              <w:t>7.30E-</w:t>
            </w:r>
            <w:r>
              <w:rPr>
                <w:spacing w:val="-5"/>
                <w:sz w:val="18"/>
              </w:rPr>
              <w:t>05</w:t>
            </w:r>
          </w:p>
        </w:tc>
        <w:tc>
          <w:tcPr>
            <w:tcW w:w="1266" w:type="dxa"/>
          </w:tcPr>
          <w:p>
            <w:pPr>
              <w:pStyle w:val="TableParagraph"/>
              <w:spacing w:line="198" w:lineRule="exact"/>
              <w:ind w:right="241"/>
              <w:jc w:val="right"/>
              <w:rPr>
                <w:sz w:val="18"/>
              </w:rPr>
            </w:pPr>
            <w:r>
              <w:rPr>
                <w:spacing w:val="-2"/>
                <w:sz w:val="18"/>
              </w:rPr>
              <w:t>-8.85E-</w:t>
            </w:r>
            <w:r>
              <w:rPr>
                <w:spacing w:val="-5"/>
                <w:sz w:val="18"/>
              </w:rPr>
              <w:t>05</w:t>
            </w:r>
          </w:p>
        </w:tc>
        <w:tc>
          <w:tcPr>
            <w:tcW w:w="1561" w:type="dxa"/>
          </w:tcPr>
          <w:p>
            <w:pPr>
              <w:pStyle w:val="TableParagraph"/>
              <w:spacing w:line="198" w:lineRule="exact"/>
              <w:ind w:left="48" w:right="48"/>
              <w:jc w:val="center"/>
              <w:rPr>
                <w:sz w:val="18"/>
              </w:rPr>
            </w:pPr>
            <w:r>
              <w:rPr>
                <w:spacing w:val="-2"/>
                <w:sz w:val="18"/>
              </w:rPr>
              <w:t>-0.030772</w:t>
            </w:r>
          </w:p>
        </w:tc>
        <w:tc>
          <w:tcPr>
            <w:tcW w:w="1350" w:type="dxa"/>
          </w:tcPr>
          <w:p>
            <w:pPr>
              <w:pStyle w:val="TableParagraph"/>
              <w:spacing w:line="198" w:lineRule="exact"/>
              <w:ind w:left="51" w:right="74"/>
              <w:jc w:val="center"/>
              <w:rPr>
                <w:sz w:val="18"/>
              </w:rPr>
            </w:pPr>
            <w:r>
              <w:rPr>
                <w:spacing w:val="-2"/>
                <w:sz w:val="18"/>
              </w:rPr>
              <w:t>0.011279</w:t>
            </w:r>
          </w:p>
        </w:tc>
        <w:tc>
          <w:tcPr>
            <w:tcW w:w="1415" w:type="dxa"/>
          </w:tcPr>
          <w:p>
            <w:pPr>
              <w:pStyle w:val="TableParagraph"/>
              <w:spacing w:line="198" w:lineRule="exact"/>
              <w:ind w:left="52" w:right="6"/>
              <w:jc w:val="center"/>
              <w:rPr>
                <w:sz w:val="18"/>
              </w:rPr>
            </w:pPr>
            <w:r>
              <w:rPr>
                <w:spacing w:val="-2"/>
                <w:sz w:val="18"/>
              </w:rPr>
              <w:t>0.006832</w:t>
            </w:r>
          </w:p>
        </w:tc>
        <w:tc>
          <w:tcPr>
            <w:tcW w:w="1409" w:type="dxa"/>
          </w:tcPr>
          <w:p>
            <w:pPr>
              <w:pStyle w:val="TableParagraph"/>
              <w:spacing w:line="198" w:lineRule="exact"/>
              <w:ind w:left="56" w:right="52"/>
              <w:jc w:val="center"/>
              <w:rPr>
                <w:sz w:val="18"/>
              </w:rPr>
            </w:pPr>
            <w:r>
              <w:rPr>
                <w:spacing w:val="-2"/>
                <w:sz w:val="18"/>
              </w:rPr>
              <w:t>-0.000243</w:t>
            </w:r>
          </w:p>
        </w:tc>
        <w:tc>
          <w:tcPr>
            <w:tcW w:w="1439" w:type="dxa"/>
          </w:tcPr>
          <w:p>
            <w:pPr>
              <w:pStyle w:val="TableParagraph"/>
              <w:spacing w:line="198" w:lineRule="exact"/>
              <w:ind w:left="50" w:right="7"/>
              <w:jc w:val="center"/>
              <w:rPr>
                <w:sz w:val="18"/>
              </w:rPr>
            </w:pPr>
            <w:r>
              <w:rPr>
                <w:spacing w:val="-2"/>
                <w:sz w:val="18"/>
              </w:rPr>
              <w:t>0.290238</w:t>
            </w:r>
          </w:p>
        </w:tc>
        <w:tc>
          <w:tcPr>
            <w:tcW w:w="1409" w:type="dxa"/>
          </w:tcPr>
          <w:p>
            <w:pPr>
              <w:pStyle w:val="TableParagraph"/>
              <w:spacing w:line="198" w:lineRule="exact"/>
              <w:ind w:left="56" w:right="27"/>
              <w:jc w:val="center"/>
              <w:rPr>
                <w:sz w:val="18"/>
              </w:rPr>
            </w:pPr>
            <w:r>
              <w:rPr>
                <w:spacing w:val="-2"/>
                <w:sz w:val="18"/>
              </w:rPr>
              <w:t>0.040645</w:t>
            </w:r>
          </w:p>
        </w:tc>
        <w:tc>
          <w:tcPr>
            <w:tcW w:w="1418" w:type="dxa"/>
          </w:tcPr>
          <w:p>
            <w:pPr>
              <w:pStyle w:val="TableParagraph"/>
              <w:spacing w:line="198" w:lineRule="exact"/>
              <w:ind w:left="43" w:right="52"/>
              <w:jc w:val="center"/>
              <w:rPr>
                <w:sz w:val="18"/>
              </w:rPr>
            </w:pPr>
            <w:r>
              <w:rPr>
                <w:spacing w:val="-2"/>
                <w:sz w:val="18"/>
              </w:rPr>
              <w:t>-0.013708</w:t>
            </w:r>
          </w:p>
        </w:tc>
        <w:tc>
          <w:tcPr>
            <w:tcW w:w="1417"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before="5"/>
              <w:ind w:left="4" w:right="81"/>
              <w:jc w:val="center"/>
              <w:rPr>
                <w:sz w:val="18"/>
              </w:rPr>
            </w:pPr>
            <w:r>
              <w:rPr>
                <w:spacing w:val="-2"/>
                <w:sz w:val="18"/>
              </w:rPr>
              <w:t>-0.000390</w:t>
            </w:r>
          </w:p>
        </w:tc>
        <w:tc>
          <w:tcPr>
            <w:tcW w:w="1266" w:type="dxa"/>
          </w:tcPr>
          <w:p>
            <w:pPr>
              <w:pStyle w:val="TableParagraph"/>
              <w:spacing w:before="5"/>
              <w:ind w:right="236"/>
              <w:jc w:val="right"/>
              <w:rPr>
                <w:sz w:val="18"/>
              </w:rPr>
            </w:pPr>
            <w:r>
              <w:rPr>
                <w:spacing w:val="-2"/>
                <w:sz w:val="18"/>
              </w:rPr>
              <w:t>0.003127</w:t>
            </w:r>
          </w:p>
        </w:tc>
        <w:tc>
          <w:tcPr>
            <w:tcW w:w="1561" w:type="dxa"/>
          </w:tcPr>
          <w:p>
            <w:pPr>
              <w:pStyle w:val="TableParagraph"/>
              <w:spacing w:before="5"/>
              <w:ind w:left="51" w:right="4"/>
              <w:jc w:val="center"/>
              <w:rPr>
                <w:sz w:val="18"/>
              </w:rPr>
            </w:pPr>
            <w:r>
              <w:rPr>
                <w:spacing w:val="-2"/>
                <w:sz w:val="18"/>
              </w:rPr>
              <w:t>0.071994</w:t>
            </w:r>
          </w:p>
        </w:tc>
        <w:tc>
          <w:tcPr>
            <w:tcW w:w="1350" w:type="dxa"/>
          </w:tcPr>
          <w:p>
            <w:pPr>
              <w:pStyle w:val="TableParagraph"/>
              <w:spacing w:before="5"/>
              <w:ind w:left="51" w:right="74"/>
              <w:jc w:val="center"/>
              <w:rPr>
                <w:sz w:val="18"/>
              </w:rPr>
            </w:pPr>
            <w:r>
              <w:rPr>
                <w:spacing w:val="-2"/>
                <w:sz w:val="18"/>
              </w:rPr>
              <w:t>0.037246</w:t>
            </w:r>
          </w:p>
        </w:tc>
        <w:tc>
          <w:tcPr>
            <w:tcW w:w="1415" w:type="dxa"/>
          </w:tcPr>
          <w:p>
            <w:pPr>
              <w:pStyle w:val="TableParagraph"/>
              <w:spacing w:before="5"/>
              <w:ind w:left="46" w:right="48"/>
              <w:jc w:val="center"/>
              <w:rPr>
                <w:sz w:val="18"/>
              </w:rPr>
            </w:pPr>
            <w:r>
              <w:rPr>
                <w:spacing w:val="-2"/>
                <w:sz w:val="18"/>
              </w:rPr>
              <w:t>-0.001060</w:t>
            </w:r>
          </w:p>
        </w:tc>
        <w:tc>
          <w:tcPr>
            <w:tcW w:w="1409" w:type="dxa"/>
          </w:tcPr>
          <w:p>
            <w:pPr>
              <w:pStyle w:val="TableParagraph"/>
              <w:spacing w:before="5"/>
              <w:ind w:left="75" w:right="19"/>
              <w:jc w:val="center"/>
              <w:rPr>
                <w:sz w:val="18"/>
              </w:rPr>
            </w:pPr>
            <w:r>
              <w:rPr>
                <w:spacing w:val="-2"/>
                <w:sz w:val="18"/>
              </w:rPr>
              <w:t>6.10E-</w:t>
            </w:r>
            <w:r>
              <w:rPr>
                <w:spacing w:val="-5"/>
                <w:sz w:val="18"/>
              </w:rPr>
              <w:t>05</w:t>
            </w:r>
          </w:p>
        </w:tc>
        <w:tc>
          <w:tcPr>
            <w:tcW w:w="1439" w:type="dxa"/>
          </w:tcPr>
          <w:p>
            <w:pPr>
              <w:pStyle w:val="TableParagraph"/>
              <w:spacing w:before="5"/>
              <w:ind w:left="50" w:right="7"/>
              <w:jc w:val="center"/>
              <w:rPr>
                <w:sz w:val="18"/>
              </w:rPr>
            </w:pPr>
            <w:r>
              <w:rPr>
                <w:spacing w:val="-2"/>
                <w:sz w:val="18"/>
              </w:rPr>
              <w:t>0.044007</w:t>
            </w:r>
          </w:p>
        </w:tc>
        <w:tc>
          <w:tcPr>
            <w:tcW w:w="1409" w:type="dxa"/>
          </w:tcPr>
          <w:p>
            <w:pPr>
              <w:pStyle w:val="TableParagraph"/>
              <w:spacing w:before="5"/>
              <w:ind w:left="56" w:right="27"/>
              <w:jc w:val="center"/>
              <w:rPr>
                <w:sz w:val="18"/>
              </w:rPr>
            </w:pPr>
            <w:r>
              <w:rPr>
                <w:spacing w:val="-2"/>
                <w:sz w:val="18"/>
              </w:rPr>
              <w:t>0.007283</w:t>
            </w:r>
          </w:p>
        </w:tc>
        <w:tc>
          <w:tcPr>
            <w:tcW w:w="1418" w:type="dxa"/>
          </w:tcPr>
          <w:p>
            <w:pPr>
              <w:pStyle w:val="TableParagraph"/>
              <w:spacing w:before="5"/>
              <w:ind w:left="48" w:right="10"/>
              <w:jc w:val="center"/>
              <w:rPr>
                <w:sz w:val="18"/>
              </w:rPr>
            </w:pPr>
            <w:r>
              <w:rPr>
                <w:spacing w:val="-2"/>
                <w:sz w:val="18"/>
              </w:rPr>
              <w:t>0.001525</w:t>
            </w:r>
          </w:p>
        </w:tc>
        <w:tc>
          <w:tcPr>
            <w:tcW w:w="1417"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56" w:right="81"/>
              <w:jc w:val="center"/>
              <w:rPr>
                <w:sz w:val="18"/>
              </w:rPr>
            </w:pPr>
            <w:r>
              <w:rPr>
                <w:spacing w:val="-2"/>
                <w:sz w:val="18"/>
              </w:rPr>
              <w:t>0.000201</w:t>
            </w:r>
          </w:p>
        </w:tc>
        <w:tc>
          <w:tcPr>
            <w:tcW w:w="1266" w:type="dxa"/>
          </w:tcPr>
          <w:p>
            <w:pPr>
              <w:pStyle w:val="TableParagraph"/>
              <w:ind w:right="241"/>
              <w:jc w:val="right"/>
              <w:rPr>
                <w:sz w:val="18"/>
              </w:rPr>
            </w:pPr>
            <w:r>
              <w:rPr>
                <w:spacing w:val="-2"/>
                <w:sz w:val="18"/>
              </w:rPr>
              <w:t>-2.36E-</w:t>
            </w:r>
            <w:r>
              <w:rPr>
                <w:spacing w:val="-5"/>
                <w:sz w:val="18"/>
              </w:rPr>
              <w:t>05</w:t>
            </w:r>
          </w:p>
        </w:tc>
        <w:tc>
          <w:tcPr>
            <w:tcW w:w="1561" w:type="dxa"/>
          </w:tcPr>
          <w:p>
            <w:pPr>
              <w:pStyle w:val="TableParagraph"/>
              <w:ind w:left="48" w:right="48"/>
              <w:jc w:val="center"/>
              <w:rPr>
                <w:sz w:val="18"/>
              </w:rPr>
            </w:pPr>
            <w:r>
              <w:rPr>
                <w:spacing w:val="-2"/>
                <w:sz w:val="18"/>
              </w:rPr>
              <w:t>-0.040051</w:t>
            </w:r>
          </w:p>
        </w:tc>
        <w:tc>
          <w:tcPr>
            <w:tcW w:w="1350" w:type="dxa"/>
          </w:tcPr>
          <w:p>
            <w:pPr>
              <w:pStyle w:val="TableParagraph"/>
              <w:ind w:left="1" w:right="74"/>
              <w:jc w:val="center"/>
              <w:rPr>
                <w:sz w:val="18"/>
              </w:rPr>
            </w:pPr>
            <w:r>
              <w:rPr>
                <w:spacing w:val="-2"/>
                <w:sz w:val="18"/>
              </w:rPr>
              <w:t>-0.126803</w:t>
            </w:r>
          </w:p>
        </w:tc>
        <w:tc>
          <w:tcPr>
            <w:tcW w:w="1415" w:type="dxa"/>
          </w:tcPr>
          <w:p>
            <w:pPr>
              <w:pStyle w:val="TableParagraph"/>
              <w:ind w:left="52" w:right="6"/>
              <w:jc w:val="center"/>
              <w:rPr>
                <w:sz w:val="18"/>
              </w:rPr>
            </w:pPr>
            <w:r>
              <w:rPr>
                <w:spacing w:val="-2"/>
                <w:sz w:val="18"/>
              </w:rPr>
              <w:t>0.002353</w:t>
            </w:r>
          </w:p>
        </w:tc>
        <w:tc>
          <w:tcPr>
            <w:tcW w:w="1409" w:type="dxa"/>
          </w:tcPr>
          <w:p>
            <w:pPr>
              <w:pStyle w:val="TableParagraph"/>
              <w:ind w:left="56" w:right="52"/>
              <w:jc w:val="center"/>
              <w:rPr>
                <w:sz w:val="18"/>
              </w:rPr>
            </w:pPr>
            <w:r>
              <w:rPr>
                <w:spacing w:val="-2"/>
                <w:sz w:val="18"/>
              </w:rPr>
              <w:t>-0.000231</w:t>
            </w:r>
          </w:p>
        </w:tc>
        <w:tc>
          <w:tcPr>
            <w:tcW w:w="1439" w:type="dxa"/>
          </w:tcPr>
          <w:p>
            <w:pPr>
              <w:pStyle w:val="TableParagraph"/>
              <w:ind w:left="44" w:right="48"/>
              <w:jc w:val="center"/>
              <w:rPr>
                <w:sz w:val="18"/>
              </w:rPr>
            </w:pPr>
            <w:r>
              <w:rPr>
                <w:spacing w:val="-2"/>
                <w:sz w:val="18"/>
              </w:rPr>
              <w:t>-0.168370</w:t>
            </w:r>
          </w:p>
        </w:tc>
        <w:tc>
          <w:tcPr>
            <w:tcW w:w="1409" w:type="dxa"/>
          </w:tcPr>
          <w:p>
            <w:pPr>
              <w:pStyle w:val="TableParagraph"/>
              <w:ind w:left="56" w:right="75"/>
              <w:jc w:val="center"/>
              <w:rPr>
                <w:sz w:val="18"/>
              </w:rPr>
            </w:pPr>
            <w:r>
              <w:rPr>
                <w:spacing w:val="-2"/>
                <w:sz w:val="18"/>
              </w:rPr>
              <w:t>-0.316928</w:t>
            </w:r>
          </w:p>
        </w:tc>
        <w:tc>
          <w:tcPr>
            <w:tcW w:w="1418" w:type="dxa"/>
          </w:tcPr>
          <w:p>
            <w:pPr>
              <w:pStyle w:val="TableParagraph"/>
              <w:ind w:left="43" w:right="52"/>
              <w:jc w:val="center"/>
              <w:rPr>
                <w:sz w:val="18"/>
              </w:rPr>
            </w:pPr>
            <w:r>
              <w:rPr>
                <w:spacing w:val="-2"/>
                <w:sz w:val="18"/>
              </w:rPr>
              <w:t>-0.004799</w:t>
            </w:r>
          </w:p>
        </w:tc>
        <w:tc>
          <w:tcPr>
            <w:tcW w:w="1417"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53" w:right="81"/>
              <w:jc w:val="center"/>
              <w:rPr>
                <w:sz w:val="18"/>
              </w:rPr>
            </w:pPr>
            <w:r>
              <w:rPr>
                <w:spacing w:val="-2"/>
                <w:sz w:val="18"/>
              </w:rPr>
              <w:t>8.86E-</w:t>
            </w:r>
            <w:r>
              <w:rPr>
                <w:spacing w:val="-5"/>
                <w:sz w:val="18"/>
              </w:rPr>
              <w:t>05</w:t>
            </w:r>
          </w:p>
        </w:tc>
        <w:tc>
          <w:tcPr>
            <w:tcW w:w="1266" w:type="dxa"/>
          </w:tcPr>
          <w:p>
            <w:pPr>
              <w:pStyle w:val="TableParagraph"/>
              <w:ind w:right="231"/>
              <w:jc w:val="right"/>
              <w:rPr>
                <w:sz w:val="18"/>
              </w:rPr>
            </w:pPr>
            <w:r>
              <w:rPr>
                <w:spacing w:val="-2"/>
                <w:sz w:val="18"/>
              </w:rPr>
              <w:t>-0.000800</w:t>
            </w:r>
          </w:p>
        </w:tc>
        <w:tc>
          <w:tcPr>
            <w:tcW w:w="1561" w:type="dxa"/>
          </w:tcPr>
          <w:p>
            <w:pPr>
              <w:pStyle w:val="TableParagraph"/>
              <w:ind w:left="51" w:right="4"/>
              <w:jc w:val="center"/>
              <w:rPr>
                <w:sz w:val="18"/>
              </w:rPr>
            </w:pPr>
            <w:r>
              <w:rPr>
                <w:spacing w:val="-2"/>
                <w:sz w:val="18"/>
              </w:rPr>
              <w:t>0.014014</w:t>
            </w:r>
          </w:p>
        </w:tc>
        <w:tc>
          <w:tcPr>
            <w:tcW w:w="1350" w:type="dxa"/>
          </w:tcPr>
          <w:p>
            <w:pPr>
              <w:pStyle w:val="TableParagraph"/>
              <w:ind w:left="51" w:right="74"/>
              <w:jc w:val="center"/>
              <w:rPr>
                <w:sz w:val="18"/>
              </w:rPr>
            </w:pPr>
            <w:r>
              <w:rPr>
                <w:spacing w:val="-2"/>
                <w:sz w:val="18"/>
              </w:rPr>
              <w:t>0.015042</w:t>
            </w:r>
          </w:p>
        </w:tc>
        <w:tc>
          <w:tcPr>
            <w:tcW w:w="1415" w:type="dxa"/>
          </w:tcPr>
          <w:p>
            <w:pPr>
              <w:pStyle w:val="TableParagraph"/>
              <w:ind w:left="46" w:right="48"/>
              <w:jc w:val="center"/>
              <w:rPr>
                <w:sz w:val="18"/>
              </w:rPr>
            </w:pPr>
            <w:r>
              <w:rPr>
                <w:spacing w:val="-2"/>
                <w:sz w:val="18"/>
              </w:rPr>
              <w:t>-0.004967</w:t>
            </w:r>
          </w:p>
        </w:tc>
        <w:tc>
          <w:tcPr>
            <w:tcW w:w="1409" w:type="dxa"/>
          </w:tcPr>
          <w:p>
            <w:pPr>
              <w:pStyle w:val="TableParagraph"/>
              <w:ind w:left="75" w:right="19"/>
              <w:jc w:val="center"/>
              <w:rPr>
                <w:sz w:val="18"/>
              </w:rPr>
            </w:pPr>
            <w:r>
              <w:rPr>
                <w:spacing w:val="-2"/>
                <w:sz w:val="18"/>
              </w:rPr>
              <w:t>1.34E-</w:t>
            </w:r>
            <w:r>
              <w:rPr>
                <w:spacing w:val="-5"/>
                <w:sz w:val="18"/>
              </w:rPr>
              <w:t>05</w:t>
            </w:r>
          </w:p>
        </w:tc>
        <w:tc>
          <w:tcPr>
            <w:tcW w:w="1439" w:type="dxa"/>
          </w:tcPr>
          <w:p>
            <w:pPr>
              <w:pStyle w:val="TableParagraph"/>
              <w:ind w:left="50" w:right="7"/>
              <w:jc w:val="center"/>
              <w:rPr>
                <w:sz w:val="18"/>
              </w:rPr>
            </w:pPr>
            <w:r>
              <w:rPr>
                <w:spacing w:val="-2"/>
                <w:sz w:val="18"/>
              </w:rPr>
              <w:t>0.080631</w:t>
            </w:r>
          </w:p>
        </w:tc>
        <w:tc>
          <w:tcPr>
            <w:tcW w:w="1409" w:type="dxa"/>
          </w:tcPr>
          <w:p>
            <w:pPr>
              <w:pStyle w:val="TableParagraph"/>
              <w:ind w:left="56" w:right="27"/>
              <w:jc w:val="center"/>
              <w:rPr>
                <w:sz w:val="18"/>
              </w:rPr>
            </w:pPr>
            <w:r>
              <w:rPr>
                <w:spacing w:val="-2"/>
                <w:sz w:val="18"/>
              </w:rPr>
              <w:t>0.044024</w:t>
            </w:r>
          </w:p>
        </w:tc>
        <w:tc>
          <w:tcPr>
            <w:tcW w:w="1418" w:type="dxa"/>
          </w:tcPr>
          <w:p>
            <w:pPr>
              <w:pStyle w:val="TableParagraph"/>
              <w:ind w:left="43" w:right="52"/>
              <w:jc w:val="center"/>
              <w:rPr>
                <w:sz w:val="18"/>
              </w:rPr>
            </w:pPr>
            <w:r>
              <w:rPr>
                <w:spacing w:val="-2"/>
                <w:sz w:val="18"/>
              </w:rPr>
              <w:t>-0.014729</w:t>
            </w:r>
          </w:p>
        </w:tc>
        <w:tc>
          <w:tcPr>
            <w:tcW w:w="1417"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left="2" w:right="81"/>
              <w:jc w:val="center"/>
              <w:rPr>
                <w:sz w:val="18"/>
              </w:rPr>
            </w:pPr>
            <w:r>
              <w:rPr>
                <w:spacing w:val="-2"/>
                <w:sz w:val="18"/>
              </w:rPr>
              <w:t>-3.63E-</w:t>
            </w:r>
            <w:r>
              <w:rPr>
                <w:spacing w:val="-5"/>
                <w:sz w:val="18"/>
              </w:rPr>
              <w:t>05</w:t>
            </w:r>
          </w:p>
        </w:tc>
        <w:tc>
          <w:tcPr>
            <w:tcW w:w="1266" w:type="dxa"/>
          </w:tcPr>
          <w:p>
            <w:pPr>
              <w:pStyle w:val="TableParagraph"/>
              <w:spacing w:line="198" w:lineRule="exact"/>
              <w:ind w:right="231"/>
              <w:jc w:val="right"/>
              <w:rPr>
                <w:sz w:val="18"/>
              </w:rPr>
            </w:pPr>
            <w:r>
              <w:rPr>
                <w:spacing w:val="-2"/>
                <w:sz w:val="18"/>
              </w:rPr>
              <w:t>-0.000633</w:t>
            </w:r>
          </w:p>
        </w:tc>
        <w:tc>
          <w:tcPr>
            <w:tcW w:w="1561" w:type="dxa"/>
          </w:tcPr>
          <w:p>
            <w:pPr>
              <w:pStyle w:val="TableParagraph"/>
              <w:spacing w:line="198" w:lineRule="exact"/>
              <w:ind w:left="51" w:right="4"/>
              <w:jc w:val="center"/>
              <w:rPr>
                <w:sz w:val="18"/>
              </w:rPr>
            </w:pPr>
            <w:r>
              <w:rPr>
                <w:spacing w:val="-2"/>
                <w:sz w:val="18"/>
              </w:rPr>
              <w:t>0.016818</w:t>
            </w:r>
          </w:p>
        </w:tc>
        <w:tc>
          <w:tcPr>
            <w:tcW w:w="1350" w:type="dxa"/>
          </w:tcPr>
          <w:p>
            <w:pPr>
              <w:pStyle w:val="TableParagraph"/>
              <w:spacing w:line="198" w:lineRule="exact"/>
              <w:ind w:left="1" w:right="74"/>
              <w:jc w:val="center"/>
              <w:rPr>
                <w:sz w:val="18"/>
              </w:rPr>
            </w:pPr>
            <w:r>
              <w:rPr>
                <w:spacing w:val="-2"/>
                <w:sz w:val="18"/>
              </w:rPr>
              <w:t>-0.055404</w:t>
            </w:r>
          </w:p>
        </w:tc>
        <w:tc>
          <w:tcPr>
            <w:tcW w:w="1415" w:type="dxa"/>
          </w:tcPr>
          <w:p>
            <w:pPr>
              <w:pStyle w:val="TableParagraph"/>
              <w:spacing w:line="198" w:lineRule="exact"/>
              <w:ind w:left="46" w:right="48"/>
              <w:jc w:val="center"/>
              <w:rPr>
                <w:sz w:val="18"/>
              </w:rPr>
            </w:pPr>
            <w:r>
              <w:rPr>
                <w:spacing w:val="-2"/>
                <w:sz w:val="18"/>
              </w:rPr>
              <w:t>-0.001009</w:t>
            </w:r>
          </w:p>
        </w:tc>
        <w:tc>
          <w:tcPr>
            <w:tcW w:w="1409" w:type="dxa"/>
          </w:tcPr>
          <w:p>
            <w:pPr>
              <w:pStyle w:val="TableParagraph"/>
              <w:spacing w:line="198" w:lineRule="exact"/>
              <w:ind w:left="75" w:right="19"/>
              <w:jc w:val="center"/>
              <w:rPr>
                <w:sz w:val="18"/>
              </w:rPr>
            </w:pPr>
            <w:r>
              <w:rPr>
                <w:spacing w:val="-2"/>
                <w:sz w:val="18"/>
              </w:rPr>
              <w:t>5.95E-</w:t>
            </w:r>
            <w:r>
              <w:rPr>
                <w:spacing w:val="-5"/>
                <w:sz w:val="18"/>
              </w:rPr>
              <w:t>05</w:t>
            </w:r>
          </w:p>
        </w:tc>
        <w:tc>
          <w:tcPr>
            <w:tcW w:w="1439" w:type="dxa"/>
          </w:tcPr>
          <w:p>
            <w:pPr>
              <w:pStyle w:val="TableParagraph"/>
              <w:spacing w:line="198" w:lineRule="exact"/>
              <w:ind w:left="50" w:right="7"/>
              <w:jc w:val="center"/>
              <w:rPr>
                <w:sz w:val="18"/>
              </w:rPr>
            </w:pPr>
            <w:r>
              <w:rPr>
                <w:spacing w:val="-2"/>
                <w:sz w:val="18"/>
              </w:rPr>
              <w:t>0.146563</w:t>
            </w:r>
          </w:p>
        </w:tc>
        <w:tc>
          <w:tcPr>
            <w:tcW w:w="1409" w:type="dxa"/>
          </w:tcPr>
          <w:p>
            <w:pPr>
              <w:pStyle w:val="TableParagraph"/>
              <w:spacing w:line="198" w:lineRule="exact"/>
              <w:ind w:left="56" w:right="27"/>
              <w:jc w:val="center"/>
              <w:rPr>
                <w:sz w:val="18"/>
              </w:rPr>
            </w:pPr>
            <w:r>
              <w:rPr>
                <w:spacing w:val="-2"/>
                <w:sz w:val="18"/>
              </w:rPr>
              <w:t>0.167544</w:t>
            </w:r>
          </w:p>
        </w:tc>
        <w:tc>
          <w:tcPr>
            <w:tcW w:w="1418" w:type="dxa"/>
          </w:tcPr>
          <w:p>
            <w:pPr>
              <w:pStyle w:val="TableParagraph"/>
              <w:spacing w:line="198" w:lineRule="exact"/>
              <w:ind w:left="48" w:right="10"/>
              <w:jc w:val="center"/>
              <w:rPr>
                <w:sz w:val="18"/>
              </w:rPr>
            </w:pPr>
            <w:r>
              <w:rPr>
                <w:spacing w:val="-2"/>
                <w:sz w:val="18"/>
              </w:rPr>
              <w:t>0.010458</w:t>
            </w:r>
          </w:p>
        </w:tc>
        <w:tc>
          <w:tcPr>
            <w:tcW w:w="1417" w:type="dxa"/>
          </w:tcPr>
          <w:p>
            <w:pPr>
              <w:pStyle w:val="TableParagraph"/>
              <w:spacing w:line="240" w:lineRule="auto" w:before="0"/>
              <w:rPr>
                <w:rFonts w:ascii="Times New Roman"/>
                <w:sz w:val="16"/>
              </w:rPr>
            </w:pPr>
          </w:p>
        </w:tc>
      </w:tr>
      <w:tr>
        <w:trPr>
          <w:trHeight w:val="302" w:hRule="atLeast"/>
        </w:trPr>
        <w:tc>
          <w:tcPr>
            <w:tcW w:w="1467" w:type="dxa"/>
            <w:tcBorders>
              <w:bottom w:val="double" w:sz="6" w:space="0" w:color="000000"/>
            </w:tcBorders>
          </w:tcPr>
          <w:p>
            <w:pPr>
              <w:pStyle w:val="TableParagraph"/>
              <w:spacing w:line="240" w:lineRule="auto" w:before="5"/>
              <w:ind w:left="4" w:right="81"/>
              <w:jc w:val="center"/>
              <w:rPr>
                <w:sz w:val="18"/>
              </w:rPr>
            </w:pPr>
            <w:r>
              <w:rPr>
                <w:spacing w:val="-2"/>
                <w:sz w:val="18"/>
              </w:rPr>
              <w:t>-0.000270</w:t>
            </w:r>
          </w:p>
        </w:tc>
        <w:tc>
          <w:tcPr>
            <w:tcW w:w="1266" w:type="dxa"/>
            <w:tcBorders>
              <w:bottom w:val="double" w:sz="6" w:space="0" w:color="000000"/>
            </w:tcBorders>
          </w:tcPr>
          <w:p>
            <w:pPr>
              <w:pStyle w:val="TableParagraph"/>
              <w:spacing w:line="240" w:lineRule="auto" w:before="5"/>
              <w:ind w:right="231"/>
              <w:jc w:val="right"/>
              <w:rPr>
                <w:sz w:val="18"/>
              </w:rPr>
            </w:pPr>
            <w:r>
              <w:rPr>
                <w:spacing w:val="-2"/>
                <w:sz w:val="18"/>
              </w:rPr>
              <w:t>-0.000938</w:t>
            </w:r>
          </w:p>
        </w:tc>
        <w:tc>
          <w:tcPr>
            <w:tcW w:w="1561" w:type="dxa"/>
            <w:tcBorders>
              <w:bottom w:val="double" w:sz="6" w:space="0" w:color="000000"/>
            </w:tcBorders>
          </w:tcPr>
          <w:p>
            <w:pPr>
              <w:pStyle w:val="TableParagraph"/>
              <w:spacing w:line="240" w:lineRule="auto" w:before="5"/>
              <w:ind w:left="51" w:right="4"/>
              <w:jc w:val="center"/>
              <w:rPr>
                <w:sz w:val="18"/>
              </w:rPr>
            </w:pPr>
            <w:r>
              <w:rPr>
                <w:spacing w:val="-2"/>
                <w:sz w:val="18"/>
              </w:rPr>
              <w:t>0.040147</w:t>
            </w:r>
          </w:p>
        </w:tc>
        <w:tc>
          <w:tcPr>
            <w:tcW w:w="1350" w:type="dxa"/>
            <w:tcBorders>
              <w:bottom w:val="double" w:sz="6" w:space="0" w:color="000000"/>
            </w:tcBorders>
          </w:tcPr>
          <w:p>
            <w:pPr>
              <w:pStyle w:val="TableParagraph"/>
              <w:spacing w:line="240" w:lineRule="auto" w:before="5"/>
              <w:ind w:left="51" w:right="74"/>
              <w:jc w:val="center"/>
              <w:rPr>
                <w:sz w:val="18"/>
              </w:rPr>
            </w:pPr>
            <w:r>
              <w:rPr>
                <w:spacing w:val="-2"/>
                <w:sz w:val="18"/>
              </w:rPr>
              <w:t>0.040984</w:t>
            </w:r>
          </w:p>
        </w:tc>
        <w:tc>
          <w:tcPr>
            <w:tcW w:w="1415" w:type="dxa"/>
            <w:tcBorders>
              <w:bottom w:val="double" w:sz="6" w:space="0" w:color="000000"/>
            </w:tcBorders>
          </w:tcPr>
          <w:p>
            <w:pPr>
              <w:pStyle w:val="TableParagraph"/>
              <w:spacing w:line="240" w:lineRule="auto" w:before="5"/>
              <w:ind w:left="46" w:right="48"/>
              <w:jc w:val="center"/>
              <w:rPr>
                <w:sz w:val="18"/>
              </w:rPr>
            </w:pPr>
            <w:r>
              <w:rPr>
                <w:spacing w:val="-2"/>
                <w:sz w:val="18"/>
              </w:rPr>
              <w:t>-0.002728</w:t>
            </w:r>
          </w:p>
        </w:tc>
        <w:tc>
          <w:tcPr>
            <w:tcW w:w="1409" w:type="dxa"/>
            <w:tcBorders>
              <w:bottom w:val="double" w:sz="6" w:space="0" w:color="000000"/>
            </w:tcBorders>
          </w:tcPr>
          <w:p>
            <w:pPr>
              <w:pStyle w:val="TableParagraph"/>
              <w:spacing w:line="240" w:lineRule="auto" w:before="5"/>
              <w:ind w:left="74" w:right="19"/>
              <w:jc w:val="center"/>
              <w:rPr>
                <w:sz w:val="18"/>
              </w:rPr>
            </w:pPr>
            <w:r>
              <w:rPr>
                <w:spacing w:val="-2"/>
                <w:sz w:val="18"/>
              </w:rPr>
              <w:t>0.000480</w:t>
            </w:r>
          </w:p>
        </w:tc>
        <w:tc>
          <w:tcPr>
            <w:tcW w:w="1439" w:type="dxa"/>
            <w:tcBorders>
              <w:bottom w:val="double" w:sz="6" w:space="0" w:color="000000"/>
            </w:tcBorders>
          </w:tcPr>
          <w:p>
            <w:pPr>
              <w:pStyle w:val="TableParagraph"/>
              <w:spacing w:line="240" w:lineRule="auto" w:before="5"/>
              <w:ind w:left="50" w:right="7"/>
              <w:jc w:val="center"/>
              <w:rPr>
                <w:sz w:val="18"/>
              </w:rPr>
            </w:pPr>
            <w:r>
              <w:rPr>
                <w:spacing w:val="-2"/>
                <w:sz w:val="18"/>
              </w:rPr>
              <w:t>0.366267</w:t>
            </w:r>
          </w:p>
        </w:tc>
        <w:tc>
          <w:tcPr>
            <w:tcW w:w="1409" w:type="dxa"/>
            <w:tcBorders>
              <w:bottom w:val="double" w:sz="6" w:space="0" w:color="000000"/>
            </w:tcBorders>
          </w:tcPr>
          <w:p>
            <w:pPr>
              <w:pStyle w:val="TableParagraph"/>
              <w:spacing w:line="240" w:lineRule="auto" w:before="5"/>
              <w:ind w:left="56" w:right="75"/>
              <w:jc w:val="center"/>
              <w:rPr>
                <w:sz w:val="18"/>
              </w:rPr>
            </w:pPr>
            <w:r>
              <w:rPr>
                <w:spacing w:val="-2"/>
                <w:sz w:val="18"/>
              </w:rPr>
              <w:t>-0.080232</w:t>
            </w:r>
          </w:p>
        </w:tc>
        <w:tc>
          <w:tcPr>
            <w:tcW w:w="1418" w:type="dxa"/>
            <w:tcBorders>
              <w:bottom w:val="double" w:sz="6" w:space="0" w:color="000000"/>
            </w:tcBorders>
          </w:tcPr>
          <w:p>
            <w:pPr>
              <w:pStyle w:val="TableParagraph"/>
              <w:spacing w:line="240" w:lineRule="auto" w:before="5"/>
              <w:ind w:left="48" w:right="10"/>
              <w:jc w:val="center"/>
              <w:rPr>
                <w:sz w:val="18"/>
              </w:rPr>
            </w:pPr>
            <w:r>
              <w:rPr>
                <w:spacing w:val="-2"/>
                <w:sz w:val="18"/>
              </w:rPr>
              <w:t>0.025158</w:t>
            </w:r>
          </w:p>
        </w:tc>
        <w:tc>
          <w:tcPr>
            <w:tcW w:w="1417" w:type="dxa"/>
            <w:tcBorders>
              <w:bottom w:val="double" w:sz="6" w:space="0" w:color="000000"/>
            </w:tcBorders>
          </w:tcPr>
          <w:p>
            <w:pPr>
              <w:pStyle w:val="TableParagraph"/>
              <w:spacing w:line="240" w:lineRule="auto" w:before="0"/>
              <w:rPr>
                <w:rFonts w:ascii="Times New Roman"/>
                <w:sz w:val="18"/>
              </w:rPr>
            </w:pPr>
          </w:p>
        </w:tc>
      </w:tr>
      <w:tr>
        <w:trPr>
          <w:trHeight w:val="629" w:hRule="atLeast"/>
        </w:trPr>
        <w:tc>
          <w:tcPr>
            <w:tcW w:w="14151" w:type="dxa"/>
            <w:gridSpan w:val="10"/>
            <w:tcBorders>
              <w:top w:val="double" w:sz="6" w:space="0" w:color="000000"/>
              <w:bottom w:val="double" w:sz="6" w:space="0" w:color="000000"/>
            </w:tcBorders>
          </w:tcPr>
          <w:p>
            <w:pPr>
              <w:pStyle w:val="TableParagraph"/>
              <w:spacing w:line="240" w:lineRule="auto" w:before="127"/>
              <w:rPr>
                <w:rFonts w:ascii="Times New Roman"/>
                <w:b/>
                <w:sz w:val="18"/>
              </w:rPr>
            </w:pPr>
          </w:p>
          <w:p>
            <w:pPr>
              <w:pStyle w:val="TableParagraph"/>
              <w:spacing w:line="240" w:lineRule="auto" w:before="0"/>
              <w:ind w:left="50"/>
              <w:rPr>
                <w:sz w:val="18"/>
              </w:rPr>
            </w:pPr>
            <w:r>
              <w:rPr>
                <w:spacing w:val="-2"/>
                <w:sz w:val="18"/>
              </w:rPr>
              <w:t>Unrestricted</w:t>
            </w:r>
            <w:r>
              <w:rPr>
                <w:spacing w:val="6"/>
                <w:sz w:val="18"/>
              </w:rPr>
              <w:t> </w:t>
            </w:r>
            <w:r>
              <w:rPr>
                <w:spacing w:val="-2"/>
                <w:sz w:val="18"/>
              </w:rPr>
              <w:t>Adjustment</w:t>
            </w:r>
            <w:r>
              <w:rPr>
                <w:spacing w:val="7"/>
                <w:sz w:val="18"/>
              </w:rPr>
              <w:t> </w:t>
            </w:r>
            <w:r>
              <w:rPr>
                <w:spacing w:val="-2"/>
                <w:sz w:val="18"/>
              </w:rPr>
              <w:t>Coefficients</w:t>
            </w:r>
            <w:r>
              <w:rPr>
                <w:spacing w:val="6"/>
                <w:sz w:val="18"/>
              </w:rPr>
              <w:t> </w:t>
            </w:r>
            <w:r>
              <w:rPr>
                <w:spacing w:val="-2"/>
                <w:sz w:val="18"/>
              </w:rPr>
              <w:t>(alpha):</w:t>
            </w:r>
          </w:p>
        </w:tc>
      </w:tr>
      <w:tr>
        <w:trPr>
          <w:trHeight w:val="328" w:hRule="atLeast"/>
        </w:trPr>
        <w:tc>
          <w:tcPr>
            <w:tcW w:w="1467" w:type="dxa"/>
            <w:tcBorders>
              <w:top w:val="double" w:sz="6" w:space="0" w:color="000000"/>
            </w:tcBorders>
          </w:tcPr>
          <w:p>
            <w:pPr>
              <w:pStyle w:val="TableParagraph"/>
              <w:spacing w:before="109"/>
              <w:ind w:right="81"/>
              <w:jc w:val="center"/>
              <w:rPr>
                <w:sz w:val="18"/>
              </w:rPr>
            </w:pPr>
            <w:r>
              <w:rPr>
                <w:spacing w:val="-2"/>
                <w:sz w:val="18"/>
              </w:rPr>
              <w:t>D(RGDP)</w:t>
            </w:r>
          </w:p>
        </w:tc>
        <w:tc>
          <w:tcPr>
            <w:tcW w:w="1266" w:type="dxa"/>
            <w:tcBorders>
              <w:top w:val="double" w:sz="6" w:space="0" w:color="000000"/>
            </w:tcBorders>
          </w:tcPr>
          <w:p>
            <w:pPr>
              <w:pStyle w:val="TableParagraph"/>
              <w:spacing w:before="109"/>
              <w:ind w:right="236"/>
              <w:jc w:val="right"/>
              <w:rPr>
                <w:sz w:val="18"/>
              </w:rPr>
            </w:pPr>
            <w:r>
              <w:rPr>
                <w:spacing w:val="-2"/>
                <w:sz w:val="18"/>
              </w:rPr>
              <w:t>458.6637</w:t>
            </w:r>
          </w:p>
        </w:tc>
        <w:tc>
          <w:tcPr>
            <w:tcW w:w="1561" w:type="dxa"/>
            <w:tcBorders>
              <w:top w:val="double" w:sz="6" w:space="0" w:color="000000"/>
            </w:tcBorders>
          </w:tcPr>
          <w:p>
            <w:pPr>
              <w:pStyle w:val="TableParagraph"/>
              <w:spacing w:before="109"/>
              <w:ind w:left="51" w:right="4"/>
              <w:jc w:val="center"/>
              <w:rPr>
                <w:sz w:val="18"/>
              </w:rPr>
            </w:pPr>
            <w:r>
              <w:rPr>
                <w:spacing w:val="-2"/>
                <w:sz w:val="18"/>
              </w:rPr>
              <w:t>470.0692</w:t>
            </w:r>
          </w:p>
        </w:tc>
        <w:tc>
          <w:tcPr>
            <w:tcW w:w="1350" w:type="dxa"/>
            <w:tcBorders>
              <w:top w:val="double" w:sz="6" w:space="0" w:color="000000"/>
            </w:tcBorders>
          </w:tcPr>
          <w:p>
            <w:pPr>
              <w:pStyle w:val="TableParagraph"/>
              <w:spacing w:before="109"/>
              <w:ind w:left="1" w:right="74"/>
              <w:jc w:val="center"/>
              <w:rPr>
                <w:sz w:val="18"/>
              </w:rPr>
            </w:pPr>
            <w:r>
              <w:rPr>
                <w:spacing w:val="-2"/>
                <w:sz w:val="18"/>
              </w:rPr>
              <w:t>-27.40088</w:t>
            </w:r>
          </w:p>
        </w:tc>
        <w:tc>
          <w:tcPr>
            <w:tcW w:w="1415" w:type="dxa"/>
            <w:tcBorders>
              <w:top w:val="double" w:sz="6" w:space="0" w:color="000000"/>
            </w:tcBorders>
          </w:tcPr>
          <w:p>
            <w:pPr>
              <w:pStyle w:val="TableParagraph"/>
              <w:spacing w:before="109"/>
              <w:ind w:left="46" w:right="48"/>
              <w:jc w:val="center"/>
              <w:rPr>
                <w:sz w:val="18"/>
              </w:rPr>
            </w:pPr>
            <w:r>
              <w:rPr>
                <w:spacing w:val="-2"/>
                <w:sz w:val="18"/>
              </w:rPr>
              <w:t>-141.2739</w:t>
            </w:r>
          </w:p>
        </w:tc>
        <w:tc>
          <w:tcPr>
            <w:tcW w:w="1409" w:type="dxa"/>
            <w:tcBorders>
              <w:top w:val="double" w:sz="6" w:space="0" w:color="000000"/>
            </w:tcBorders>
          </w:tcPr>
          <w:p>
            <w:pPr>
              <w:pStyle w:val="TableParagraph"/>
              <w:spacing w:before="109"/>
              <w:ind w:left="74" w:right="19"/>
              <w:jc w:val="center"/>
              <w:rPr>
                <w:sz w:val="18"/>
              </w:rPr>
            </w:pPr>
            <w:r>
              <w:rPr>
                <w:spacing w:val="-2"/>
                <w:sz w:val="18"/>
              </w:rPr>
              <w:t>253.4817</w:t>
            </w:r>
          </w:p>
        </w:tc>
        <w:tc>
          <w:tcPr>
            <w:tcW w:w="1439" w:type="dxa"/>
            <w:tcBorders>
              <w:top w:val="double" w:sz="6" w:space="0" w:color="000000"/>
            </w:tcBorders>
          </w:tcPr>
          <w:p>
            <w:pPr>
              <w:pStyle w:val="TableParagraph"/>
              <w:spacing w:before="109"/>
              <w:ind w:left="50" w:right="7"/>
              <w:jc w:val="center"/>
              <w:rPr>
                <w:sz w:val="18"/>
              </w:rPr>
            </w:pPr>
            <w:r>
              <w:rPr>
                <w:spacing w:val="-2"/>
                <w:sz w:val="18"/>
              </w:rPr>
              <w:t>132.0173</w:t>
            </w:r>
          </w:p>
        </w:tc>
        <w:tc>
          <w:tcPr>
            <w:tcW w:w="1409" w:type="dxa"/>
            <w:tcBorders>
              <w:top w:val="double" w:sz="6" w:space="0" w:color="000000"/>
            </w:tcBorders>
          </w:tcPr>
          <w:p>
            <w:pPr>
              <w:pStyle w:val="TableParagraph"/>
              <w:spacing w:before="109"/>
              <w:ind w:left="56" w:right="75"/>
              <w:jc w:val="center"/>
              <w:rPr>
                <w:sz w:val="18"/>
              </w:rPr>
            </w:pPr>
            <w:r>
              <w:rPr>
                <w:spacing w:val="-2"/>
                <w:sz w:val="18"/>
              </w:rPr>
              <w:t>-81.96345</w:t>
            </w:r>
          </w:p>
        </w:tc>
        <w:tc>
          <w:tcPr>
            <w:tcW w:w="1418" w:type="dxa"/>
            <w:tcBorders>
              <w:top w:val="double" w:sz="6" w:space="0" w:color="000000"/>
            </w:tcBorders>
          </w:tcPr>
          <w:p>
            <w:pPr>
              <w:pStyle w:val="TableParagraph"/>
              <w:spacing w:before="109"/>
              <w:ind w:left="48" w:right="10"/>
              <w:jc w:val="center"/>
              <w:rPr>
                <w:sz w:val="18"/>
              </w:rPr>
            </w:pPr>
            <w:r>
              <w:rPr>
                <w:spacing w:val="-2"/>
                <w:sz w:val="18"/>
              </w:rPr>
              <w:t>65.43920</w:t>
            </w:r>
          </w:p>
        </w:tc>
        <w:tc>
          <w:tcPr>
            <w:tcW w:w="1417" w:type="dxa"/>
            <w:tcBorders>
              <w:top w:val="double" w:sz="6" w:space="0" w:color="000000"/>
            </w:tcBorders>
          </w:tcPr>
          <w:p>
            <w:pPr>
              <w:pStyle w:val="TableParagraph"/>
              <w:spacing w:before="109"/>
              <w:ind w:left="35" w:right="47"/>
              <w:jc w:val="center"/>
              <w:rPr>
                <w:sz w:val="18"/>
              </w:rPr>
            </w:pPr>
            <w:r>
              <w:rPr>
                <w:spacing w:val="-2"/>
                <w:sz w:val="18"/>
              </w:rPr>
              <w:t>-4.837223</w:t>
            </w:r>
          </w:p>
        </w:tc>
      </w:tr>
      <w:tr>
        <w:trPr>
          <w:trHeight w:val="225" w:hRule="atLeast"/>
        </w:trPr>
        <w:tc>
          <w:tcPr>
            <w:tcW w:w="1467" w:type="dxa"/>
          </w:tcPr>
          <w:p>
            <w:pPr>
              <w:pStyle w:val="TableParagraph"/>
              <w:ind w:left="2" w:right="81"/>
              <w:jc w:val="center"/>
              <w:rPr>
                <w:sz w:val="18"/>
              </w:rPr>
            </w:pPr>
            <w:r>
              <w:rPr>
                <w:spacing w:val="-2"/>
                <w:sz w:val="18"/>
              </w:rPr>
              <w:t>D(FDI)</w:t>
            </w:r>
          </w:p>
        </w:tc>
        <w:tc>
          <w:tcPr>
            <w:tcW w:w="1266" w:type="dxa"/>
          </w:tcPr>
          <w:p>
            <w:pPr>
              <w:pStyle w:val="TableParagraph"/>
              <w:ind w:right="236"/>
              <w:jc w:val="right"/>
              <w:rPr>
                <w:sz w:val="18"/>
              </w:rPr>
            </w:pPr>
            <w:r>
              <w:rPr>
                <w:spacing w:val="-2"/>
                <w:sz w:val="18"/>
              </w:rPr>
              <w:t>107.9034</w:t>
            </w:r>
          </w:p>
        </w:tc>
        <w:tc>
          <w:tcPr>
            <w:tcW w:w="1561" w:type="dxa"/>
          </w:tcPr>
          <w:p>
            <w:pPr>
              <w:pStyle w:val="TableParagraph"/>
              <w:ind w:left="51" w:right="4"/>
              <w:jc w:val="center"/>
              <w:rPr>
                <w:sz w:val="18"/>
              </w:rPr>
            </w:pPr>
            <w:r>
              <w:rPr>
                <w:spacing w:val="-2"/>
                <w:sz w:val="18"/>
              </w:rPr>
              <w:t>89.39537</w:t>
            </w:r>
          </w:p>
        </w:tc>
        <w:tc>
          <w:tcPr>
            <w:tcW w:w="1350" w:type="dxa"/>
          </w:tcPr>
          <w:p>
            <w:pPr>
              <w:pStyle w:val="TableParagraph"/>
              <w:ind w:left="51" w:right="74"/>
              <w:jc w:val="center"/>
              <w:rPr>
                <w:sz w:val="18"/>
              </w:rPr>
            </w:pPr>
            <w:r>
              <w:rPr>
                <w:spacing w:val="-2"/>
                <w:sz w:val="18"/>
              </w:rPr>
              <w:t>73.09681</w:t>
            </w:r>
          </w:p>
        </w:tc>
        <w:tc>
          <w:tcPr>
            <w:tcW w:w="1415" w:type="dxa"/>
          </w:tcPr>
          <w:p>
            <w:pPr>
              <w:pStyle w:val="TableParagraph"/>
              <w:ind w:left="46" w:right="48"/>
              <w:jc w:val="center"/>
              <w:rPr>
                <w:sz w:val="18"/>
              </w:rPr>
            </w:pPr>
            <w:r>
              <w:rPr>
                <w:spacing w:val="-2"/>
                <w:sz w:val="18"/>
              </w:rPr>
              <w:t>-21.27656</w:t>
            </w:r>
          </w:p>
        </w:tc>
        <w:tc>
          <w:tcPr>
            <w:tcW w:w="1409" w:type="dxa"/>
          </w:tcPr>
          <w:p>
            <w:pPr>
              <w:pStyle w:val="TableParagraph"/>
              <w:ind w:left="56" w:right="52"/>
              <w:jc w:val="center"/>
              <w:rPr>
                <w:sz w:val="18"/>
              </w:rPr>
            </w:pPr>
            <w:r>
              <w:rPr>
                <w:spacing w:val="-2"/>
                <w:sz w:val="18"/>
              </w:rPr>
              <w:t>-149.2721</w:t>
            </w:r>
          </w:p>
        </w:tc>
        <w:tc>
          <w:tcPr>
            <w:tcW w:w="1439" w:type="dxa"/>
          </w:tcPr>
          <w:p>
            <w:pPr>
              <w:pStyle w:val="TableParagraph"/>
              <w:ind w:left="50" w:right="7"/>
              <w:jc w:val="center"/>
              <w:rPr>
                <w:sz w:val="18"/>
              </w:rPr>
            </w:pPr>
            <w:r>
              <w:rPr>
                <w:spacing w:val="-2"/>
                <w:sz w:val="18"/>
              </w:rPr>
              <w:t>34.93382</w:t>
            </w:r>
          </w:p>
        </w:tc>
        <w:tc>
          <w:tcPr>
            <w:tcW w:w="1409" w:type="dxa"/>
          </w:tcPr>
          <w:p>
            <w:pPr>
              <w:pStyle w:val="TableParagraph"/>
              <w:ind w:left="56" w:right="27"/>
              <w:jc w:val="center"/>
              <w:rPr>
                <w:sz w:val="18"/>
              </w:rPr>
            </w:pPr>
            <w:r>
              <w:rPr>
                <w:spacing w:val="-2"/>
                <w:sz w:val="18"/>
              </w:rPr>
              <w:t>68.19307</w:t>
            </w:r>
          </w:p>
        </w:tc>
        <w:tc>
          <w:tcPr>
            <w:tcW w:w="1418" w:type="dxa"/>
          </w:tcPr>
          <w:p>
            <w:pPr>
              <w:pStyle w:val="TableParagraph"/>
              <w:ind w:left="48" w:right="10"/>
              <w:jc w:val="center"/>
              <w:rPr>
                <w:sz w:val="18"/>
              </w:rPr>
            </w:pPr>
            <w:r>
              <w:rPr>
                <w:spacing w:val="-2"/>
                <w:sz w:val="18"/>
              </w:rPr>
              <w:t>27.11765</w:t>
            </w:r>
          </w:p>
        </w:tc>
        <w:tc>
          <w:tcPr>
            <w:tcW w:w="1417" w:type="dxa"/>
          </w:tcPr>
          <w:p>
            <w:pPr>
              <w:pStyle w:val="TableParagraph"/>
              <w:ind w:left="35" w:right="47"/>
              <w:jc w:val="center"/>
              <w:rPr>
                <w:sz w:val="18"/>
              </w:rPr>
            </w:pPr>
            <w:r>
              <w:rPr>
                <w:spacing w:val="-2"/>
                <w:sz w:val="18"/>
              </w:rPr>
              <w:t>-1.354773</w:t>
            </w:r>
          </w:p>
        </w:tc>
      </w:tr>
      <w:tr>
        <w:trPr>
          <w:trHeight w:val="224" w:hRule="atLeast"/>
        </w:trPr>
        <w:tc>
          <w:tcPr>
            <w:tcW w:w="1467" w:type="dxa"/>
          </w:tcPr>
          <w:p>
            <w:pPr>
              <w:pStyle w:val="TableParagraph"/>
              <w:spacing w:line="198" w:lineRule="exact"/>
              <w:ind w:left="2" w:right="81"/>
              <w:jc w:val="center"/>
              <w:rPr>
                <w:sz w:val="18"/>
              </w:rPr>
            </w:pPr>
            <w:r>
              <w:rPr>
                <w:spacing w:val="-2"/>
                <w:sz w:val="18"/>
              </w:rPr>
              <w:t>D(FPI)</w:t>
            </w:r>
          </w:p>
        </w:tc>
        <w:tc>
          <w:tcPr>
            <w:tcW w:w="1266" w:type="dxa"/>
          </w:tcPr>
          <w:p>
            <w:pPr>
              <w:pStyle w:val="TableParagraph"/>
              <w:spacing w:line="198" w:lineRule="exact"/>
              <w:ind w:right="236"/>
              <w:jc w:val="right"/>
              <w:rPr>
                <w:sz w:val="18"/>
              </w:rPr>
            </w:pPr>
            <w:r>
              <w:rPr>
                <w:spacing w:val="-2"/>
                <w:sz w:val="18"/>
              </w:rPr>
              <w:t>3.338674</w:t>
            </w:r>
          </w:p>
        </w:tc>
        <w:tc>
          <w:tcPr>
            <w:tcW w:w="1561" w:type="dxa"/>
          </w:tcPr>
          <w:p>
            <w:pPr>
              <w:pStyle w:val="TableParagraph"/>
              <w:spacing w:line="198" w:lineRule="exact"/>
              <w:ind w:left="48" w:right="48"/>
              <w:jc w:val="center"/>
              <w:rPr>
                <w:sz w:val="18"/>
              </w:rPr>
            </w:pPr>
            <w:r>
              <w:rPr>
                <w:spacing w:val="-2"/>
                <w:sz w:val="18"/>
              </w:rPr>
              <w:t>-6.247899</w:t>
            </w:r>
          </w:p>
        </w:tc>
        <w:tc>
          <w:tcPr>
            <w:tcW w:w="1350" w:type="dxa"/>
          </w:tcPr>
          <w:p>
            <w:pPr>
              <w:pStyle w:val="TableParagraph"/>
              <w:spacing w:line="198" w:lineRule="exact"/>
              <w:ind w:left="1" w:right="74"/>
              <w:jc w:val="center"/>
              <w:rPr>
                <w:sz w:val="18"/>
              </w:rPr>
            </w:pPr>
            <w:r>
              <w:rPr>
                <w:spacing w:val="-2"/>
                <w:sz w:val="18"/>
              </w:rPr>
              <w:t>-1.750843</w:t>
            </w:r>
          </w:p>
        </w:tc>
        <w:tc>
          <w:tcPr>
            <w:tcW w:w="1415" w:type="dxa"/>
          </w:tcPr>
          <w:p>
            <w:pPr>
              <w:pStyle w:val="TableParagraph"/>
              <w:spacing w:line="198" w:lineRule="exact"/>
              <w:ind w:left="46" w:right="48"/>
              <w:jc w:val="center"/>
              <w:rPr>
                <w:sz w:val="18"/>
              </w:rPr>
            </w:pPr>
            <w:r>
              <w:rPr>
                <w:spacing w:val="-2"/>
                <w:sz w:val="18"/>
              </w:rPr>
              <w:t>-2.121070</w:t>
            </w:r>
          </w:p>
        </w:tc>
        <w:tc>
          <w:tcPr>
            <w:tcW w:w="1409" w:type="dxa"/>
          </w:tcPr>
          <w:p>
            <w:pPr>
              <w:pStyle w:val="TableParagraph"/>
              <w:spacing w:line="198" w:lineRule="exact"/>
              <w:ind w:left="74" w:right="19"/>
              <w:jc w:val="center"/>
              <w:rPr>
                <w:sz w:val="18"/>
              </w:rPr>
            </w:pPr>
            <w:r>
              <w:rPr>
                <w:spacing w:val="-2"/>
                <w:sz w:val="18"/>
              </w:rPr>
              <w:t>1.479592</w:t>
            </w:r>
          </w:p>
        </w:tc>
        <w:tc>
          <w:tcPr>
            <w:tcW w:w="1439" w:type="dxa"/>
          </w:tcPr>
          <w:p>
            <w:pPr>
              <w:pStyle w:val="TableParagraph"/>
              <w:spacing w:line="198" w:lineRule="exact"/>
              <w:ind w:left="44" w:right="48"/>
              <w:jc w:val="center"/>
              <w:rPr>
                <w:sz w:val="18"/>
              </w:rPr>
            </w:pPr>
            <w:r>
              <w:rPr>
                <w:spacing w:val="-2"/>
                <w:sz w:val="18"/>
              </w:rPr>
              <w:t>-2.903031</w:t>
            </w:r>
          </w:p>
        </w:tc>
        <w:tc>
          <w:tcPr>
            <w:tcW w:w="1409" w:type="dxa"/>
          </w:tcPr>
          <w:p>
            <w:pPr>
              <w:pStyle w:val="TableParagraph"/>
              <w:spacing w:line="198" w:lineRule="exact"/>
              <w:ind w:left="56" w:right="75"/>
              <w:jc w:val="center"/>
              <w:rPr>
                <w:sz w:val="18"/>
              </w:rPr>
            </w:pPr>
            <w:r>
              <w:rPr>
                <w:spacing w:val="-2"/>
                <w:sz w:val="18"/>
              </w:rPr>
              <w:t>-0.084799</w:t>
            </w:r>
          </w:p>
        </w:tc>
        <w:tc>
          <w:tcPr>
            <w:tcW w:w="1418" w:type="dxa"/>
          </w:tcPr>
          <w:p>
            <w:pPr>
              <w:pStyle w:val="TableParagraph"/>
              <w:spacing w:line="198" w:lineRule="exact"/>
              <w:ind w:left="43" w:right="52"/>
              <w:jc w:val="center"/>
              <w:rPr>
                <w:sz w:val="18"/>
              </w:rPr>
            </w:pPr>
            <w:r>
              <w:rPr>
                <w:spacing w:val="-2"/>
                <w:sz w:val="18"/>
              </w:rPr>
              <w:t>-2.889701</w:t>
            </w:r>
          </w:p>
        </w:tc>
        <w:tc>
          <w:tcPr>
            <w:tcW w:w="1417" w:type="dxa"/>
          </w:tcPr>
          <w:p>
            <w:pPr>
              <w:pStyle w:val="TableParagraph"/>
              <w:spacing w:line="198" w:lineRule="exact"/>
              <w:ind w:left="47" w:right="12"/>
              <w:jc w:val="center"/>
              <w:rPr>
                <w:sz w:val="18"/>
              </w:rPr>
            </w:pPr>
            <w:r>
              <w:rPr>
                <w:spacing w:val="-2"/>
                <w:sz w:val="18"/>
              </w:rPr>
              <w:t>0.014390</w:t>
            </w:r>
          </w:p>
        </w:tc>
      </w:tr>
      <w:tr>
        <w:trPr>
          <w:trHeight w:val="224" w:hRule="atLeast"/>
        </w:trPr>
        <w:tc>
          <w:tcPr>
            <w:tcW w:w="1467" w:type="dxa"/>
          </w:tcPr>
          <w:p>
            <w:pPr>
              <w:pStyle w:val="TableParagraph"/>
              <w:spacing w:before="5"/>
              <w:ind w:left="5" w:right="81"/>
              <w:jc w:val="center"/>
              <w:rPr>
                <w:sz w:val="18"/>
              </w:rPr>
            </w:pPr>
            <w:r>
              <w:rPr>
                <w:spacing w:val="-2"/>
                <w:sz w:val="18"/>
              </w:rPr>
              <w:t>D(TOP)</w:t>
            </w:r>
          </w:p>
        </w:tc>
        <w:tc>
          <w:tcPr>
            <w:tcW w:w="1266" w:type="dxa"/>
          </w:tcPr>
          <w:p>
            <w:pPr>
              <w:pStyle w:val="TableParagraph"/>
              <w:spacing w:before="5"/>
              <w:ind w:right="236"/>
              <w:jc w:val="right"/>
              <w:rPr>
                <w:sz w:val="18"/>
              </w:rPr>
            </w:pPr>
            <w:r>
              <w:rPr>
                <w:spacing w:val="-2"/>
                <w:sz w:val="18"/>
              </w:rPr>
              <w:t>0.433254</w:t>
            </w:r>
          </w:p>
        </w:tc>
        <w:tc>
          <w:tcPr>
            <w:tcW w:w="1561" w:type="dxa"/>
          </w:tcPr>
          <w:p>
            <w:pPr>
              <w:pStyle w:val="TableParagraph"/>
              <w:spacing w:before="5"/>
              <w:ind w:left="51" w:right="4"/>
              <w:jc w:val="center"/>
              <w:rPr>
                <w:sz w:val="18"/>
              </w:rPr>
            </w:pPr>
            <w:r>
              <w:rPr>
                <w:spacing w:val="-2"/>
                <w:sz w:val="18"/>
              </w:rPr>
              <w:t>0.940969</w:t>
            </w:r>
          </w:p>
        </w:tc>
        <w:tc>
          <w:tcPr>
            <w:tcW w:w="1350" w:type="dxa"/>
          </w:tcPr>
          <w:p>
            <w:pPr>
              <w:pStyle w:val="TableParagraph"/>
              <w:spacing w:before="5"/>
              <w:ind w:left="1" w:right="74"/>
              <w:jc w:val="center"/>
              <w:rPr>
                <w:sz w:val="18"/>
              </w:rPr>
            </w:pPr>
            <w:r>
              <w:rPr>
                <w:spacing w:val="-2"/>
                <w:sz w:val="18"/>
              </w:rPr>
              <w:t>-1.032477</w:t>
            </w:r>
          </w:p>
        </w:tc>
        <w:tc>
          <w:tcPr>
            <w:tcW w:w="1415" w:type="dxa"/>
          </w:tcPr>
          <w:p>
            <w:pPr>
              <w:pStyle w:val="TableParagraph"/>
              <w:spacing w:before="5"/>
              <w:ind w:left="46" w:right="48"/>
              <w:jc w:val="center"/>
              <w:rPr>
                <w:sz w:val="18"/>
              </w:rPr>
            </w:pPr>
            <w:r>
              <w:rPr>
                <w:spacing w:val="-2"/>
                <w:sz w:val="18"/>
              </w:rPr>
              <w:t>-1.659610</w:t>
            </w:r>
          </w:p>
        </w:tc>
        <w:tc>
          <w:tcPr>
            <w:tcW w:w="1409" w:type="dxa"/>
          </w:tcPr>
          <w:p>
            <w:pPr>
              <w:pStyle w:val="TableParagraph"/>
              <w:spacing w:before="5"/>
              <w:ind w:left="74" w:right="19"/>
              <w:jc w:val="center"/>
              <w:rPr>
                <w:sz w:val="18"/>
              </w:rPr>
            </w:pPr>
            <w:r>
              <w:rPr>
                <w:spacing w:val="-2"/>
                <w:sz w:val="18"/>
              </w:rPr>
              <w:t>0.511105</w:t>
            </w:r>
          </w:p>
        </w:tc>
        <w:tc>
          <w:tcPr>
            <w:tcW w:w="1439" w:type="dxa"/>
          </w:tcPr>
          <w:p>
            <w:pPr>
              <w:pStyle w:val="TableParagraph"/>
              <w:spacing w:before="5"/>
              <w:ind w:left="44" w:right="48"/>
              <w:jc w:val="center"/>
              <w:rPr>
                <w:sz w:val="18"/>
              </w:rPr>
            </w:pPr>
            <w:r>
              <w:rPr>
                <w:spacing w:val="-2"/>
                <w:sz w:val="18"/>
              </w:rPr>
              <w:t>-0.321933</w:t>
            </w:r>
          </w:p>
        </w:tc>
        <w:tc>
          <w:tcPr>
            <w:tcW w:w="1409" w:type="dxa"/>
          </w:tcPr>
          <w:p>
            <w:pPr>
              <w:pStyle w:val="TableParagraph"/>
              <w:spacing w:before="5"/>
              <w:ind w:left="56" w:right="27"/>
              <w:jc w:val="center"/>
              <w:rPr>
                <w:sz w:val="18"/>
              </w:rPr>
            </w:pPr>
            <w:r>
              <w:rPr>
                <w:spacing w:val="-2"/>
                <w:sz w:val="18"/>
              </w:rPr>
              <w:t>0.496067</w:t>
            </w:r>
          </w:p>
        </w:tc>
        <w:tc>
          <w:tcPr>
            <w:tcW w:w="1418" w:type="dxa"/>
          </w:tcPr>
          <w:p>
            <w:pPr>
              <w:pStyle w:val="TableParagraph"/>
              <w:spacing w:before="5"/>
              <w:ind w:left="48" w:right="10"/>
              <w:jc w:val="center"/>
              <w:rPr>
                <w:sz w:val="18"/>
              </w:rPr>
            </w:pPr>
            <w:r>
              <w:rPr>
                <w:spacing w:val="-2"/>
                <w:sz w:val="18"/>
              </w:rPr>
              <w:t>2.042436</w:t>
            </w:r>
          </w:p>
        </w:tc>
        <w:tc>
          <w:tcPr>
            <w:tcW w:w="1417" w:type="dxa"/>
          </w:tcPr>
          <w:p>
            <w:pPr>
              <w:pStyle w:val="TableParagraph"/>
              <w:spacing w:before="5"/>
              <w:ind w:left="47" w:right="12"/>
              <w:jc w:val="center"/>
              <w:rPr>
                <w:sz w:val="18"/>
              </w:rPr>
            </w:pPr>
            <w:r>
              <w:rPr>
                <w:spacing w:val="-2"/>
                <w:sz w:val="18"/>
              </w:rPr>
              <w:t>0.045685</w:t>
            </w:r>
          </w:p>
        </w:tc>
      </w:tr>
      <w:tr>
        <w:trPr>
          <w:trHeight w:val="225" w:hRule="atLeast"/>
        </w:trPr>
        <w:tc>
          <w:tcPr>
            <w:tcW w:w="1467" w:type="dxa"/>
          </w:tcPr>
          <w:p>
            <w:pPr>
              <w:pStyle w:val="TableParagraph"/>
              <w:ind w:left="2" w:right="81"/>
              <w:jc w:val="center"/>
              <w:rPr>
                <w:sz w:val="18"/>
              </w:rPr>
            </w:pPr>
            <w:r>
              <w:rPr>
                <w:spacing w:val="-2"/>
                <w:sz w:val="18"/>
              </w:rPr>
              <w:t>D(REM)</w:t>
            </w:r>
          </w:p>
        </w:tc>
        <w:tc>
          <w:tcPr>
            <w:tcW w:w="1266" w:type="dxa"/>
          </w:tcPr>
          <w:p>
            <w:pPr>
              <w:pStyle w:val="TableParagraph"/>
              <w:ind w:right="236"/>
              <w:jc w:val="right"/>
              <w:rPr>
                <w:sz w:val="18"/>
              </w:rPr>
            </w:pPr>
            <w:r>
              <w:rPr>
                <w:spacing w:val="-2"/>
                <w:sz w:val="18"/>
              </w:rPr>
              <w:t>0.149852</w:t>
            </w:r>
          </w:p>
        </w:tc>
        <w:tc>
          <w:tcPr>
            <w:tcW w:w="1561" w:type="dxa"/>
          </w:tcPr>
          <w:p>
            <w:pPr>
              <w:pStyle w:val="TableParagraph"/>
              <w:ind w:left="48" w:right="48"/>
              <w:jc w:val="center"/>
              <w:rPr>
                <w:sz w:val="18"/>
              </w:rPr>
            </w:pPr>
            <w:r>
              <w:rPr>
                <w:spacing w:val="-2"/>
                <w:sz w:val="18"/>
              </w:rPr>
              <w:t>-10.10190</w:t>
            </w:r>
          </w:p>
        </w:tc>
        <w:tc>
          <w:tcPr>
            <w:tcW w:w="1350" w:type="dxa"/>
          </w:tcPr>
          <w:p>
            <w:pPr>
              <w:pStyle w:val="TableParagraph"/>
              <w:ind w:left="1" w:right="74"/>
              <w:jc w:val="center"/>
              <w:rPr>
                <w:sz w:val="18"/>
              </w:rPr>
            </w:pPr>
            <w:r>
              <w:rPr>
                <w:spacing w:val="-2"/>
                <w:sz w:val="18"/>
              </w:rPr>
              <w:t>-60.49130</w:t>
            </w:r>
          </w:p>
        </w:tc>
        <w:tc>
          <w:tcPr>
            <w:tcW w:w="1415" w:type="dxa"/>
          </w:tcPr>
          <w:p>
            <w:pPr>
              <w:pStyle w:val="TableParagraph"/>
              <w:ind w:left="46" w:right="48"/>
              <w:jc w:val="center"/>
              <w:rPr>
                <w:sz w:val="18"/>
              </w:rPr>
            </w:pPr>
            <w:r>
              <w:rPr>
                <w:spacing w:val="-2"/>
                <w:sz w:val="18"/>
              </w:rPr>
              <w:t>-48.69335</w:t>
            </w:r>
          </w:p>
        </w:tc>
        <w:tc>
          <w:tcPr>
            <w:tcW w:w="1409" w:type="dxa"/>
          </w:tcPr>
          <w:p>
            <w:pPr>
              <w:pStyle w:val="TableParagraph"/>
              <w:ind w:left="74" w:right="19"/>
              <w:jc w:val="center"/>
              <w:rPr>
                <w:sz w:val="18"/>
              </w:rPr>
            </w:pPr>
            <w:r>
              <w:rPr>
                <w:spacing w:val="-2"/>
                <w:sz w:val="18"/>
              </w:rPr>
              <w:t>69.20110</w:t>
            </w:r>
          </w:p>
        </w:tc>
        <w:tc>
          <w:tcPr>
            <w:tcW w:w="1439" w:type="dxa"/>
          </w:tcPr>
          <w:p>
            <w:pPr>
              <w:pStyle w:val="TableParagraph"/>
              <w:ind w:left="44" w:right="48"/>
              <w:jc w:val="center"/>
              <w:rPr>
                <w:sz w:val="18"/>
              </w:rPr>
            </w:pPr>
            <w:r>
              <w:rPr>
                <w:spacing w:val="-2"/>
                <w:sz w:val="18"/>
              </w:rPr>
              <w:t>-39.08437</w:t>
            </w:r>
          </w:p>
        </w:tc>
        <w:tc>
          <w:tcPr>
            <w:tcW w:w="1409" w:type="dxa"/>
          </w:tcPr>
          <w:p>
            <w:pPr>
              <w:pStyle w:val="TableParagraph"/>
              <w:ind w:left="56" w:right="27"/>
              <w:jc w:val="center"/>
              <w:rPr>
                <w:sz w:val="18"/>
              </w:rPr>
            </w:pPr>
            <w:r>
              <w:rPr>
                <w:spacing w:val="-2"/>
                <w:sz w:val="18"/>
              </w:rPr>
              <w:t>77.40421</w:t>
            </w:r>
          </w:p>
        </w:tc>
        <w:tc>
          <w:tcPr>
            <w:tcW w:w="1418" w:type="dxa"/>
          </w:tcPr>
          <w:p>
            <w:pPr>
              <w:pStyle w:val="TableParagraph"/>
              <w:ind w:left="43" w:right="52"/>
              <w:jc w:val="center"/>
              <w:rPr>
                <w:sz w:val="18"/>
              </w:rPr>
            </w:pPr>
            <w:r>
              <w:rPr>
                <w:spacing w:val="-2"/>
                <w:sz w:val="18"/>
              </w:rPr>
              <w:t>-38.25035</w:t>
            </w:r>
          </w:p>
        </w:tc>
        <w:tc>
          <w:tcPr>
            <w:tcW w:w="1417" w:type="dxa"/>
          </w:tcPr>
          <w:p>
            <w:pPr>
              <w:pStyle w:val="TableParagraph"/>
              <w:ind w:left="35" w:right="47"/>
              <w:jc w:val="center"/>
              <w:rPr>
                <w:sz w:val="18"/>
              </w:rPr>
            </w:pPr>
            <w:r>
              <w:rPr>
                <w:spacing w:val="-2"/>
                <w:sz w:val="18"/>
              </w:rPr>
              <w:t>-0.186608</w:t>
            </w:r>
          </w:p>
        </w:tc>
      </w:tr>
      <w:tr>
        <w:trPr>
          <w:trHeight w:val="225" w:hRule="atLeast"/>
        </w:trPr>
        <w:tc>
          <w:tcPr>
            <w:tcW w:w="1467" w:type="dxa"/>
          </w:tcPr>
          <w:p>
            <w:pPr>
              <w:pStyle w:val="TableParagraph"/>
              <w:ind w:right="81"/>
              <w:jc w:val="center"/>
              <w:rPr>
                <w:sz w:val="18"/>
              </w:rPr>
            </w:pPr>
            <w:r>
              <w:rPr>
                <w:spacing w:val="-2"/>
                <w:sz w:val="18"/>
              </w:rPr>
              <w:t>D(ODA)</w:t>
            </w:r>
          </w:p>
        </w:tc>
        <w:tc>
          <w:tcPr>
            <w:tcW w:w="1266" w:type="dxa"/>
          </w:tcPr>
          <w:p>
            <w:pPr>
              <w:pStyle w:val="TableParagraph"/>
              <w:ind w:right="236"/>
              <w:jc w:val="right"/>
              <w:rPr>
                <w:sz w:val="18"/>
              </w:rPr>
            </w:pPr>
            <w:r>
              <w:rPr>
                <w:spacing w:val="-2"/>
                <w:sz w:val="18"/>
              </w:rPr>
              <w:t>481.7025</w:t>
            </w:r>
          </w:p>
        </w:tc>
        <w:tc>
          <w:tcPr>
            <w:tcW w:w="1561" w:type="dxa"/>
          </w:tcPr>
          <w:p>
            <w:pPr>
              <w:pStyle w:val="TableParagraph"/>
              <w:ind w:left="48" w:right="48"/>
              <w:jc w:val="center"/>
              <w:rPr>
                <w:sz w:val="18"/>
              </w:rPr>
            </w:pPr>
            <w:r>
              <w:rPr>
                <w:spacing w:val="-2"/>
                <w:sz w:val="18"/>
              </w:rPr>
              <w:t>-125.9639</w:t>
            </w:r>
          </w:p>
        </w:tc>
        <w:tc>
          <w:tcPr>
            <w:tcW w:w="1350" w:type="dxa"/>
          </w:tcPr>
          <w:p>
            <w:pPr>
              <w:pStyle w:val="TableParagraph"/>
              <w:ind w:left="51" w:right="74"/>
              <w:jc w:val="center"/>
              <w:rPr>
                <w:sz w:val="18"/>
              </w:rPr>
            </w:pPr>
            <w:r>
              <w:rPr>
                <w:spacing w:val="-2"/>
                <w:sz w:val="18"/>
              </w:rPr>
              <w:t>1058.469</w:t>
            </w:r>
          </w:p>
        </w:tc>
        <w:tc>
          <w:tcPr>
            <w:tcW w:w="1415" w:type="dxa"/>
          </w:tcPr>
          <w:p>
            <w:pPr>
              <w:pStyle w:val="TableParagraph"/>
              <w:ind w:left="52" w:right="6"/>
              <w:jc w:val="center"/>
              <w:rPr>
                <w:sz w:val="18"/>
              </w:rPr>
            </w:pPr>
            <w:r>
              <w:rPr>
                <w:spacing w:val="-2"/>
                <w:sz w:val="18"/>
              </w:rPr>
              <w:t>820.0978</w:t>
            </w:r>
          </w:p>
        </w:tc>
        <w:tc>
          <w:tcPr>
            <w:tcW w:w="1409" w:type="dxa"/>
          </w:tcPr>
          <w:p>
            <w:pPr>
              <w:pStyle w:val="TableParagraph"/>
              <w:ind w:left="74" w:right="19"/>
              <w:jc w:val="center"/>
              <w:rPr>
                <w:sz w:val="18"/>
              </w:rPr>
            </w:pPr>
            <w:r>
              <w:rPr>
                <w:spacing w:val="-2"/>
                <w:sz w:val="18"/>
              </w:rPr>
              <w:t>503.2770</w:t>
            </w:r>
          </w:p>
        </w:tc>
        <w:tc>
          <w:tcPr>
            <w:tcW w:w="1439" w:type="dxa"/>
          </w:tcPr>
          <w:p>
            <w:pPr>
              <w:pStyle w:val="TableParagraph"/>
              <w:ind w:left="50" w:right="7"/>
              <w:jc w:val="center"/>
              <w:rPr>
                <w:sz w:val="18"/>
              </w:rPr>
            </w:pPr>
            <w:r>
              <w:rPr>
                <w:spacing w:val="-2"/>
                <w:sz w:val="18"/>
              </w:rPr>
              <w:t>166.3984</w:t>
            </w:r>
          </w:p>
        </w:tc>
        <w:tc>
          <w:tcPr>
            <w:tcW w:w="1409" w:type="dxa"/>
          </w:tcPr>
          <w:p>
            <w:pPr>
              <w:pStyle w:val="TableParagraph"/>
              <w:ind w:left="56" w:right="27"/>
              <w:jc w:val="center"/>
              <w:rPr>
                <w:sz w:val="18"/>
              </w:rPr>
            </w:pPr>
            <w:r>
              <w:rPr>
                <w:spacing w:val="-2"/>
                <w:sz w:val="18"/>
              </w:rPr>
              <w:t>351.8389</w:t>
            </w:r>
          </w:p>
        </w:tc>
        <w:tc>
          <w:tcPr>
            <w:tcW w:w="1418" w:type="dxa"/>
          </w:tcPr>
          <w:p>
            <w:pPr>
              <w:pStyle w:val="TableParagraph"/>
              <w:ind w:left="48" w:right="10"/>
              <w:jc w:val="center"/>
              <w:rPr>
                <w:sz w:val="18"/>
              </w:rPr>
            </w:pPr>
            <w:r>
              <w:rPr>
                <w:spacing w:val="-2"/>
                <w:sz w:val="18"/>
              </w:rPr>
              <w:t>254.3021</w:t>
            </w:r>
          </w:p>
        </w:tc>
        <w:tc>
          <w:tcPr>
            <w:tcW w:w="1417" w:type="dxa"/>
          </w:tcPr>
          <w:p>
            <w:pPr>
              <w:pStyle w:val="TableParagraph"/>
              <w:ind w:left="35" w:right="47"/>
              <w:jc w:val="center"/>
              <w:rPr>
                <w:sz w:val="18"/>
              </w:rPr>
            </w:pPr>
            <w:r>
              <w:rPr>
                <w:spacing w:val="-2"/>
                <w:sz w:val="18"/>
              </w:rPr>
              <w:t>-4.563550</w:t>
            </w:r>
          </w:p>
        </w:tc>
      </w:tr>
      <w:tr>
        <w:trPr>
          <w:trHeight w:val="224" w:hRule="atLeast"/>
        </w:trPr>
        <w:tc>
          <w:tcPr>
            <w:tcW w:w="1467" w:type="dxa"/>
          </w:tcPr>
          <w:p>
            <w:pPr>
              <w:pStyle w:val="TableParagraph"/>
              <w:spacing w:line="198" w:lineRule="exact"/>
              <w:ind w:right="81"/>
              <w:jc w:val="center"/>
              <w:rPr>
                <w:sz w:val="18"/>
              </w:rPr>
            </w:pPr>
            <w:r>
              <w:rPr>
                <w:spacing w:val="-2"/>
                <w:sz w:val="18"/>
              </w:rPr>
              <w:t>D(CPS_GDP)</w:t>
            </w:r>
          </w:p>
        </w:tc>
        <w:tc>
          <w:tcPr>
            <w:tcW w:w="1266" w:type="dxa"/>
          </w:tcPr>
          <w:p>
            <w:pPr>
              <w:pStyle w:val="TableParagraph"/>
              <w:spacing w:line="198" w:lineRule="exact"/>
              <w:ind w:right="231"/>
              <w:jc w:val="right"/>
              <w:rPr>
                <w:sz w:val="18"/>
              </w:rPr>
            </w:pPr>
            <w:r>
              <w:rPr>
                <w:spacing w:val="-2"/>
                <w:sz w:val="18"/>
              </w:rPr>
              <w:t>-0.475169</w:t>
            </w:r>
          </w:p>
        </w:tc>
        <w:tc>
          <w:tcPr>
            <w:tcW w:w="1561" w:type="dxa"/>
          </w:tcPr>
          <w:p>
            <w:pPr>
              <w:pStyle w:val="TableParagraph"/>
              <w:spacing w:line="198" w:lineRule="exact"/>
              <w:ind w:left="51" w:right="4"/>
              <w:jc w:val="center"/>
              <w:rPr>
                <w:sz w:val="18"/>
              </w:rPr>
            </w:pPr>
            <w:r>
              <w:rPr>
                <w:spacing w:val="-2"/>
                <w:sz w:val="18"/>
              </w:rPr>
              <w:t>0.319251</w:t>
            </w:r>
          </w:p>
        </w:tc>
        <w:tc>
          <w:tcPr>
            <w:tcW w:w="1350" w:type="dxa"/>
          </w:tcPr>
          <w:p>
            <w:pPr>
              <w:pStyle w:val="TableParagraph"/>
              <w:spacing w:line="198" w:lineRule="exact"/>
              <w:ind w:left="51" w:right="74"/>
              <w:jc w:val="center"/>
              <w:rPr>
                <w:sz w:val="18"/>
              </w:rPr>
            </w:pPr>
            <w:r>
              <w:rPr>
                <w:spacing w:val="-2"/>
                <w:sz w:val="18"/>
              </w:rPr>
              <w:t>1.050649</w:t>
            </w:r>
          </w:p>
        </w:tc>
        <w:tc>
          <w:tcPr>
            <w:tcW w:w="1415" w:type="dxa"/>
          </w:tcPr>
          <w:p>
            <w:pPr>
              <w:pStyle w:val="TableParagraph"/>
              <w:spacing w:line="198" w:lineRule="exact"/>
              <w:ind w:left="46" w:right="48"/>
              <w:jc w:val="center"/>
              <w:rPr>
                <w:sz w:val="18"/>
              </w:rPr>
            </w:pPr>
            <w:r>
              <w:rPr>
                <w:spacing w:val="-2"/>
                <w:sz w:val="18"/>
              </w:rPr>
              <w:t>-1.175773</w:t>
            </w:r>
          </w:p>
        </w:tc>
        <w:tc>
          <w:tcPr>
            <w:tcW w:w="1409" w:type="dxa"/>
          </w:tcPr>
          <w:p>
            <w:pPr>
              <w:pStyle w:val="TableParagraph"/>
              <w:spacing w:line="198" w:lineRule="exact"/>
              <w:ind w:left="56" w:right="52"/>
              <w:jc w:val="center"/>
              <w:rPr>
                <w:sz w:val="18"/>
              </w:rPr>
            </w:pPr>
            <w:r>
              <w:rPr>
                <w:spacing w:val="-2"/>
                <w:sz w:val="18"/>
              </w:rPr>
              <w:t>-0.162642</w:t>
            </w:r>
          </w:p>
        </w:tc>
        <w:tc>
          <w:tcPr>
            <w:tcW w:w="1439" w:type="dxa"/>
          </w:tcPr>
          <w:p>
            <w:pPr>
              <w:pStyle w:val="TableParagraph"/>
              <w:spacing w:line="198" w:lineRule="exact"/>
              <w:ind w:left="44" w:right="48"/>
              <w:jc w:val="center"/>
              <w:rPr>
                <w:sz w:val="18"/>
              </w:rPr>
            </w:pPr>
            <w:r>
              <w:rPr>
                <w:spacing w:val="-2"/>
                <w:sz w:val="18"/>
              </w:rPr>
              <w:t>-0.069599</w:t>
            </w:r>
          </w:p>
        </w:tc>
        <w:tc>
          <w:tcPr>
            <w:tcW w:w="1409" w:type="dxa"/>
          </w:tcPr>
          <w:p>
            <w:pPr>
              <w:pStyle w:val="TableParagraph"/>
              <w:spacing w:line="198" w:lineRule="exact"/>
              <w:ind w:left="56" w:right="75"/>
              <w:jc w:val="center"/>
              <w:rPr>
                <w:sz w:val="18"/>
              </w:rPr>
            </w:pPr>
            <w:r>
              <w:rPr>
                <w:spacing w:val="-2"/>
                <w:sz w:val="18"/>
              </w:rPr>
              <w:t>-0.011128</w:t>
            </w:r>
          </w:p>
        </w:tc>
        <w:tc>
          <w:tcPr>
            <w:tcW w:w="1418" w:type="dxa"/>
          </w:tcPr>
          <w:p>
            <w:pPr>
              <w:pStyle w:val="TableParagraph"/>
              <w:spacing w:line="198" w:lineRule="exact"/>
              <w:ind w:left="43" w:right="52"/>
              <w:jc w:val="center"/>
              <w:rPr>
                <w:sz w:val="18"/>
              </w:rPr>
            </w:pPr>
            <w:r>
              <w:rPr>
                <w:spacing w:val="-2"/>
                <w:sz w:val="18"/>
              </w:rPr>
              <w:t>-0.247965</w:t>
            </w:r>
          </w:p>
        </w:tc>
        <w:tc>
          <w:tcPr>
            <w:tcW w:w="1417" w:type="dxa"/>
          </w:tcPr>
          <w:p>
            <w:pPr>
              <w:pStyle w:val="TableParagraph"/>
              <w:spacing w:line="198" w:lineRule="exact"/>
              <w:ind w:left="35" w:right="47"/>
              <w:jc w:val="center"/>
              <w:rPr>
                <w:sz w:val="18"/>
              </w:rPr>
            </w:pPr>
            <w:r>
              <w:rPr>
                <w:spacing w:val="-2"/>
                <w:sz w:val="18"/>
              </w:rPr>
              <w:t>-0.001777</w:t>
            </w:r>
          </w:p>
        </w:tc>
      </w:tr>
      <w:tr>
        <w:trPr>
          <w:trHeight w:val="224" w:hRule="atLeast"/>
        </w:trPr>
        <w:tc>
          <w:tcPr>
            <w:tcW w:w="1467" w:type="dxa"/>
          </w:tcPr>
          <w:p>
            <w:pPr>
              <w:pStyle w:val="TableParagraph"/>
              <w:spacing w:before="5"/>
              <w:ind w:left="2" w:right="81"/>
              <w:jc w:val="center"/>
              <w:rPr>
                <w:sz w:val="18"/>
              </w:rPr>
            </w:pPr>
            <w:r>
              <w:rPr>
                <w:spacing w:val="-2"/>
                <w:sz w:val="18"/>
              </w:rPr>
              <w:t>D(INT)</w:t>
            </w:r>
          </w:p>
        </w:tc>
        <w:tc>
          <w:tcPr>
            <w:tcW w:w="1266" w:type="dxa"/>
          </w:tcPr>
          <w:p>
            <w:pPr>
              <w:pStyle w:val="TableParagraph"/>
              <w:spacing w:before="5"/>
              <w:ind w:right="236"/>
              <w:jc w:val="right"/>
              <w:rPr>
                <w:sz w:val="18"/>
              </w:rPr>
            </w:pPr>
            <w:r>
              <w:rPr>
                <w:spacing w:val="-2"/>
                <w:sz w:val="18"/>
              </w:rPr>
              <w:t>0.368497</w:t>
            </w:r>
          </w:p>
        </w:tc>
        <w:tc>
          <w:tcPr>
            <w:tcW w:w="1561" w:type="dxa"/>
          </w:tcPr>
          <w:p>
            <w:pPr>
              <w:pStyle w:val="TableParagraph"/>
              <w:spacing w:before="5"/>
              <w:ind w:left="51" w:right="4"/>
              <w:jc w:val="center"/>
              <w:rPr>
                <w:sz w:val="18"/>
              </w:rPr>
            </w:pPr>
            <w:r>
              <w:rPr>
                <w:spacing w:val="-2"/>
                <w:sz w:val="18"/>
              </w:rPr>
              <w:t>1.048098</w:t>
            </w:r>
          </w:p>
        </w:tc>
        <w:tc>
          <w:tcPr>
            <w:tcW w:w="1350" w:type="dxa"/>
          </w:tcPr>
          <w:p>
            <w:pPr>
              <w:pStyle w:val="TableParagraph"/>
              <w:spacing w:before="5"/>
              <w:ind w:left="1" w:right="74"/>
              <w:jc w:val="center"/>
              <w:rPr>
                <w:sz w:val="18"/>
              </w:rPr>
            </w:pPr>
            <w:r>
              <w:rPr>
                <w:spacing w:val="-2"/>
                <w:sz w:val="18"/>
              </w:rPr>
              <w:t>-0.323427</w:t>
            </w:r>
          </w:p>
        </w:tc>
        <w:tc>
          <w:tcPr>
            <w:tcW w:w="1415" w:type="dxa"/>
          </w:tcPr>
          <w:p>
            <w:pPr>
              <w:pStyle w:val="TableParagraph"/>
              <w:spacing w:before="5"/>
              <w:ind w:left="52" w:right="6"/>
              <w:jc w:val="center"/>
              <w:rPr>
                <w:sz w:val="18"/>
              </w:rPr>
            </w:pPr>
            <w:r>
              <w:rPr>
                <w:spacing w:val="-2"/>
                <w:sz w:val="18"/>
              </w:rPr>
              <w:t>0.249444</w:t>
            </w:r>
          </w:p>
        </w:tc>
        <w:tc>
          <w:tcPr>
            <w:tcW w:w="1409" w:type="dxa"/>
          </w:tcPr>
          <w:p>
            <w:pPr>
              <w:pStyle w:val="TableParagraph"/>
              <w:spacing w:before="5"/>
              <w:ind w:left="74" w:right="19"/>
              <w:jc w:val="center"/>
              <w:rPr>
                <w:sz w:val="18"/>
              </w:rPr>
            </w:pPr>
            <w:r>
              <w:rPr>
                <w:spacing w:val="-2"/>
                <w:sz w:val="18"/>
              </w:rPr>
              <w:t>0.667968</w:t>
            </w:r>
          </w:p>
        </w:tc>
        <w:tc>
          <w:tcPr>
            <w:tcW w:w="1439" w:type="dxa"/>
          </w:tcPr>
          <w:p>
            <w:pPr>
              <w:pStyle w:val="TableParagraph"/>
              <w:spacing w:before="5"/>
              <w:ind w:left="50" w:right="7"/>
              <w:jc w:val="center"/>
              <w:rPr>
                <w:sz w:val="18"/>
              </w:rPr>
            </w:pPr>
            <w:r>
              <w:rPr>
                <w:spacing w:val="-2"/>
                <w:sz w:val="18"/>
              </w:rPr>
              <w:t>1.838900</w:t>
            </w:r>
          </w:p>
        </w:tc>
        <w:tc>
          <w:tcPr>
            <w:tcW w:w="1409" w:type="dxa"/>
          </w:tcPr>
          <w:p>
            <w:pPr>
              <w:pStyle w:val="TableParagraph"/>
              <w:spacing w:before="5"/>
              <w:ind w:left="56" w:right="75"/>
              <w:jc w:val="center"/>
              <w:rPr>
                <w:sz w:val="18"/>
              </w:rPr>
            </w:pPr>
            <w:r>
              <w:rPr>
                <w:spacing w:val="-2"/>
                <w:sz w:val="18"/>
              </w:rPr>
              <w:t>-0.277342</w:t>
            </w:r>
          </w:p>
        </w:tc>
        <w:tc>
          <w:tcPr>
            <w:tcW w:w="1418" w:type="dxa"/>
          </w:tcPr>
          <w:p>
            <w:pPr>
              <w:pStyle w:val="TableParagraph"/>
              <w:spacing w:before="5"/>
              <w:ind w:left="43" w:right="52"/>
              <w:jc w:val="center"/>
              <w:rPr>
                <w:sz w:val="18"/>
              </w:rPr>
            </w:pPr>
            <w:r>
              <w:rPr>
                <w:spacing w:val="-2"/>
                <w:sz w:val="18"/>
              </w:rPr>
              <w:t>-0.885937</w:t>
            </w:r>
          </w:p>
        </w:tc>
        <w:tc>
          <w:tcPr>
            <w:tcW w:w="1417" w:type="dxa"/>
          </w:tcPr>
          <w:p>
            <w:pPr>
              <w:pStyle w:val="TableParagraph"/>
              <w:spacing w:before="5"/>
              <w:ind w:left="47" w:right="12"/>
              <w:jc w:val="center"/>
              <w:rPr>
                <w:sz w:val="18"/>
              </w:rPr>
            </w:pPr>
            <w:r>
              <w:rPr>
                <w:spacing w:val="-2"/>
                <w:sz w:val="18"/>
              </w:rPr>
              <w:t>0.007128</w:t>
            </w:r>
          </w:p>
        </w:tc>
      </w:tr>
      <w:tr>
        <w:trPr>
          <w:trHeight w:val="303" w:hRule="atLeast"/>
        </w:trPr>
        <w:tc>
          <w:tcPr>
            <w:tcW w:w="1467" w:type="dxa"/>
            <w:tcBorders>
              <w:bottom w:val="double" w:sz="6" w:space="0" w:color="000000"/>
            </w:tcBorders>
          </w:tcPr>
          <w:p>
            <w:pPr>
              <w:pStyle w:val="TableParagraph"/>
              <w:spacing w:line="240" w:lineRule="auto"/>
              <w:ind w:right="81"/>
              <w:jc w:val="center"/>
              <w:rPr>
                <w:sz w:val="18"/>
              </w:rPr>
            </w:pPr>
            <w:r>
              <w:rPr>
                <w:spacing w:val="-2"/>
                <w:sz w:val="18"/>
              </w:rPr>
              <w:t>D(EXCH)</w:t>
            </w:r>
          </w:p>
        </w:tc>
        <w:tc>
          <w:tcPr>
            <w:tcW w:w="1266" w:type="dxa"/>
            <w:tcBorders>
              <w:bottom w:val="double" w:sz="6" w:space="0" w:color="000000"/>
            </w:tcBorders>
          </w:tcPr>
          <w:p>
            <w:pPr>
              <w:pStyle w:val="TableParagraph"/>
              <w:spacing w:line="240" w:lineRule="auto"/>
              <w:ind w:right="236"/>
              <w:jc w:val="right"/>
              <w:rPr>
                <w:sz w:val="18"/>
              </w:rPr>
            </w:pPr>
            <w:r>
              <w:rPr>
                <w:spacing w:val="-2"/>
                <w:sz w:val="18"/>
              </w:rPr>
              <w:t>5.888570</w:t>
            </w:r>
          </w:p>
        </w:tc>
        <w:tc>
          <w:tcPr>
            <w:tcW w:w="1561" w:type="dxa"/>
            <w:tcBorders>
              <w:bottom w:val="double" w:sz="6" w:space="0" w:color="000000"/>
            </w:tcBorders>
          </w:tcPr>
          <w:p>
            <w:pPr>
              <w:pStyle w:val="TableParagraph"/>
              <w:spacing w:line="240" w:lineRule="auto"/>
              <w:ind w:left="51" w:right="4"/>
              <w:jc w:val="center"/>
              <w:rPr>
                <w:sz w:val="18"/>
              </w:rPr>
            </w:pPr>
            <w:r>
              <w:rPr>
                <w:spacing w:val="-2"/>
                <w:sz w:val="18"/>
              </w:rPr>
              <w:t>6.539228</w:t>
            </w:r>
          </w:p>
        </w:tc>
        <w:tc>
          <w:tcPr>
            <w:tcW w:w="1350" w:type="dxa"/>
            <w:tcBorders>
              <w:bottom w:val="double" w:sz="6" w:space="0" w:color="000000"/>
            </w:tcBorders>
          </w:tcPr>
          <w:p>
            <w:pPr>
              <w:pStyle w:val="TableParagraph"/>
              <w:spacing w:line="240" w:lineRule="auto"/>
              <w:ind w:left="51" w:right="74"/>
              <w:jc w:val="center"/>
              <w:rPr>
                <w:sz w:val="18"/>
              </w:rPr>
            </w:pPr>
            <w:r>
              <w:rPr>
                <w:spacing w:val="-2"/>
                <w:sz w:val="18"/>
              </w:rPr>
              <w:t>4.378392</w:t>
            </w:r>
          </w:p>
        </w:tc>
        <w:tc>
          <w:tcPr>
            <w:tcW w:w="1415" w:type="dxa"/>
            <w:tcBorders>
              <w:bottom w:val="double" w:sz="6" w:space="0" w:color="000000"/>
            </w:tcBorders>
          </w:tcPr>
          <w:p>
            <w:pPr>
              <w:pStyle w:val="TableParagraph"/>
              <w:spacing w:line="240" w:lineRule="auto"/>
              <w:ind w:left="52" w:right="6"/>
              <w:jc w:val="center"/>
              <w:rPr>
                <w:sz w:val="18"/>
              </w:rPr>
            </w:pPr>
            <w:r>
              <w:rPr>
                <w:spacing w:val="-2"/>
                <w:sz w:val="18"/>
              </w:rPr>
              <w:t>3.222453</w:t>
            </w:r>
          </w:p>
        </w:tc>
        <w:tc>
          <w:tcPr>
            <w:tcW w:w="1409" w:type="dxa"/>
            <w:tcBorders>
              <w:bottom w:val="double" w:sz="6" w:space="0" w:color="000000"/>
            </w:tcBorders>
          </w:tcPr>
          <w:p>
            <w:pPr>
              <w:pStyle w:val="TableParagraph"/>
              <w:spacing w:line="240" w:lineRule="auto"/>
              <w:ind w:left="56" w:right="52"/>
              <w:jc w:val="center"/>
              <w:rPr>
                <w:sz w:val="18"/>
              </w:rPr>
            </w:pPr>
            <w:r>
              <w:rPr>
                <w:spacing w:val="-2"/>
                <w:sz w:val="18"/>
              </w:rPr>
              <w:t>-3.571271</w:t>
            </w:r>
          </w:p>
        </w:tc>
        <w:tc>
          <w:tcPr>
            <w:tcW w:w="1439" w:type="dxa"/>
            <w:tcBorders>
              <w:bottom w:val="double" w:sz="6" w:space="0" w:color="000000"/>
            </w:tcBorders>
          </w:tcPr>
          <w:p>
            <w:pPr>
              <w:pStyle w:val="TableParagraph"/>
              <w:spacing w:line="240" w:lineRule="auto"/>
              <w:ind w:left="44" w:right="48"/>
              <w:jc w:val="center"/>
              <w:rPr>
                <w:sz w:val="18"/>
              </w:rPr>
            </w:pPr>
            <w:r>
              <w:rPr>
                <w:spacing w:val="-2"/>
                <w:sz w:val="18"/>
              </w:rPr>
              <w:t>-2.439717</w:t>
            </w:r>
          </w:p>
        </w:tc>
        <w:tc>
          <w:tcPr>
            <w:tcW w:w="1409" w:type="dxa"/>
            <w:tcBorders>
              <w:bottom w:val="double" w:sz="6" w:space="0" w:color="000000"/>
            </w:tcBorders>
          </w:tcPr>
          <w:p>
            <w:pPr>
              <w:pStyle w:val="TableParagraph"/>
              <w:spacing w:line="240" w:lineRule="auto"/>
              <w:ind w:left="56" w:right="27"/>
              <w:jc w:val="center"/>
              <w:rPr>
                <w:sz w:val="18"/>
              </w:rPr>
            </w:pPr>
            <w:r>
              <w:rPr>
                <w:spacing w:val="-2"/>
                <w:sz w:val="18"/>
              </w:rPr>
              <w:t>2.527624</w:t>
            </w:r>
          </w:p>
        </w:tc>
        <w:tc>
          <w:tcPr>
            <w:tcW w:w="1418" w:type="dxa"/>
            <w:tcBorders>
              <w:bottom w:val="double" w:sz="6" w:space="0" w:color="000000"/>
            </w:tcBorders>
          </w:tcPr>
          <w:p>
            <w:pPr>
              <w:pStyle w:val="TableParagraph"/>
              <w:spacing w:line="240" w:lineRule="auto"/>
              <w:ind w:left="43" w:right="52"/>
              <w:jc w:val="center"/>
              <w:rPr>
                <w:sz w:val="18"/>
              </w:rPr>
            </w:pPr>
            <w:r>
              <w:rPr>
                <w:spacing w:val="-2"/>
                <w:sz w:val="18"/>
              </w:rPr>
              <w:t>-3.484372</w:t>
            </w:r>
          </w:p>
        </w:tc>
        <w:tc>
          <w:tcPr>
            <w:tcW w:w="1417" w:type="dxa"/>
            <w:tcBorders>
              <w:bottom w:val="double" w:sz="6" w:space="0" w:color="000000"/>
            </w:tcBorders>
          </w:tcPr>
          <w:p>
            <w:pPr>
              <w:pStyle w:val="TableParagraph"/>
              <w:spacing w:line="240" w:lineRule="auto"/>
              <w:ind w:left="47" w:right="12"/>
              <w:jc w:val="center"/>
              <w:rPr>
                <w:sz w:val="18"/>
              </w:rPr>
            </w:pPr>
            <w:r>
              <w:rPr>
                <w:spacing w:val="-2"/>
                <w:sz w:val="18"/>
              </w:rPr>
              <w:t>0.083339</w:t>
            </w:r>
          </w:p>
        </w:tc>
      </w:tr>
      <w:tr>
        <w:trPr>
          <w:trHeight w:val="630" w:hRule="atLeast"/>
        </w:trPr>
        <w:tc>
          <w:tcPr>
            <w:tcW w:w="2733" w:type="dxa"/>
            <w:gridSpan w:val="2"/>
            <w:tcBorders>
              <w:top w:val="double" w:sz="6" w:space="0" w:color="000000"/>
              <w:bottom w:val="double" w:sz="6" w:space="0" w:color="000000"/>
            </w:tcBorders>
          </w:tcPr>
          <w:p>
            <w:pPr>
              <w:pStyle w:val="TableParagraph"/>
              <w:spacing w:line="240" w:lineRule="auto" w:before="125"/>
              <w:rPr>
                <w:rFonts w:ascii="Times New Roman"/>
                <w:b/>
                <w:sz w:val="18"/>
              </w:rPr>
            </w:pPr>
          </w:p>
          <w:p>
            <w:pPr>
              <w:pStyle w:val="TableParagraph"/>
              <w:spacing w:line="240" w:lineRule="auto" w:before="0"/>
              <w:rPr>
                <w:sz w:val="18"/>
              </w:rPr>
            </w:pPr>
            <w:r>
              <w:rPr>
                <w:sz w:val="18"/>
              </w:rPr>
              <w:t>1</w:t>
            </w:r>
            <w:r>
              <w:rPr>
                <w:spacing w:val="-5"/>
                <w:sz w:val="18"/>
              </w:rPr>
              <w:t> </w:t>
            </w:r>
            <w:r>
              <w:rPr>
                <w:sz w:val="18"/>
              </w:rPr>
              <w:t>Cointegrating</w:t>
            </w:r>
            <w:r>
              <w:rPr>
                <w:spacing w:val="-5"/>
                <w:sz w:val="18"/>
              </w:rPr>
              <w:t> </w:t>
            </w:r>
            <w:r>
              <w:rPr>
                <w:spacing w:val="-2"/>
                <w:sz w:val="18"/>
              </w:rPr>
              <w:t>Equation(s):</w:t>
            </w:r>
          </w:p>
        </w:tc>
        <w:tc>
          <w:tcPr>
            <w:tcW w:w="1561" w:type="dxa"/>
            <w:tcBorders>
              <w:top w:val="double" w:sz="6" w:space="0" w:color="000000"/>
              <w:bottom w:val="double" w:sz="6" w:space="0" w:color="000000"/>
            </w:tcBorders>
          </w:tcPr>
          <w:p>
            <w:pPr>
              <w:pStyle w:val="TableParagraph"/>
              <w:spacing w:line="240" w:lineRule="auto" w:before="125"/>
              <w:rPr>
                <w:rFonts w:ascii="Times New Roman"/>
                <w:b/>
                <w:sz w:val="18"/>
              </w:rPr>
            </w:pPr>
          </w:p>
          <w:p>
            <w:pPr>
              <w:pStyle w:val="TableParagraph"/>
              <w:spacing w:line="240" w:lineRule="auto" w:before="0"/>
              <w:ind w:left="48" w:right="51"/>
              <w:jc w:val="center"/>
              <w:rPr>
                <w:sz w:val="18"/>
              </w:rPr>
            </w:pPr>
            <w:r>
              <w:rPr>
                <w:sz w:val="18"/>
              </w:rPr>
              <w:t>Log</w:t>
            </w:r>
            <w:r>
              <w:rPr>
                <w:spacing w:val="-3"/>
                <w:sz w:val="18"/>
              </w:rPr>
              <w:t> </w:t>
            </w:r>
            <w:r>
              <w:rPr>
                <w:spacing w:val="-2"/>
                <w:sz w:val="18"/>
              </w:rPr>
              <w:t>likelihood</w:t>
            </w:r>
          </w:p>
        </w:tc>
        <w:tc>
          <w:tcPr>
            <w:tcW w:w="1350" w:type="dxa"/>
            <w:tcBorders>
              <w:top w:val="double" w:sz="6" w:space="0" w:color="000000"/>
              <w:bottom w:val="double" w:sz="6" w:space="0" w:color="000000"/>
            </w:tcBorders>
          </w:tcPr>
          <w:p>
            <w:pPr>
              <w:pStyle w:val="TableParagraph"/>
              <w:spacing w:line="240" w:lineRule="auto" w:before="125"/>
              <w:rPr>
                <w:rFonts w:ascii="Times New Roman"/>
                <w:b/>
                <w:sz w:val="18"/>
              </w:rPr>
            </w:pPr>
          </w:p>
          <w:p>
            <w:pPr>
              <w:pStyle w:val="TableParagraph"/>
              <w:spacing w:line="240" w:lineRule="auto" w:before="0"/>
              <w:ind w:right="74"/>
              <w:jc w:val="center"/>
              <w:rPr>
                <w:sz w:val="18"/>
              </w:rPr>
            </w:pPr>
            <w:r>
              <w:rPr>
                <w:spacing w:val="-2"/>
                <w:sz w:val="18"/>
              </w:rPr>
              <w:t>-1476.594</w:t>
            </w:r>
          </w:p>
        </w:tc>
        <w:tc>
          <w:tcPr>
            <w:tcW w:w="1415"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09"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39"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09"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18"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17" w:type="dxa"/>
            <w:tcBorders>
              <w:top w:val="double" w:sz="6" w:space="0" w:color="000000"/>
              <w:bottom w:val="double" w:sz="6" w:space="0" w:color="000000"/>
            </w:tcBorders>
          </w:tcPr>
          <w:p>
            <w:pPr>
              <w:pStyle w:val="TableParagraph"/>
              <w:spacing w:line="240" w:lineRule="auto" w:before="0"/>
              <w:rPr>
                <w:rFonts w:ascii="Times New Roman"/>
                <w:sz w:val="18"/>
              </w:rPr>
            </w:pPr>
          </w:p>
        </w:tc>
      </w:tr>
      <w:tr>
        <w:trPr>
          <w:trHeight w:val="327" w:hRule="atLeast"/>
        </w:trPr>
        <w:tc>
          <w:tcPr>
            <w:tcW w:w="5644" w:type="dxa"/>
            <w:gridSpan w:val="4"/>
            <w:tcBorders>
              <w:top w:val="double" w:sz="6" w:space="0" w:color="000000"/>
            </w:tcBorders>
          </w:tcPr>
          <w:p>
            <w:pPr>
              <w:pStyle w:val="TableParagraph"/>
              <w:spacing w:before="108"/>
              <w:rPr>
                <w:sz w:val="18"/>
              </w:rPr>
            </w:pPr>
            <w:r>
              <w:rPr>
                <w:sz w:val="18"/>
              </w:rPr>
              <w:t>Normalized</w:t>
            </w:r>
            <w:r>
              <w:rPr>
                <w:spacing w:val="-11"/>
                <w:sz w:val="18"/>
              </w:rPr>
              <w:t> </w:t>
            </w:r>
            <w:r>
              <w:rPr>
                <w:sz w:val="18"/>
              </w:rPr>
              <w:t>cointegrating</w:t>
            </w:r>
            <w:r>
              <w:rPr>
                <w:spacing w:val="-12"/>
                <w:sz w:val="18"/>
              </w:rPr>
              <w:t> </w:t>
            </w:r>
            <w:r>
              <w:rPr>
                <w:sz w:val="18"/>
              </w:rPr>
              <w:t>coefficients</w:t>
            </w:r>
            <w:r>
              <w:rPr>
                <w:spacing w:val="-12"/>
                <w:sz w:val="18"/>
              </w:rPr>
              <w:t> </w:t>
            </w:r>
            <w:r>
              <w:rPr>
                <w:sz w:val="18"/>
              </w:rPr>
              <w:t>(standard</w:t>
            </w:r>
            <w:r>
              <w:rPr>
                <w:spacing w:val="-10"/>
                <w:sz w:val="18"/>
              </w:rPr>
              <w:t> </w:t>
            </w:r>
            <w:r>
              <w:rPr>
                <w:sz w:val="18"/>
              </w:rPr>
              <w:t>error</w:t>
            </w:r>
            <w:r>
              <w:rPr>
                <w:spacing w:val="-13"/>
                <w:sz w:val="18"/>
              </w:rPr>
              <w:t> </w:t>
            </w:r>
            <w:r>
              <w:rPr>
                <w:sz w:val="18"/>
              </w:rPr>
              <w:t>in</w:t>
            </w:r>
            <w:r>
              <w:rPr>
                <w:spacing w:val="-12"/>
                <w:sz w:val="18"/>
              </w:rPr>
              <w:t> </w:t>
            </w:r>
            <w:r>
              <w:rPr>
                <w:spacing w:val="-2"/>
                <w:sz w:val="18"/>
              </w:rPr>
              <w:t>parentheses)</w:t>
            </w:r>
          </w:p>
        </w:tc>
        <w:tc>
          <w:tcPr>
            <w:tcW w:w="1415" w:type="dxa"/>
            <w:tcBorders>
              <w:top w:val="double" w:sz="6" w:space="0" w:color="000000"/>
            </w:tcBorders>
          </w:tcPr>
          <w:p>
            <w:pPr>
              <w:pStyle w:val="TableParagraph"/>
              <w:spacing w:line="240" w:lineRule="auto" w:before="0"/>
              <w:rPr>
                <w:rFonts w:ascii="Times New Roman"/>
                <w:sz w:val="18"/>
              </w:rPr>
            </w:pPr>
          </w:p>
        </w:tc>
        <w:tc>
          <w:tcPr>
            <w:tcW w:w="1409" w:type="dxa"/>
            <w:tcBorders>
              <w:top w:val="double" w:sz="6" w:space="0" w:color="000000"/>
            </w:tcBorders>
          </w:tcPr>
          <w:p>
            <w:pPr>
              <w:pStyle w:val="TableParagraph"/>
              <w:spacing w:line="240" w:lineRule="auto" w:before="0"/>
              <w:rPr>
                <w:rFonts w:ascii="Times New Roman"/>
                <w:sz w:val="18"/>
              </w:rPr>
            </w:pPr>
          </w:p>
        </w:tc>
        <w:tc>
          <w:tcPr>
            <w:tcW w:w="1439" w:type="dxa"/>
            <w:tcBorders>
              <w:top w:val="double" w:sz="6" w:space="0" w:color="000000"/>
            </w:tcBorders>
          </w:tcPr>
          <w:p>
            <w:pPr>
              <w:pStyle w:val="TableParagraph"/>
              <w:spacing w:line="240" w:lineRule="auto" w:before="0"/>
              <w:rPr>
                <w:rFonts w:ascii="Times New Roman"/>
                <w:sz w:val="18"/>
              </w:rPr>
            </w:pPr>
          </w:p>
        </w:tc>
        <w:tc>
          <w:tcPr>
            <w:tcW w:w="1409" w:type="dxa"/>
            <w:tcBorders>
              <w:top w:val="double" w:sz="6" w:space="0" w:color="000000"/>
            </w:tcBorders>
          </w:tcPr>
          <w:p>
            <w:pPr>
              <w:pStyle w:val="TableParagraph"/>
              <w:spacing w:line="240" w:lineRule="auto" w:before="0"/>
              <w:rPr>
                <w:rFonts w:ascii="Times New Roman"/>
                <w:sz w:val="18"/>
              </w:rPr>
            </w:pPr>
          </w:p>
        </w:tc>
        <w:tc>
          <w:tcPr>
            <w:tcW w:w="1418" w:type="dxa"/>
            <w:tcBorders>
              <w:top w:val="double" w:sz="6" w:space="0" w:color="000000"/>
            </w:tcBorders>
          </w:tcPr>
          <w:p>
            <w:pPr>
              <w:pStyle w:val="TableParagraph"/>
              <w:spacing w:line="240" w:lineRule="auto" w:before="0"/>
              <w:rPr>
                <w:rFonts w:ascii="Times New Roman"/>
                <w:sz w:val="18"/>
              </w:rPr>
            </w:pPr>
          </w:p>
        </w:tc>
        <w:tc>
          <w:tcPr>
            <w:tcW w:w="1417" w:type="dxa"/>
            <w:tcBorders>
              <w:top w:val="double" w:sz="6" w:space="0" w:color="000000"/>
            </w:tcBorders>
          </w:tcPr>
          <w:p>
            <w:pPr>
              <w:pStyle w:val="TableParagraph"/>
              <w:spacing w:line="240" w:lineRule="auto" w:before="0"/>
              <w:rPr>
                <w:rFonts w:ascii="Times New Roman"/>
                <w:sz w:val="18"/>
              </w:rPr>
            </w:pPr>
          </w:p>
        </w:tc>
      </w:tr>
      <w:tr>
        <w:trPr>
          <w:trHeight w:val="224" w:hRule="atLeast"/>
        </w:trPr>
        <w:tc>
          <w:tcPr>
            <w:tcW w:w="1467" w:type="dxa"/>
          </w:tcPr>
          <w:p>
            <w:pPr>
              <w:pStyle w:val="TableParagraph"/>
              <w:spacing w:line="198" w:lineRule="exact"/>
              <w:ind w:right="81"/>
              <w:jc w:val="center"/>
              <w:rPr>
                <w:sz w:val="18"/>
              </w:rPr>
            </w:pPr>
            <w:r>
              <w:rPr>
                <w:spacing w:val="-4"/>
                <w:sz w:val="18"/>
              </w:rPr>
              <w:t>RGDP</w:t>
            </w:r>
          </w:p>
        </w:tc>
        <w:tc>
          <w:tcPr>
            <w:tcW w:w="1266" w:type="dxa"/>
          </w:tcPr>
          <w:p>
            <w:pPr>
              <w:pStyle w:val="TableParagraph"/>
              <w:spacing w:line="198" w:lineRule="exact"/>
              <w:ind w:left="38" w:right="47"/>
              <w:jc w:val="center"/>
              <w:rPr>
                <w:sz w:val="18"/>
              </w:rPr>
            </w:pPr>
            <w:r>
              <w:rPr>
                <w:spacing w:val="-5"/>
                <w:sz w:val="18"/>
              </w:rPr>
              <w:t>FDI</w:t>
            </w:r>
          </w:p>
        </w:tc>
        <w:tc>
          <w:tcPr>
            <w:tcW w:w="1561" w:type="dxa"/>
          </w:tcPr>
          <w:p>
            <w:pPr>
              <w:pStyle w:val="TableParagraph"/>
              <w:spacing w:line="198" w:lineRule="exact"/>
              <w:ind w:left="48" w:right="52"/>
              <w:jc w:val="center"/>
              <w:rPr>
                <w:sz w:val="18"/>
              </w:rPr>
            </w:pPr>
            <w:r>
              <w:rPr>
                <w:spacing w:val="-5"/>
                <w:sz w:val="18"/>
              </w:rPr>
              <w:t>FPI</w:t>
            </w:r>
          </w:p>
        </w:tc>
        <w:tc>
          <w:tcPr>
            <w:tcW w:w="1350" w:type="dxa"/>
          </w:tcPr>
          <w:p>
            <w:pPr>
              <w:pStyle w:val="TableParagraph"/>
              <w:spacing w:line="198" w:lineRule="exact"/>
              <w:ind w:right="74"/>
              <w:jc w:val="center"/>
              <w:rPr>
                <w:sz w:val="18"/>
              </w:rPr>
            </w:pPr>
            <w:r>
              <w:rPr>
                <w:spacing w:val="-5"/>
                <w:sz w:val="18"/>
              </w:rPr>
              <w:t>TOP</w:t>
            </w:r>
          </w:p>
        </w:tc>
        <w:tc>
          <w:tcPr>
            <w:tcW w:w="1415" w:type="dxa"/>
          </w:tcPr>
          <w:p>
            <w:pPr>
              <w:pStyle w:val="TableParagraph"/>
              <w:spacing w:line="198" w:lineRule="exact"/>
              <w:ind w:left="46" w:right="52"/>
              <w:jc w:val="center"/>
              <w:rPr>
                <w:sz w:val="18"/>
              </w:rPr>
            </w:pPr>
            <w:r>
              <w:rPr>
                <w:spacing w:val="-5"/>
                <w:sz w:val="18"/>
              </w:rPr>
              <w:t>REM</w:t>
            </w:r>
          </w:p>
        </w:tc>
        <w:tc>
          <w:tcPr>
            <w:tcW w:w="1409" w:type="dxa"/>
          </w:tcPr>
          <w:p>
            <w:pPr>
              <w:pStyle w:val="TableParagraph"/>
              <w:spacing w:line="198" w:lineRule="exact"/>
              <w:ind w:left="56" w:right="52"/>
              <w:jc w:val="center"/>
              <w:rPr>
                <w:sz w:val="18"/>
              </w:rPr>
            </w:pPr>
            <w:r>
              <w:rPr>
                <w:spacing w:val="-5"/>
                <w:sz w:val="18"/>
              </w:rPr>
              <w:t>ODA</w:t>
            </w:r>
          </w:p>
        </w:tc>
        <w:tc>
          <w:tcPr>
            <w:tcW w:w="1439" w:type="dxa"/>
          </w:tcPr>
          <w:p>
            <w:pPr>
              <w:pStyle w:val="TableParagraph"/>
              <w:spacing w:line="198" w:lineRule="exact"/>
              <w:ind w:left="44" w:right="48"/>
              <w:jc w:val="center"/>
              <w:rPr>
                <w:sz w:val="18"/>
              </w:rPr>
            </w:pPr>
            <w:r>
              <w:rPr>
                <w:spacing w:val="-2"/>
                <w:sz w:val="18"/>
              </w:rPr>
              <w:t>CPS_GDP</w:t>
            </w:r>
          </w:p>
        </w:tc>
        <w:tc>
          <w:tcPr>
            <w:tcW w:w="1409" w:type="dxa"/>
          </w:tcPr>
          <w:p>
            <w:pPr>
              <w:pStyle w:val="TableParagraph"/>
              <w:spacing w:line="198" w:lineRule="exact"/>
              <w:ind w:left="56" w:right="74"/>
              <w:jc w:val="center"/>
              <w:rPr>
                <w:sz w:val="18"/>
              </w:rPr>
            </w:pPr>
            <w:r>
              <w:rPr>
                <w:spacing w:val="-5"/>
                <w:sz w:val="18"/>
              </w:rPr>
              <w:t>INT</w:t>
            </w:r>
          </w:p>
        </w:tc>
        <w:tc>
          <w:tcPr>
            <w:tcW w:w="1418" w:type="dxa"/>
          </w:tcPr>
          <w:p>
            <w:pPr>
              <w:pStyle w:val="TableParagraph"/>
              <w:spacing w:line="198" w:lineRule="exact"/>
              <w:ind w:left="43" w:right="52"/>
              <w:jc w:val="center"/>
              <w:rPr>
                <w:sz w:val="18"/>
              </w:rPr>
            </w:pPr>
            <w:r>
              <w:rPr>
                <w:spacing w:val="-4"/>
                <w:sz w:val="18"/>
              </w:rPr>
              <w:t>EXCH</w:t>
            </w:r>
          </w:p>
        </w:tc>
        <w:tc>
          <w:tcPr>
            <w:tcW w:w="1417"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before="5"/>
              <w:ind w:left="56" w:right="81"/>
              <w:jc w:val="center"/>
              <w:rPr>
                <w:sz w:val="18"/>
              </w:rPr>
            </w:pPr>
            <w:r>
              <w:rPr>
                <w:spacing w:val="-2"/>
                <w:sz w:val="18"/>
              </w:rPr>
              <w:t>1.000000</w:t>
            </w:r>
          </w:p>
        </w:tc>
        <w:tc>
          <w:tcPr>
            <w:tcW w:w="1266" w:type="dxa"/>
          </w:tcPr>
          <w:p>
            <w:pPr>
              <w:pStyle w:val="TableParagraph"/>
              <w:spacing w:before="5"/>
              <w:ind w:right="231"/>
              <w:jc w:val="right"/>
              <w:rPr>
                <w:sz w:val="18"/>
              </w:rPr>
            </w:pPr>
            <w:r>
              <w:rPr>
                <w:spacing w:val="-2"/>
                <w:sz w:val="18"/>
              </w:rPr>
              <w:t>-10.98098</w:t>
            </w:r>
          </w:p>
        </w:tc>
        <w:tc>
          <w:tcPr>
            <w:tcW w:w="1561" w:type="dxa"/>
          </w:tcPr>
          <w:p>
            <w:pPr>
              <w:pStyle w:val="TableParagraph"/>
              <w:spacing w:before="5"/>
              <w:ind w:left="51" w:right="4"/>
              <w:jc w:val="center"/>
              <w:rPr>
                <w:sz w:val="18"/>
              </w:rPr>
            </w:pPr>
            <w:r>
              <w:rPr>
                <w:spacing w:val="-2"/>
                <w:sz w:val="18"/>
              </w:rPr>
              <w:t>10380.01</w:t>
            </w:r>
          </w:p>
        </w:tc>
        <w:tc>
          <w:tcPr>
            <w:tcW w:w="1350" w:type="dxa"/>
          </w:tcPr>
          <w:p>
            <w:pPr>
              <w:pStyle w:val="TableParagraph"/>
              <w:spacing w:before="5"/>
              <w:ind w:left="51" w:right="74"/>
              <w:jc w:val="center"/>
              <w:rPr>
                <w:sz w:val="18"/>
              </w:rPr>
            </w:pPr>
            <w:r>
              <w:rPr>
                <w:spacing w:val="-2"/>
                <w:sz w:val="18"/>
              </w:rPr>
              <w:t>3813.078</w:t>
            </w:r>
          </w:p>
        </w:tc>
        <w:tc>
          <w:tcPr>
            <w:tcW w:w="1415" w:type="dxa"/>
          </w:tcPr>
          <w:p>
            <w:pPr>
              <w:pStyle w:val="TableParagraph"/>
              <w:spacing w:before="5"/>
              <w:ind w:left="46" w:right="48"/>
              <w:jc w:val="center"/>
              <w:rPr>
                <w:sz w:val="18"/>
              </w:rPr>
            </w:pPr>
            <w:r>
              <w:rPr>
                <w:spacing w:val="-2"/>
                <w:sz w:val="18"/>
              </w:rPr>
              <w:t>-61.91670</w:t>
            </w:r>
          </w:p>
        </w:tc>
        <w:tc>
          <w:tcPr>
            <w:tcW w:w="1409" w:type="dxa"/>
          </w:tcPr>
          <w:p>
            <w:pPr>
              <w:pStyle w:val="TableParagraph"/>
              <w:spacing w:before="5"/>
              <w:ind w:left="74" w:right="19"/>
              <w:jc w:val="center"/>
              <w:rPr>
                <w:sz w:val="18"/>
              </w:rPr>
            </w:pPr>
            <w:r>
              <w:rPr>
                <w:spacing w:val="-2"/>
                <w:sz w:val="18"/>
              </w:rPr>
              <w:t>72.06939</w:t>
            </w:r>
          </w:p>
        </w:tc>
        <w:tc>
          <w:tcPr>
            <w:tcW w:w="1439" w:type="dxa"/>
          </w:tcPr>
          <w:p>
            <w:pPr>
              <w:pStyle w:val="TableParagraph"/>
              <w:spacing w:before="5"/>
              <w:ind w:left="44" w:right="48"/>
              <w:jc w:val="center"/>
              <w:rPr>
                <w:sz w:val="18"/>
              </w:rPr>
            </w:pPr>
            <w:r>
              <w:rPr>
                <w:spacing w:val="-2"/>
                <w:sz w:val="18"/>
              </w:rPr>
              <w:t>-33621.83</w:t>
            </w:r>
          </w:p>
        </w:tc>
        <w:tc>
          <w:tcPr>
            <w:tcW w:w="1409" w:type="dxa"/>
          </w:tcPr>
          <w:p>
            <w:pPr>
              <w:pStyle w:val="TableParagraph"/>
              <w:spacing w:before="5"/>
              <w:ind w:left="56" w:right="27"/>
              <w:jc w:val="center"/>
              <w:rPr>
                <w:sz w:val="18"/>
              </w:rPr>
            </w:pPr>
            <w:r>
              <w:rPr>
                <w:spacing w:val="-2"/>
                <w:sz w:val="18"/>
              </w:rPr>
              <w:t>14205.95</w:t>
            </w:r>
          </w:p>
        </w:tc>
        <w:tc>
          <w:tcPr>
            <w:tcW w:w="1418" w:type="dxa"/>
          </w:tcPr>
          <w:p>
            <w:pPr>
              <w:pStyle w:val="TableParagraph"/>
              <w:spacing w:before="5"/>
              <w:ind w:left="43" w:right="52"/>
              <w:jc w:val="center"/>
              <w:rPr>
                <w:sz w:val="18"/>
              </w:rPr>
            </w:pPr>
            <w:r>
              <w:rPr>
                <w:spacing w:val="-2"/>
                <w:sz w:val="18"/>
              </w:rPr>
              <w:t>-12697.30</w:t>
            </w:r>
          </w:p>
        </w:tc>
        <w:tc>
          <w:tcPr>
            <w:tcW w:w="1417" w:type="dxa"/>
          </w:tcPr>
          <w:p>
            <w:pPr>
              <w:pStyle w:val="TableParagraph"/>
              <w:spacing w:line="240" w:lineRule="auto" w:before="0"/>
              <w:rPr>
                <w:rFonts w:ascii="Times New Roman"/>
                <w:sz w:val="16"/>
              </w:rPr>
            </w:pPr>
          </w:p>
        </w:tc>
      </w:tr>
      <w:tr>
        <w:trPr>
          <w:trHeight w:val="338" w:hRule="atLeast"/>
        </w:trPr>
        <w:tc>
          <w:tcPr>
            <w:tcW w:w="1467" w:type="dxa"/>
          </w:tcPr>
          <w:p>
            <w:pPr>
              <w:pStyle w:val="TableParagraph"/>
              <w:spacing w:line="240" w:lineRule="auto" w:before="0"/>
              <w:rPr>
                <w:rFonts w:ascii="Times New Roman"/>
                <w:sz w:val="18"/>
              </w:rPr>
            </w:pPr>
          </w:p>
        </w:tc>
        <w:tc>
          <w:tcPr>
            <w:tcW w:w="1266" w:type="dxa"/>
          </w:tcPr>
          <w:p>
            <w:pPr>
              <w:pStyle w:val="TableParagraph"/>
              <w:spacing w:line="240" w:lineRule="auto"/>
              <w:ind w:right="225"/>
              <w:jc w:val="right"/>
              <w:rPr>
                <w:sz w:val="18"/>
              </w:rPr>
            </w:pPr>
            <w:r>
              <w:rPr>
                <w:spacing w:val="-2"/>
                <w:sz w:val="18"/>
              </w:rPr>
              <w:t>(25.5986)</w:t>
            </w:r>
          </w:p>
        </w:tc>
        <w:tc>
          <w:tcPr>
            <w:tcW w:w="1561" w:type="dxa"/>
          </w:tcPr>
          <w:p>
            <w:pPr>
              <w:pStyle w:val="TableParagraph"/>
              <w:spacing w:line="240" w:lineRule="auto"/>
              <w:ind w:left="51" w:right="4"/>
              <w:jc w:val="center"/>
              <w:rPr>
                <w:sz w:val="18"/>
              </w:rPr>
            </w:pPr>
            <w:r>
              <w:rPr>
                <w:spacing w:val="-2"/>
                <w:sz w:val="18"/>
              </w:rPr>
              <w:t>(1076.32)</w:t>
            </w:r>
          </w:p>
        </w:tc>
        <w:tc>
          <w:tcPr>
            <w:tcW w:w="1350" w:type="dxa"/>
          </w:tcPr>
          <w:p>
            <w:pPr>
              <w:pStyle w:val="TableParagraph"/>
              <w:spacing w:line="240" w:lineRule="auto"/>
              <w:ind w:left="51" w:right="74"/>
              <w:jc w:val="center"/>
              <w:rPr>
                <w:sz w:val="18"/>
              </w:rPr>
            </w:pPr>
            <w:r>
              <w:rPr>
                <w:spacing w:val="-2"/>
                <w:sz w:val="18"/>
              </w:rPr>
              <w:t>(1132.53)</w:t>
            </w:r>
          </w:p>
        </w:tc>
        <w:tc>
          <w:tcPr>
            <w:tcW w:w="1415" w:type="dxa"/>
          </w:tcPr>
          <w:p>
            <w:pPr>
              <w:pStyle w:val="TableParagraph"/>
              <w:spacing w:line="240" w:lineRule="auto"/>
              <w:ind w:left="52" w:right="6"/>
              <w:jc w:val="center"/>
              <w:rPr>
                <w:sz w:val="18"/>
              </w:rPr>
            </w:pPr>
            <w:r>
              <w:rPr>
                <w:spacing w:val="-2"/>
                <w:sz w:val="18"/>
              </w:rPr>
              <w:t>(72.4509)</w:t>
            </w:r>
          </w:p>
        </w:tc>
        <w:tc>
          <w:tcPr>
            <w:tcW w:w="1409" w:type="dxa"/>
          </w:tcPr>
          <w:p>
            <w:pPr>
              <w:pStyle w:val="TableParagraph"/>
              <w:spacing w:line="240" w:lineRule="auto"/>
              <w:ind w:left="74" w:right="19"/>
              <w:jc w:val="center"/>
              <w:rPr>
                <w:sz w:val="18"/>
              </w:rPr>
            </w:pPr>
            <w:r>
              <w:rPr>
                <w:spacing w:val="-2"/>
                <w:sz w:val="18"/>
              </w:rPr>
              <w:t>(5.73609)</w:t>
            </w:r>
          </w:p>
        </w:tc>
        <w:tc>
          <w:tcPr>
            <w:tcW w:w="1439" w:type="dxa"/>
          </w:tcPr>
          <w:p>
            <w:pPr>
              <w:pStyle w:val="TableParagraph"/>
              <w:spacing w:line="240" w:lineRule="auto"/>
              <w:ind w:left="51" w:right="7"/>
              <w:jc w:val="center"/>
              <w:rPr>
                <w:sz w:val="18"/>
              </w:rPr>
            </w:pPr>
            <w:r>
              <w:rPr>
                <w:spacing w:val="-2"/>
                <w:sz w:val="18"/>
              </w:rPr>
              <w:t>(4503.11)</w:t>
            </w:r>
          </w:p>
        </w:tc>
        <w:tc>
          <w:tcPr>
            <w:tcW w:w="1409" w:type="dxa"/>
          </w:tcPr>
          <w:p>
            <w:pPr>
              <w:pStyle w:val="TableParagraph"/>
              <w:spacing w:line="240" w:lineRule="auto"/>
              <w:ind w:left="56" w:right="27"/>
              <w:jc w:val="center"/>
              <w:rPr>
                <w:sz w:val="18"/>
              </w:rPr>
            </w:pPr>
            <w:r>
              <w:rPr>
                <w:spacing w:val="-2"/>
                <w:sz w:val="18"/>
              </w:rPr>
              <w:t>(3174.34)</w:t>
            </w:r>
          </w:p>
        </w:tc>
        <w:tc>
          <w:tcPr>
            <w:tcW w:w="1418" w:type="dxa"/>
          </w:tcPr>
          <w:p>
            <w:pPr>
              <w:pStyle w:val="TableParagraph"/>
              <w:spacing w:line="240" w:lineRule="auto"/>
              <w:ind w:left="49" w:right="10"/>
              <w:jc w:val="center"/>
              <w:rPr>
                <w:sz w:val="18"/>
              </w:rPr>
            </w:pPr>
            <w:r>
              <w:rPr>
                <w:spacing w:val="-2"/>
                <w:sz w:val="18"/>
              </w:rPr>
              <w:t>(1154.73)</w:t>
            </w:r>
          </w:p>
        </w:tc>
        <w:tc>
          <w:tcPr>
            <w:tcW w:w="1417" w:type="dxa"/>
          </w:tcPr>
          <w:p>
            <w:pPr>
              <w:pStyle w:val="TableParagraph"/>
              <w:spacing w:line="240" w:lineRule="auto" w:before="0"/>
              <w:rPr>
                <w:rFonts w:ascii="Times New Roman"/>
                <w:sz w:val="18"/>
              </w:rPr>
            </w:pPr>
          </w:p>
        </w:tc>
      </w:tr>
      <w:tr>
        <w:trPr>
          <w:trHeight w:val="326" w:hRule="atLeast"/>
        </w:trPr>
        <w:tc>
          <w:tcPr>
            <w:tcW w:w="5644" w:type="dxa"/>
            <w:gridSpan w:val="4"/>
          </w:tcPr>
          <w:p>
            <w:pPr>
              <w:pStyle w:val="TableParagraph"/>
              <w:spacing w:line="187" w:lineRule="exact" w:before="119"/>
              <w:rPr>
                <w:sz w:val="18"/>
              </w:rPr>
            </w:pPr>
            <w:r>
              <w:rPr>
                <w:sz w:val="18"/>
              </w:rPr>
              <w:t>Adjustment</w:t>
            </w:r>
            <w:r>
              <w:rPr>
                <w:spacing w:val="-4"/>
                <w:sz w:val="18"/>
              </w:rPr>
              <w:t> </w:t>
            </w:r>
            <w:r>
              <w:rPr>
                <w:sz w:val="18"/>
              </w:rPr>
              <w:t>coefficients</w:t>
            </w:r>
            <w:r>
              <w:rPr>
                <w:spacing w:val="-3"/>
                <w:sz w:val="18"/>
              </w:rPr>
              <w:t> </w:t>
            </w:r>
            <w:r>
              <w:rPr>
                <w:sz w:val="18"/>
              </w:rPr>
              <w:t>(standard</w:t>
            </w:r>
            <w:r>
              <w:rPr>
                <w:spacing w:val="-4"/>
                <w:sz w:val="18"/>
              </w:rPr>
              <w:t> </w:t>
            </w:r>
            <w:r>
              <w:rPr>
                <w:sz w:val="18"/>
              </w:rPr>
              <w:t>error</w:t>
            </w:r>
            <w:r>
              <w:rPr>
                <w:spacing w:val="-6"/>
                <w:sz w:val="18"/>
              </w:rPr>
              <w:t> </w:t>
            </w:r>
            <w:r>
              <w:rPr>
                <w:sz w:val="18"/>
              </w:rPr>
              <w:t>in</w:t>
            </w:r>
            <w:r>
              <w:rPr>
                <w:spacing w:val="-5"/>
                <w:sz w:val="18"/>
              </w:rPr>
              <w:t> </w:t>
            </w:r>
            <w:r>
              <w:rPr>
                <w:spacing w:val="-2"/>
                <w:sz w:val="18"/>
              </w:rPr>
              <w:t>parentheses)</w:t>
            </w:r>
          </w:p>
        </w:tc>
        <w:tc>
          <w:tcPr>
            <w:tcW w:w="1415" w:type="dxa"/>
          </w:tcPr>
          <w:p>
            <w:pPr>
              <w:pStyle w:val="TableParagraph"/>
              <w:spacing w:line="240" w:lineRule="auto" w:before="0"/>
              <w:rPr>
                <w:rFonts w:ascii="Times New Roman"/>
                <w:sz w:val="18"/>
              </w:rPr>
            </w:pPr>
          </w:p>
        </w:tc>
        <w:tc>
          <w:tcPr>
            <w:tcW w:w="1409" w:type="dxa"/>
          </w:tcPr>
          <w:p>
            <w:pPr>
              <w:pStyle w:val="TableParagraph"/>
              <w:spacing w:line="240" w:lineRule="auto" w:before="0"/>
              <w:rPr>
                <w:rFonts w:ascii="Times New Roman"/>
                <w:sz w:val="18"/>
              </w:rPr>
            </w:pPr>
          </w:p>
        </w:tc>
        <w:tc>
          <w:tcPr>
            <w:tcW w:w="1439" w:type="dxa"/>
          </w:tcPr>
          <w:p>
            <w:pPr>
              <w:pStyle w:val="TableParagraph"/>
              <w:spacing w:line="240" w:lineRule="auto" w:before="0"/>
              <w:rPr>
                <w:rFonts w:ascii="Times New Roman"/>
                <w:sz w:val="18"/>
              </w:rPr>
            </w:pPr>
          </w:p>
        </w:tc>
        <w:tc>
          <w:tcPr>
            <w:tcW w:w="1409" w:type="dxa"/>
          </w:tcPr>
          <w:p>
            <w:pPr>
              <w:pStyle w:val="TableParagraph"/>
              <w:spacing w:line="240" w:lineRule="auto" w:before="0"/>
              <w:rPr>
                <w:rFonts w:ascii="Times New Roman"/>
                <w:sz w:val="18"/>
              </w:rPr>
            </w:pPr>
          </w:p>
        </w:tc>
        <w:tc>
          <w:tcPr>
            <w:tcW w:w="1418" w:type="dxa"/>
          </w:tcPr>
          <w:p>
            <w:pPr>
              <w:pStyle w:val="TableParagraph"/>
              <w:spacing w:line="240" w:lineRule="auto" w:before="0"/>
              <w:rPr>
                <w:rFonts w:ascii="Times New Roman"/>
                <w:sz w:val="18"/>
              </w:rPr>
            </w:pPr>
          </w:p>
        </w:tc>
        <w:tc>
          <w:tcPr>
            <w:tcW w:w="1417" w:type="dxa"/>
          </w:tcPr>
          <w:p>
            <w:pPr>
              <w:pStyle w:val="TableParagraph"/>
              <w:spacing w:line="240" w:lineRule="auto" w:before="0"/>
              <w:rPr>
                <w:rFonts w:ascii="Times New Roman"/>
                <w:sz w:val="18"/>
              </w:rPr>
            </w:pPr>
          </w:p>
        </w:tc>
      </w:tr>
    </w:tbl>
    <w:p>
      <w:pPr>
        <w:spacing w:after="0" w:line="240" w:lineRule="auto"/>
        <w:rPr>
          <w:rFonts w:ascii="Times New Roman"/>
          <w:sz w:val="18"/>
        </w:rPr>
        <w:sectPr>
          <w:pgSz w:w="15840" w:h="12240" w:orient="landscape"/>
          <w:pgMar w:header="0" w:footer="1012" w:top="1380" w:bottom="1200" w:left="1340" w:right="120"/>
        </w:sectPr>
      </w:pPr>
    </w:p>
    <w:p>
      <w:pPr>
        <w:pStyle w:val="BodyText"/>
        <w:spacing w:before="4"/>
        <w:ind w:left="0"/>
        <w:rPr>
          <w:b/>
          <w:sz w:val="7"/>
        </w:rPr>
      </w:pP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7"/>
        <w:gridCol w:w="1266"/>
        <w:gridCol w:w="1561"/>
        <w:gridCol w:w="1350"/>
        <w:gridCol w:w="1418"/>
        <w:gridCol w:w="1406"/>
        <w:gridCol w:w="1439"/>
        <w:gridCol w:w="1409"/>
        <w:gridCol w:w="2834"/>
      </w:tblGrid>
      <w:tr>
        <w:trPr>
          <w:trHeight w:val="212" w:hRule="atLeast"/>
        </w:trPr>
        <w:tc>
          <w:tcPr>
            <w:tcW w:w="1467" w:type="dxa"/>
          </w:tcPr>
          <w:p>
            <w:pPr>
              <w:pStyle w:val="TableParagraph"/>
              <w:spacing w:line="192" w:lineRule="exact" w:before="0"/>
              <w:ind w:right="81"/>
              <w:jc w:val="center"/>
              <w:rPr>
                <w:sz w:val="18"/>
              </w:rPr>
            </w:pPr>
            <w:r>
              <w:rPr>
                <w:spacing w:val="-2"/>
                <w:sz w:val="18"/>
              </w:rPr>
              <w:t>D(RGDP)</w:t>
            </w:r>
          </w:p>
        </w:tc>
        <w:tc>
          <w:tcPr>
            <w:tcW w:w="1266" w:type="dxa"/>
          </w:tcPr>
          <w:p>
            <w:pPr>
              <w:pStyle w:val="TableParagraph"/>
              <w:spacing w:line="192" w:lineRule="exact" w:before="0"/>
              <w:ind w:right="231"/>
              <w:jc w:val="right"/>
              <w:rPr>
                <w:sz w:val="18"/>
              </w:rPr>
            </w:pPr>
            <w:r>
              <w:rPr>
                <w:spacing w:val="-2"/>
                <w:sz w:val="18"/>
              </w:rPr>
              <w:t>-0.003094</w:t>
            </w:r>
          </w:p>
        </w:tc>
        <w:tc>
          <w:tcPr>
            <w:tcW w:w="1561" w:type="dxa"/>
          </w:tcPr>
          <w:p>
            <w:pPr>
              <w:pStyle w:val="TableParagraph"/>
              <w:spacing w:line="240" w:lineRule="auto" w:before="0"/>
              <w:rPr>
                <w:rFonts w:ascii="Times New Roman"/>
                <w:sz w:val="14"/>
              </w:rPr>
            </w:pPr>
          </w:p>
        </w:tc>
        <w:tc>
          <w:tcPr>
            <w:tcW w:w="1350" w:type="dxa"/>
          </w:tcPr>
          <w:p>
            <w:pPr>
              <w:pStyle w:val="TableParagraph"/>
              <w:spacing w:line="240" w:lineRule="auto" w:before="0"/>
              <w:rPr>
                <w:rFonts w:ascii="Times New Roman"/>
                <w:sz w:val="14"/>
              </w:rPr>
            </w:pPr>
          </w:p>
        </w:tc>
        <w:tc>
          <w:tcPr>
            <w:tcW w:w="1418" w:type="dxa"/>
          </w:tcPr>
          <w:p>
            <w:pPr>
              <w:pStyle w:val="TableParagraph"/>
              <w:spacing w:line="240" w:lineRule="auto" w:before="0"/>
              <w:rPr>
                <w:rFonts w:ascii="Times New Roman"/>
                <w:sz w:val="14"/>
              </w:rPr>
            </w:pPr>
          </w:p>
        </w:tc>
        <w:tc>
          <w:tcPr>
            <w:tcW w:w="1406" w:type="dxa"/>
          </w:tcPr>
          <w:p>
            <w:pPr>
              <w:pStyle w:val="TableParagraph"/>
              <w:spacing w:line="240" w:lineRule="auto" w:before="0"/>
              <w:rPr>
                <w:rFonts w:ascii="Times New Roman"/>
                <w:sz w:val="14"/>
              </w:rPr>
            </w:pPr>
          </w:p>
        </w:tc>
        <w:tc>
          <w:tcPr>
            <w:tcW w:w="1439" w:type="dxa"/>
          </w:tcPr>
          <w:p>
            <w:pPr>
              <w:pStyle w:val="TableParagraph"/>
              <w:spacing w:line="240" w:lineRule="auto" w:before="0"/>
              <w:rPr>
                <w:rFonts w:ascii="Times New Roman"/>
                <w:sz w:val="14"/>
              </w:rPr>
            </w:pPr>
          </w:p>
        </w:tc>
        <w:tc>
          <w:tcPr>
            <w:tcW w:w="1409" w:type="dxa"/>
          </w:tcPr>
          <w:p>
            <w:pPr>
              <w:pStyle w:val="TableParagraph"/>
              <w:spacing w:line="240" w:lineRule="auto" w:before="0"/>
              <w:rPr>
                <w:rFonts w:ascii="Times New Roman"/>
                <w:sz w:val="14"/>
              </w:rPr>
            </w:pPr>
          </w:p>
        </w:tc>
        <w:tc>
          <w:tcPr>
            <w:tcW w:w="2834" w:type="dxa"/>
          </w:tcPr>
          <w:p>
            <w:pPr>
              <w:pStyle w:val="TableParagraph"/>
              <w:spacing w:line="240" w:lineRule="auto" w:before="0"/>
              <w:rPr>
                <w:rFonts w:ascii="Times New Roman"/>
                <w:sz w:val="14"/>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before="5"/>
              <w:ind w:right="225"/>
              <w:jc w:val="right"/>
              <w:rPr>
                <w:sz w:val="18"/>
              </w:rPr>
            </w:pPr>
            <w:r>
              <w:rPr/>
              <mc:AlternateContent>
                <mc:Choice Requires="wps">
                  <w:drawing>
                    <wp:anchor distT="0" distB="0" distL="0" distR="0" allowOverlap="1" layoutInCell="1" locked="0" behindDoc="1" simplePos="0" relativeHeight="478140928">
                      <wp:simplePos x="0" y="0"/>
                      <wp:positionH relativeFrom="column">
                        <wp:posOffset>227431</wp:posOffset>
                      </wp:positionH>
                      <wp:positionV relativeFrom="paragraph">
                        <wp:posOffset>-10516</wp:posOffset>
                      </wp:positionV>
                      <wp:extent cx="5505450" cy="5661025"/>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5505450" cy="5661025"/>
                                <a:chExt cx="5505450" cy="5661025"/>
                              </a:xfrm>
                            </wpg:grpSpPr>
                            <wps:wsp>
                              <wps:cNvPr id="282" name="Graphic 282"/>
                              <wps:cNvSpPr/>
                              <wps:spPr>
                                <a:xfrm>
                                  <a:off x="0" y="0"/>
                                  <a:ext cx="5505450" cy="5661025"/>
                                </a:xfrm>
                                <a:custGeom>
                                  <a:avLst/>
                                  <a:gdLst/>
                                  <a:ahLst/>
                                  <a:cxnLst/>
                                  <a:rect l="l" t="t" r="r" b="b"/>
                                  <a:pathLst>
                                    <a:path w="5505450" h="5661025">
                                      <a:moveTo>
                                        <a:pt x="677037" y="5536984"/>
                                      </a:moveTo>
                                      <a:lnTo>
                                        <a:pt x="123825" y="4983861"/>
                                      </a:lnTo>
                                      <a:lnTo>
                                        <a:pt x="0" y="5107686"/>
                                      </a:lnTo>
                                      <a:lnTo>
                                        <a:pt x="553212" y="5660809"/>
                                      </a:lnTo>
                                      <a:lnTo>
                                        <a:pt x="677037" y="5536984"/>
                                      </a:lnTo>
                                      <a:close/>
                                    </a:path>
                                    <a:path w="5505450" h="5661025">
                                      <a:moveTo>
                                        <a:pt x="1052703" y="5107749"/>
                                      </a:moveTo>
                                      <a:lnTo>
                                        <a:pt x="1049020" y="5055489"/>
                                      </a:lnTo>
                                      <a:lnTo>
                                        <a:pt x="1033995" y="4999825"/>
                                      </a:lnTo>
                                      <a:lnTo>
                                        <a:pt x="1007364" y="4944618"/>
                                      </a:lnTo>
                                      <a:lnTo>
                                        <a:pt x="970749" y="4891671"/>
                                      </a:lnTo>
                                      <a:lnTo>
                                        <a:pt x="925957" y="4841367"/>
                                      </a:lnTo>
                                      <a:lnTo>
                                        <a:pt x="596138" y="4511548"/>
                                      </a:lnTo>
                                      <a:lnTo>
                                        <a:pt x="472821" y="4634865"/>
                                      </a:lnTo>
                                      <a:lnTo>
                                        <a:pt x="810387" y="4972558"/>
                                      </a:lnTo>
                                      <a:lnTo>
                                        <a:pt x="830897" y="4995367"/>
                                      </a:lnTo>
                                      <a:lnTo>
                                        <a:pt x="846543" y="5017833"/>
                                      </a:lnTo>
                                      <a:lnTo>
                                        <a:pt x="857389" y="5039931"/>
                                      </a:lnTo>
                                      <a:lnTo>
                                        <a:pt x="863473" y="5061585"/>
                                      </a:lnTo>
                                      <a:lnTo>
                                        <a:pt x="864425" y="5082425"/>
                                      </a:lnTo>
                                      <a:lnTo>
                                        <a:pt x="860488" y="5101869"/>
                                      </a:lnTo>
                                      <a:lnTo>
                                        <a:pt x="838073" y="5136515"/>
                                      </a:lnTo>
                                      <a:lnTo>
                                        <a:pt x="803160" y="5159083"/>
                                      </a:lnTo>
                                      <a:lnTo>
                                        <a:pt x="783615" y="5162867"/>
                                      </a:lnTo>
                                      <a:lnTo>
                                        <a:pt x="762635" y="5161534"/>
                                      </a:lnTo>
                                      <a:lnTo>
                                        <a:pt x="718566" y="5144859"/>
                                      </a:lnTo>
                                      <a:lnTo>
                                        <a:pt x="673735" y="5109210"/>
                                      </a:lnTo>
                                      <a:lnTo>
                                        <a:pt x="336169" y="4771517"/>
                                      </a:lnTo>
                                      <a:lnTo>
                                        <a:pt x="212725" y="4894834"/>
                                      </a:lnTo>
                                      <a:lnTo>
                                        <a:pt x="542544" y="5224653"/>
                                      </a:lnTo>
                                      <a:lnTo>
                                        <a:pt x="589292" y="5265547"/>
                                      </a:lnTo>
                                      <a:lnTo>
                                        <a:pt x="647573" y="5306822"/>
                                      </a:lnTo>
                                      <a:lnTo>
                                        <a:pt x="690054" y="5328818"/>
                                      </a:lnTo>
                                      <a:lnTo>
                                        <a:pt x="737870" y="5344033"/>
                                      </a:lnTo>
                                      <a:lnTo>
                                        <a:pt x="785342" y="5351424"/>
                                      </a:lnTo>
                                      <a:lnTo>
                                        <a:pt x="807173" y="5351526"/>
                                      </a:lnTo>
                                      <a:lnTo>
                                        <a:pt x="827786" y="5349367"/>
                                      </a:lnTo>
                                      <a:lnTo>
                                        <a:pt x="867879" y="5337492"/>
                                      </a:lnTo>
                                      <a:lnTo>
                                        <a:pt x="908177" y="5314188"/>
                                      </a:lnTo>
                                      <a:lnTo>
                                        <a:pt x="945210" y="5284952"/>
                                      </a:lnTo>
                                      <a:lnTo>
                                        <a:pt x="977011" y="5255895"/>
                                      </a:lnTo>
                                      <a:lnTo>
                                        <a:pt x="1019365" y="5204485"/>
                                      </a:lnTo>
                                      <a:lnTo>
                                        <a:pt x="1045337" y="5151247"/>
                                      </a:lnTo>
                                      <a:lnTo>
                                        <a:pt x="1050340" y="5130609"/>
                                      </a:lnTo>
                                      <a:lnTo>
                                        <a:pt x="1052703" y="5107749"/>
                                      </a:lnTo>
                                      <a:close/>
                                    </a:path>
                                    <a:path w="5505450" h="5661025">
                                      <a:moveTo>
                                        <a:pt x="1514906" y="4610379"/>
                                      </a:moveTo>
                                      <a:lnTo>
                                        <a:pt x="1510944" y="4569625"/>
                                      </a:lnTo>
                                      <a:lnTo>
                                        <a:pt x="1500924" y="4528058"/>
                                      </a:lnTo>
                                      <a:lnTo>
                                        <a:pt x="1484630" y="4485640"/>
                                      </a:lnTo>
                                      <a:lnTo>
                                        <a:pt x="1466799" y="4451121"/>
                                      </a:lnTo>
                                      <a:lnTo>
                                        <a:pt x="1444396" y="4415548"/>
                                      </a:lnTo>
                                      <a:lnTo>
                                        <a:pt x="1417332" y="4378972"/>
                                      </a:lnTo>
                                      <a:lnTo>
                                        <a:pt x="1385658" y="4341507"/>
                                      </a:lnTo>
                                      <a:lnTo>
                                        <a:pt x="1374343" y="4329595"/>
                                      </a:lnTo>
                                      <a:lnTo>
                                        <a:pt x="1349248" y="4303141"/>
                                      </a:lnTo>
                                      <a:lnTo>
                                        <a:pt x="1334071" y="4289018"/>
                                      </a:lnTo>
                                      <a:lnTo>
                                        <a:pt x="1334071" y="4602658"/>
                                      </a:lnTo>
                                      <a:lnTo>
                                        <a:pt x="1330960" y="4628210"/>
                                      </a:lnTo>
                                      <a:lnTo>
                                        <a:pt x="1304544" y="4672584"/>
                                      </a:lnTo>
                                      <a:lnTo>
                                        <a:pt x="1260627" y="4698276"/>
                                      </a:lnTo>
                                      <a:lnTo>
                                        <a:pt x="1234922" y="4701095"/>
                                      </a:lnTo>
                                      <a:lnTo>
                                        <a:pt x="1206627" y="4697095"/>
                                      </a:lnTo>
                                      <a:lnTo>
                                        <a:pt x="1141310" y="4665548"/>
                                      </a:lnTo>
                                      <a:lnTo>
                                        <a:pt x="1103998" y="4636846"/>
                                      </a:lnTo>
                                      <a:lnTo>
                                        <a:pt x="1063625" y="4599305"/>
                                      </a:lnTo>
                                      <a:lnTo>
                                        <a:pt x="1025956" y="4558728"/>
                                      </a:lnTo>
                                      <a:lnTo>
                                        <a:pt x="997077" y="4521200"/>
                                      </a:lnTo>
                                      <a:lnTo>
                                        <a:pt x="976858" y="4486834"/>
                                      </a:lnTo>
                                      <a:lnTo>
                                        <a:pt x="961186" y="4427385"/>
                                      </a:lnTo>
                                      <a:lnTo>
                                        <a:pt x="963891" y="4401807"/>
                                      </a:lnTo>
                                      <a:lnTo>
                                        <a:pt x="988695" y="4358894"/>
                                      </a:lnTo>
                                      <a:lnTo>
                                        <a:pt x="1032675" y="4332884"/>
                                      </a:lnTo>
                                      <a:lnTo>
                                        <a:pt x="1058392" y="4329595"/>
                                      </a:lnTo>
                                      <a:lnTo>
                                        <a:pt x="1086523" y="4332884"/>
                                      </a:lnTo>
                                      <a:lnTo>
                                        <a:pt x="1150073" y="4362755"/>
                                      </a:lnTo>
                                      <a:lnTo>
                                        <a:pt x="1185532" y="4389602"/>
                                      </a:lnTo>
                                      <a:lnTo>
                                        <a:pt x="1223391" y="4424553"/>
                                      </a:lnTo>
                                      <a:lnTo>
                                        <a:pt x="1264805" y="4468812"/>
                                      </a:lnTo>
                                      <a:lnTo>
                                        <a:pt x="1296377" y="4508716"/>
                                      </a:lnTo>
                                      <a:lnTo>
                                        <a:pt x="1318183" y="4544161"/>
                                      </a:lnTo>
                                      <a:lnTo>
                                        <a:pt x="1334071" y="4602658"/>
                                      </a:lnTo>
                                      <a:lnTo>
                                        <a:pt x="1334071" y="4289018"/>
                                      </a:lnTo>
                                      <a:lnTo>
                                        <a:pt x="1304861" y="4261828"/>
                                      </a:lnTo>
                                      <a:lnTo>
                                        <a:pt x="1260741" y="4226865"/>
                                      </a:lnTo>
                                      <a:lnTo>
                                        <a:pt x="1216926" y="4198201"/>
                                      </a:lnTo>
                                      <a:lnTo>
                                        <a:pt x="1173403" y="4175760"/>
                                      </a:lnTo>
                                      <a:lnTo>
                                        <a:pt x="1130211" y="4159504"/>
                                      </a:lnTo>
                                      <a:lnTo>
                                        <a:pt x="1087374" y="4149344"/>
                                      </a:lnTo>
                                      <a:lnTo>
                                        <a:pt x="1037336" y="4145813"/>
                                      </a:lnTo>
                                      <a:lnTo>
                                        <a:pt x="989520" y="4152163"/>
                                      </a:lnTo>
                                      <a:lnTo>
                                        <a:pt x="943940" y="4168292"/>
                                      </a:lnTo>
                                      <a:lnTo>
                                        <a:pt x="900595" y="4194073"/>
                                      </a:lnTo>
                                      <a:lnTo>
                                        <a:pt x="859536" y="4229354"/>
                                      </a:lnTo>
                                      <a:lnTo>
                                        <a:pt x="825195" y="4269638"/>
                                      </a:lnTo>
                                      <a:lnTo>
                                        <a:pt x="800277" y="4312539"/>
                                      </a:lnTo>
                                      <a:lnTo>
                                        <a:pt x="784872" y="4358056"/>
                                      </a:lnTo>
                                      <a:lnTo>
                                        <a:pt x="779068" y="4406112"/>
                                      </a:lnTo>
                                      <a:lnTo>
                                        <a:pt x="782955" y="4456684"/>
                                      </a:lnTo>
                                      <a:lnTo>
                                        <a:pt x="793432" y="4500080"/>
                                      </a:lnTo>
                                      <a:lnTo>
                                        <a:pt x="810082" y="4543882"/>
                                      </a:lnTo>
                                      <a:lnTo>
                                        <a:pt x="832942" y="4588040"/>
                                      </a:lnTo>
                                      <a:lnTo>
                                        <a:pt x="862076" y="4632515"/>
                                      </a:lnTo>
                                      <a:lnTo>
                                        <a:pt x="897547" y="4677270"/>
                                      </a:lnTo>
                                      <a:lnTo>
                                        <a:pt x="939419" y="4722241"/>
                                      </a:lnTo>
                                      <a:lnTo>
                                        <a:pt x="977925" y="4758525"/>
                                      </a:lnTo>
                                      <a:lnTo>
                                        <a:pt x="1016152" y="4789995"/>
                                      </a:lnTo>
                                      <a:lnTo>
                                        <a:pt x="1054023" y="4816703"/>
                                      </a:lnTo>
                                      <a:lnTo>
                                        <a:pt x="1091463" y="4838725"/>
                                      </a:lnTo>
                                      <a:lnTo>
                                        <a:pt x="1128395" y="4856099"/>
                                      </a:lnTo>
                                      <a:lnTo>
                                        <a:pt x="1173149" y="4871567"/>
                                      </a:lnTo>
                                      <a:lnTo>
                                        <a:pt x="1215809" y="4880241"/>
                                      </a:lnTo>
                                      <a:lnTo>
                                        <a:pt x="1256347" y="4882426"/>
                                      </a:lnTo>
                                      <a:lnTo>
                                        <a:pt x="1294765" y="4878451"/>
                                      </a:lnTo>
                                      <a:lnTo>
                                        <a:pt x="1331455" y="4868176"/>
                                      </a:lnTo>
                                      <a:lnTo>
                                        <a:pt x="1367294" y="4850955"/>
                                      </a:lnTo>
                                      <a:lnTo>
                                        <a:pt x="1402295" y="4826990"/>
                                      </a:lnTo>
                                      <a:lnTo>
                                        <a:pt x="1436497" y="4796409"/>
                                      </a:lnTo>
                                      <a:lnTo>
                                        <a:pt x="1466329" y="4762271"/>
                                      </a:lnTo>
                                      <a:lnTo>
                                        <a:pt x="1489113" y="4726533"/>
                                      </a:lnTo>
                                      <a:lnTo>
                                        <a:pt x="1504734" y="4689221"/>
                                      </a:lnTo>
                                      <a:lnTo>
                                        <a:pt x="1513078" y="4650359"/>
                                      </a:lnTo>
                                      <a:lnTo>
                                        <a:pt x="1514906" y="4610379"/>
                                      </a:lnTo>
                                      <a:close/>
                                    </a:path>
                                    <a:path w="5505450" h="5661025">
                                      <a:moveTo>
                                        <a:pt x="1687068" y="4242308"/>
                                      </a:moveTo>
                                      <a:lnTo>
                                        <a:pt x="1568323" y="4123436"/>
                                      </a:lnTo>
                                      <a:lnTo>
                                        <a:pt x="1406906" y="4284980"/>
                                      </a:lnTo>
                                      <a:lnTo>
                                        <a:pt x="1525651" y="4403725"/>
                                      </a:lnTo>
                                      <a:lnTo>
                                        <a:pt x="1687068" y="4242308"/>
                                      </a:lnTo>
                                      <a:close/>
                                    </a:path>
                                    <a:path w="5505450" h="5661025">
                                      <a:moveTo>
                                        <a:pt x="2011426" y="4202557"/>
                                      </a:moveTo>
                                      <a:lnTo>
                                        <a:pt x="1458214" y="3649345"/>
                                      </a:lnTo>
                                      <a:lnTo>
                                        <a:pt x="1334389" y="3773170"/>
                                      </a:lnTo>
                                      <a:lnTo>
                                        <a:pt x="1887601" y="4326382"/>
                                      </a:lnTo>
                                      <a:lnTo>
                                        <a:pt x="2011426" y="4202557"/>
                                      </a:lnTo>
                                      <a:close/>
                                    </a:path>
                                    <a:path w="5505450" h="5661025">
                                      <a:moveTo>
                                        <a:pt x="2223643" y="3990340"/>
                                      </a:moveTo>
                                      <a:lnTo>
                                        <a:pt x="2018411" y="3784981"/>
                                      </a:lnTo>
                                      <a:lnTo>
                                        <a:pt x="2086102" y="3717290"/>
                                      </a:lnTo>
                                      <a:lnTo>
                                        <a:pt x="2118220" y="3679304"/>
                                      </a:lnTo>
                                      <a:lnTo>
                                        <a:pt x="2121700" y="3672967"/>
                                      </a:lnTo>
                                      <a:lnTo>
                                        <a:pt x="2139683" y="3640201"/>
                                      </a:lnTo>
                                      <a:lnTo>
                                        <a:pt x="2150389" y="3600069"/>
                                      </a:lnTo>
                                      <a:lnTo>
                                        <a:pt x="2150237" y="3558921"/>
                                      </a:lnTo>
                                      <a:lnTo>
                                        <a:pt x="2140077" y="3517239"/>
                                      </a:lnTo>
                                      <a:lnTo>
                                        <a:pt x="2125307" y="3484930"/>
                                      </a:lnTo>
                                      <a:lnTo>
                                        <a:pt x="2120976" y="3475444"/>
                                      </a:lnTo>
                                      <a:lnTo>
                                        <a:pt x="2092845" y="3433572"/>
                                      </a:lnTo>
                                      <a:lnTo>
                                        <a:pt x="2055622" y="3391662"/>
                                      </a:lnTo>
                                      <a:lnTo>
                                        <a:pt x="2015096" y="3355416"/>
                                      </a:lnTo>
                                      <a:lnTo>
                                        <a:pt x="1975065" y="3328060"/>
                                      </a:lnTo>
                                      <a:lnTo>
                                        <a:pt x="1969516" y="3325444"/>
                                      </a:lnTo>
                                      <a:lnTo>
                                        <a:pt x="1969516" y="3575050"/>
                                      </a:lnTo>
                                      <a:lnTo>
                                        <a:pt x="1968728" y="3591293"/>
                                      </a:lnTo>
                                      <a:lnTo>
                                        <a:pt x="1962873" y="3607993"/>
                                      </a:lnTo>
                                      <a:lnTo>
                                        <a:pt x="1952117" y="3625151"/>
                                      </a:lnTo>
                                      <a:lnTo>
                                        <a:pt x="1936623" y="3642741"/>
                                      </a:lnTo>
                                      <a:lnTo>
                                        <a:pt x="1906397" y="3672967"/>
                                      </a:lnTo>
                                      <a:lnTo>
                                        <a:pt x="1782953" y="3549523"/>
                                      </a:lnTo>
                                      <a:lnTo>
                                        <a:pt x="1818132" y="3514344"/>
                                      </a:lnTo>
                                      <a:lnTo>
                                        <a:pt x="1835251" y="3499459"/>
                                      </a:lnTo>
                                      <a:lnTo>
                                        <a:pt x="1851812" y="3489668"/>
                                      </a:lnTo>
                                      <a:lnTo>
                                        <a:pt x="1867852" y="3484930"/>
                                      </a:lnTo>
                                      <a:lnTo>
                                        <a:pt x="1883410" y="3485261"/>
                                      </a:lnTo>
                                      <a:lnTo>
                                        <a:pt x="1926856" y="3505149"/>
                                      </a:lnTo>
                                      <a:lnTo>
                                        <a:pt x="1960791" y="3544824"/>
                                      </a:lnTo>
                                      <a:lnTo>
                                        <a:pt x="1969516" y="3575050"/>
                                      </a:lnTo>
                                      <a:lnTo>
                                        <a:pt x="1969516" y="3325444"/>
                                      </a:lnTo>
                                      <a:lnTo>
                                        <a:pt x="1935568" y="3309391"/>
                                      </a:lnTo>
                                      <a:lnTo>
                                        <a:pt x="1896618" y="3299206"/>
                                      </a:lnTo>
                                      <a:lnTo>
                                        <a:pt x="1858467" y="3298609"/>
                                      </a:lnTo>
                                      <a:lnTo>
                                        <a:pt x="1821599" y="3307956"/>
                                      </a:lnTo>
                                      <a:lnTo>
                                        <a:pt x="1786039" y="3327095"/>
                                      </a:lnTo>
                                      <a:lnTo>
                                        <a:pt x="1751838" y="3355848"/>
                                      </a:lnTo>
                                      <a:lnTo>
                                        <a:pt x="1546352" y="3561207"/>
                                      </a:lnTo>
                                      <a:lnTo>
                                        <a:pt x="2099564" y="4114419"/>
                                      </a:lnTo>
                                      <a:lnTo>
                                        <a:pt x="2223643" y="3990340"/>
                                      </a:lnTo>
                                      <a:close/>
                                    </a:path>
                                    <a:path w="5505450" h="5661025">
                                      <a:moveTo>
                                        <a:pt x="2725166" y="3488817"/>
                                      </a:moveTo>
                                      <a:lnTo>
                                        <a:pt x="2308479" y="3072257"/>
                                      </a:lnTo>
                                      <a:lnTo>
                                        <a:pt x="2434590" y="2946146"/>
                                      </a:lnTo>
                                      <a:lnTo>
                                        <a:pt x="2298065" y="2809621"/>
                                      </a:lnTo>
                                      <a:lnTo>
                                        <a:pt x="1922399" y="3185287"/>
                                      </a:lnTo>
                                      <a:lnTo>
                                        <a:pt x="2058924" y="3321812"/>
                                      </a:lnTo>
                                      <a:lnTo>
                                        <a:pt x="2184908" y="3195828"/>
                                      </a:lnTo>
                                      <a:lnTo>
                                        <a:pt x="2601595" y="3612388"/>
                                      </a:lnTo>
                                      <a:lnTo>
                                        <a:pt x="2725166" y="3488817"/>
                                      </a:lnTo>
                                      <a:close/>
                                    </a:path>
                                    <a:path w="5505450" h="5661025">
                                      <a:moveTo>
                                        <a:pt x="3128645" y="3085338"/>
                                      </a:moveTo>
                                      <a:lnTo>
                                        <a:pt x="2712085" y="2668651"/>
                                      </a:lnTo>
                                      <a:lnTo>
                                        <a:pt x="2838069" y="2542667"/>
                                      </a:lnTo>
                                      <a:lnTo>
                                        <a:pt x="2701544" y="2406142"/>
                                      </a:lnTo>
                                      <a:lnTo>
                                        <a:pt x="2325878" y="2781808"/>
                                      </a:lnTo>
                                      <a:lnTo>
                                        <a:pt x="2462530" y="2918333"/>
                                      </a:lnTo>
                                      <a:lnTo>
                                        <a:pt x="2588514" y="2792349"/>
                                      </a:lnTo>
                                      <a:lnTo>
                                        <a:pt x="3005074" y="3208909"/>
                                      </a:lnTo>
                                      <a:lnTo>
                                        <a:pt x="3128645" y="3085338"/>
                                      </a:lnTo>
                                      <a:close/>
                                    </a:path>
                                    <a:path w="5505450" h="5661025">
                                      <a:moveTo>
                                        <a:pt x="3594430" y="2530856"/>
                                      </a:moveTo>
                                      <a:lnTo>
                                        <a:pt x="3590506" y="2490063"/>
                                      </a:lnTo>
                                      <a:lnTo>
                                        <a:pt x="3580536" y="2448458"/>
                                      </a:lnTo>
                                      <a:lnTo>
                                        <a:pt x="3564255" y="2406015"/>
                                      </a:lnTo>
                                      <a:lnTo>
                                        <a:pt x="3546360" y="2371560"/>
                                      </a:lnTo>
                                      <a:lnTo>
                                        <a:pt x="3523919" y="2336038"/>
                                      </a:lnTo>
                                      <a:lnTo>
                                        <a:pt x="3496805" y="2299449"/>
                                      </a:lnTo>
                                      <a:lnTo>
                                        <a:pt x="3465157" y="2262073"/>
                                      </a:lnTo>
                                      <a:lnTo>
                                        <a:pt x="3453765" y="2250097"/>
                                      </a:lnTo>
                                      <a:lnTo>
                                        <a:pt x="3428746" y="2223770"/>
                                      </a:lnTo>
                                      <a:lnTo>
                                        <a:pt x="3413569" y="2209635"/>
                                      </a:lnTo>
                                      <a:lnTo>
                                        <a:pt x="3413569" y="2523134"/>
                                      </a:lnTo>
                                      <a:lnTo>
                                        <a:pt x="3410432" y="2548661"/>
                                      </a:lnTo>
                                      <a:lnTo>
                                        <a:pt x="3383915" y="2593086"/>
                                      </a:lnTo>
                                      <a:lnTo>
                                        <a:pt x="3340176" y="2618714"/>
                                      </a:lnTo>
                                      <a:lnTo>
                                        <a:pt x="3314522" y="2621483"/>
                                      </a:lnTo>
                                      <a:lnTo>
                                        <a:pt x="3286252" y="2617470"/>
                                      </a:lnTo>
                                      <a:lnTo>
                                        <a:pt x="3220936" y="2585936"/>
                                      </a:lnTo>
                                      <a:lnTo>
                                        <a:pt x="3183623" y="2557272"/>
                                      </a:lnTo>
                                      <a:lnTo>
                                        <a:pt x="3143250" y="2519807"/>
                                      </a:lnTo>
                                      <a:lnTo>
                                        <a:pt x="3105505" y="2479154"/>
                                      </a:lnTo>
                                      <a:lnTo>
                                        <a:pt x="3076600" y="2441600"/>
                                      </a:lnTo>
                                      <a:lnTo>
                                        <a:pt x="3056407" y="2407208"/>
                                      </a:lnTo>
                                      <a:lnTo>
                                        <a:pt x="3040786" y="2347785"/>
                                      </a:lnTo>
                                      <a:lnTo>
                                        <a:pt x="3043453" y="2322245"/>
                                      </a:lnTo>
                                      <a:lnTo>
                                        <a:pt x="3068193" y="2279396"/>
                                      </a:lnTo>
                                      <a:lnTo>
                                        <a:pt x="3112173" y="2253386"/>
                                      </a:lnTo>
                                      <a:lnTo>
                                        <a:pt x="3137890" y="2250097"/>
                                      </a:lnTo>
                                      <a:lnTo>
                                        <a:pt x="3166021" y="2253386"/>
                                      </a:lnTo>
                                      <a:lnTo>
                                        <a:pt x="3229521" y="2283256"/>
                                      </a:lnTo>
                                      <a:lnTo>
                                        <a:pt x="3265005" y="2310104"/>
                                      </a:lnTo>
                                      <a:lnTo>
                                        <a:pt x="3302889" y="2345055"/>
                                      </a:lnTo>
                                      <a:lnTo>
                                        <a:pt x="3344329" y="2389289"/>
                                      </a:lnTo>
                                      <a:lnTo>
                                        <a:pt x="3375926" y="2429167"/>
                                      </a:lnTo>
                                      <a:lnTo>
                                        <a:pt x="3397732" y="2464612"/>
                                      </a:lnTo>
                                      <a:lnTo>
                                        <a:pt x="3413569" y="2523134"/>
                                      </a:lnTo>
                                      <a:lnTo>
                                        <a:pt x="3413569" y="2209635"/>
                                      </a:lnTo>
                                      <a:lnTo>
                                        <a:pt x="3384359" y="2182406"/>
                                      </a:lnTo>
                                      <a:lnTo>
                                        <a:pt x="3340239" y="2147405"/>
                                      </a:lnTo>
                                      <a:lnTo>
                                        <a:pt x="3296424" y="2118715"/>
                                      </a:lnTo>
                                      <a:lnTo>
                                        <a:pt x="3252901" y="2096274"/>
                                      </a:lnTo>
                                      <a:lnTo>
                                        <a:pt x="3209709" y="2080006"/>
                                      </a:lnTo>
                                      <a:lnTo>
                                        <a:pt x="3166872" y="2069846"/>
                                      </a:lnTo>
                                      <a:lnTo>
                                        <a:pt x="3116834" y="2066315"/>
                                      </a:lnTo>
                                      <a:lnTo>
                                        <a:pt x="3069018" y="2072665"/>
                                      </a:lnTo>
                                      <a:lnTo>
                                        <a:pt x="3023438" y="2088769"/>
                                      </a:lnTo>
                                      <a:lnTo>
                                        <a:pt x="2980093" y="2114512"/>
                                      </a:lnTo>
                                      <a:lnTo>
                                        <a:pt x="2939034" y="2149729"/>
                                      </a:lnTo>
                                      <a:lnTo>
                                        <a:pt x="2904744" y="2190026"/>
                                      </a:lnTo>
                                      <a:lnTo>
                                        <a:pt x="2879839" y="2232964"/>
                                      </a:lnTo>
                                      <a:lnTo>
                                        <a:pt x="2864434" y="2278507"/>
                                      </a:lnTo>
                                      <a:lnTo>
                                        <a:pt x="2858643" y="2326602"/>
                                      </a:lnTo>
                                      <a:lnTo>
                                        <a:pt x="2862580" y="2377186"/>
                                      </a:lnTo>
                                      <a:lnTo>
                                        <a:pt x="2873006" y="2420582"/>
                                      </a:lnTo>
                                      <a:lnTo>
                                        <a:pt x="2889618" y="2464346"/>
                                      </a:lnTo>
                                      <a:lnTo>
                                        <a:pt x="2912453" y="2508478"/>
                                      </a:lnTo>
                                      <a:lnTo>
                                        <a:pt x="2941574" y="2552928"/>
                                      </a:lnTo>
                                      <a:lnTo>
                                        <a:pt x="2977045" y="2597645"/>
                                      </a:lnTo>
                                      <a:lnTo>
                                        <a:pt x="3018917" y="2642616"/>
                                      </a:lnTo>
                                      <a:lnTo>
                                        <a:pt x="3057474" y="2678912"/>
                                      </a:lnTo>
                                      <a:lnTo>
                                        <a:pt x="3095714" y="2710408"/>
                                      </a:lnTo>
                                      <a:lnTo>
                                        <a:pt x="3133560" y="2737167"/>
                                      </a:lnTo>
                                      <a:lnTo>
                                        <a:pt x="3170974" y="2759214"/>
                                      </a:lnTo>
                                      <a:lnTo>
                                        <a:pt x="3207893" y="2776601"/>
                                      </a:lnTo>
                                      <a:lnTo>
                                        <a:pt x="3252711" y="2792006"/>
                                      </a:lnTo>
                                      <a:lnTo>
                                        <a:pt x="3295358" y="2800693"/>
                                      </a:lnTo>
                                      <a:lnTo>
                                        <a:pt x="3335871" y="2802915"/>
                                      </a:lnTo>
                                      <a:lnTo>
                                        <a:pt x="3374263" y="2798953"/>
                                      </a:lnTo>
                                      <a:lnTo>
                                        <a:pt x="3410978" y="2788602"/>
                                      </a:lnTo>
                                      <a:lnTo>
                                        <a:pt x="3446843" y="2771368"/>
                                      </a:lnTo>
                                      <a:lnTo>
                                        <a:pt x="3481844" y="2747416"/>
                                      </a:lnTo>
                                      <a:lnTo>
                                        <a:pt x="3515995" y="2716911"/>
                                      </a:lnTo>
                                      <a:lnTo>
                                        <a:pt x="3545852" y="2682722"/>
                                      </a:lnTo>
                                      <a:lnTo>
                                        <a:pt x="3568662" y="2646984"/>
                                      </a:lnTo>
                                      <a:lnTo>
                                        <a:pt x="3579342" y="2621483"/>
                                      </a:lnTo>
                                      <a:lnTo>
                                        <a:pt x="3584283" y="2609710"/>
                                      </a:lnTo>
                                      <a:lnTo>
                                        <a:pt x="3592576" y="2570861"/>
                                      </a:lnTo>
                                      <a:lnTo>
                                        <a:pt x="3594430" y="2530856"/>
                                      </a:lnTo>
                                      <a:close/>
                                    </a:path>
                                    <a:path w="5505450" h="5661025">
                                      <a:moveTo>
                                        <a:pt x="4237799" y="1898713"/>
                                      </a:moveTo>
                                      <a:lnTo>
                                        <a:pt x="4226814" y="1835531"/>
                                      </a:lnTo>
                                      <a:lnTo>
                                        <a:pt x="4199420" y="1767636"/>
                                      </a:lnTo>
                                      <a:lnTo>
                                        <a:pt x="4179786" y="1732191"/>
                                      </a:lnTo>
                                      <a:lnTo>
                                        <a:pt x="4155948" y="1695831"/>
                                      </a:lnTo>
                                      <a:lnTo>
                                        <a:pt x="4117517" y="1711452"/>
                                      </a:lnTo>
                                      <a:lnTo>
                                        <a:pt x="4002278" y="1758823"/>
                                      </a:lnTo>
                                      <a:lnTo>
                                        <a:pt x="4022331" y="1788236"/>
                                      </a:lnTo>
                                      <a:lnTo>
                                        <a:pt x="4037863" y="1815719"/>
                                      </a:lnTo>
                                      <a:lnTo>
                                        <a:pt x="4049064" y="1841309"/>
                                      </a:lnTo>
                                      <a:lnTo>
                                        <a:pt x="4056126" y="1864995"/>
                                      </a:lnTo>
                                      <a:lnTo>
                                        <a:pt x="4058107" y="1887347"/>
                                      </a:lnTo>
                                      <a:lnTo>
                                        <a:pt x="4054373" y="1908327"/>
                                      </a:lnTo>
                                      <a:lnTo>
                                        <a:pt x="4029964" y="1946402"/>
                                      </a:lnTo>
                                      <a:lnTo>
                                        <a:pt x="3988892" y="1970443"/>
                                      </a:lnTo>
                                      <a:lnTo>
                                        <a:pt x="3965079" y="1973021"/>
                                      </a:lnTo>
                                      <a:lnTo>
                                        <a:pt x="3939159" y="1969135"/>
                                      </a:lnTo>
                                      <a:lnTo>
                                        <a:pt x="3875684" y="1935657"/>
                                      </a:lnTo>
                                      <a:lnTo>
                                        <a:pt x="3836708" y="1904365"/>
                                      </a:lnTo>
                                      <a:lnTo>
                                        <a:pt x="3792982" y="1863217"/>
                                      </a:lnTo>
                                      <a:lnTo>
                                        <a:pt x="3759441" y="1827504"/>
                                      </a:lnTo>
                                      <a:lnTo>
                                        <a:pt x="3732936" y="1794510"/>
                                      </a:lnTo>
                                      <a:lnTo>
                                        <a:pt x="3700907" y="1737233"/>
                                      </a:lnTo>
                                      <a:lnTo>
                                        <a:pt x="3692626" y="1704390"/>
                                      </a:lnTo>
                                      <a:lnTo>
                                        <a:pt x="3692868" y="1674964"/>
                                      </a:lnTo>
                                      <a:lnTo>
                                        <a:pt x="3718560" y="1626108"/>
                                      </a:lnTo>
                                      <a:lnTo>
                                        <a:pt x="3762629" y="1603121"/>
                                      </a:lnTo>
                                      <a:lnTo>
                                        <a:pt x="3775773" y="1601851"/>
                                      </a:lnTo>
                                      <a:lnTo>
                                        <a:pt x="3789375" y="1602105"/>
                                      </a:lnTo>
                                      <a:lnTo>
                                        <a:pt x="3827894" y="1611642"/>
                                      </a:lnTo>
                                      <a:lnTo>
                                        <a:pt x="3867150" y="1632966"/>
                                      </a:lnTo>
                                      <a:lnTo>
                                        <a:pt x="3942588" y="1490218"/>
                                      </a:lnTo>
                                      <a:lnTo>
                                        <a:pt x="3889870" y="1461084"/>
                                      </a:lnTo>
                                      <a:lnTo>
                                        <a:pt x="3839959" y="1440662"/>
                                      </a:lnTo>
                                      <a:lnTo>
                                        <a:pt x="3792918" y="1428572"/>
                                      </a:lnTo>
                                      <a:lnTo>
                                        <a:pt x="3748786" y="1424432"/>
                                      </a:lnTo>
                                      <a:lnTo>
                                        <a:pt x="3706520" y="1429385"/>
                                      </a:lnTo>
                                      <a:lnTo>
                                        <a:pt x="3665626" y="1443939"/>
                                      </a:lnTo>
                                      <a:lnTo>
                                        <a:pt x="3626015" y="1467904"/>
                                      </a:lnTo>
                                      <a:lnTo>
                                        <a:pt x="3587623" y="1501140"/>
                                      </a:lnTo>
                                      <a:lnTo>
                                        <a:pt x="3553612" y="1540979"/>
                                      </a:lnTo>
                                      <a:lnTo>
                                        <a:pt x="3528949" y="1583207"/>
                                      </a:lnTo>
                                      <a:lnTo>
                                        <a:pt x="3513709" y="1627797"/>
                                      </a:lnTo>
                                      <a:lnTo>
                                        <a:pt x="3508006" y="1674749"/>
                                      </a:lnTo>
                                      <a:lnTo>
                                        <a:pt x="3511931" y="1724025"/>
                                      </a:lnTo>
                                      <a:lnTo>
                                        <a:pt x="3522535" y="1766570"/>
                                      </a:lnTo>
                                      <a:lnTo>
                                        <a:pt x="3539325" y="1809699"/>
                                      </a:lnTo>
                                      <a:lnTo>
                                        <a:pt x="3562375" y="1853438"/>
                                      </a:lnTo>
                                      <a:lnTo>
                                        <a:pt x="3591801" y="1897773"/>
                                      </a:lnTo>
                                      <a:lnTo>
                                        <a:pt x="3627704" y="1942693"/>
                                      </a:lnTo>
                                      <a:lnTo>
                                        <a:pt x="3670173" y="1988185"/>
                                      </a:lnTo>
                                      <a:lnTo>
                                        <a:pt x="3711130" y="2026716"/>
                                      </a:lnTo>
                                      <a:lnTo>
                                        <a:pt x="3751542" y="2059787"/>
                                      </a:lnTo>
                                      <a:lnTo>
                                        <a:pt x="3791394" y="2087511"/>
                                      </a:lnTo>
                                      <a:lnTo>
                                        <a:pt x="3830663" y="2110003"/>
                                      </a:lnTo>
                                      <a:lnTo>
                                        <a:pt x="3869309" y="2127377"/>
                                      </a:lnTo>
                                      <a:lnTo>
                                        <a:pt x="3915486" y="2142363"/>
                                      </a:lnTo>
                                      <a:lnTo>
                                        <a:pt x="3958183" y="2150580"/>
                                      </a:lnTo>
                                      <a:lnTo>
                                        <a:pt x="3997337" y="2152332"/>
                                      </a:lnTo>
                                      <a:lnTo>
                                        <a:pt x="4032885" y="2147951"/>
                                      </a:lnTo>
                                      <a:lnTo>
                                        <a:pt x="4099725" y="2120328"/>
                                      </a:lnTo>
                                      <a:lnTo>
                                        <a:pt x="4132694" y="2097024"/>
                                      </a:lnTo>
                                      <a:lnTo>
                                        <a:pt x="4165346" y="2067560"/>
                                      </a:lnTo>
                                      <a:lnTo>
                                        <a:pt x="4209059" y="2013115"/>
                                      </a:lnTo>
                                      <a:lnTo>
                                        <a:pt x="4232402" y="1957324"/>
                                      </a:lnTo>
                                      <a:lnTo>
                                        <a:pt x="4237025" y="1928583"/>
                                      </a:lnTo>
                                      <a:lnTo>
                                        <a:pt x="4237799" y="1898713"/>
                                      </a:lnTo>
                                      <a:close/>
                                    </a:path>
                                    <a:path w="5505450" h="5661025">
                                      <a:moveTo>
                                        <a:pt x="4680788" y="1444447"/>
                                      </a:moveTo>
                                      <a:lnTo>
                                        <a:pt x="4676864" y="1403692"/>
                                      </a:lnTo>
                                      <a:lnTo>
                                        <a:pt x="4666894" y="1362100"/>
                                      </a:lnTo>
                                      <a:lnTo>
                                        <a:pt x="4650613" y="1319657"/>
                                      </a:lnTo>
                                      <a:lnTo>
                                        <a:pt x="4632769" y="1285138"/>
                                      </a:lnTo>
                                      <a:lnTo>
                                        <a:pt x="4610341" y="1249578"/>
                                      </a:lnTo>
                                      <a:lnTo>
                                        <a:pt x="4583290" y="1213040"/>
                                      </a:lnTo>
                                      <a:lnTo>
                                        <a:pt x="4551591" y="1175588"/>
                                      </a:lnTo>
                                      <a:lnTo>
                                        <a:pt x="4515231" y="1137285"/>
                                      </a:lnTo>
                                      <a:lnTo>
                                        <a:pt x="4499927" y="1123035"/>
                                      </a:lnTo>
                                      <a:lnTo>
                                        <a:pt x="4499927" y="1436776"/>
                                      </a:lnTo>
                                      <a:lnTo>
                                        <a:pt x="4496816" y="1462278"/>
                                      </a:lnTo>
                                      <a:lnTo>
                                        <a:pt x="4470387" y="1506601"/>
                                      </a:lnTo>
                                      <a:lnTo>
                                        <a:pt x="4426597" y="1532293"/>
                                      </a:lnTo>
                                      <a:lnTo>
                                        <a:pt x="4400905" y="1535112"/>
                                      </a:lnTo>
                                      <a:lnTo>
                                        <a:pt x="4372610" y="1531112"/>
                                      </a:lnTo>
                                      <a:lnTo>
                                        <a:pt x="4307294" y="1499577"/>
                                      </a:lnTo>
                                      <a:lnTo>
                                        <a:pt x="4269981" y="1470914"/>
                                      </a:lnTo>
                                      <a:lnTo>
                                        <a:pt x="4229608" y="1433449"/>
                                      </a:lnTo>
                                      <a:lnTo>
                                        <a:pt x="4191863" y="1392796"/>
                                      </a:lnTo>
                                      <a:lnTo>
                                        <a:pt x="4162958" y="1355242"/>
                                      </a:lnTo>
                                      <a:lnTo>
                                        <a:pt x="4142765" y="1320850"/>
                                      </a:lnTo>
                                      <a:lnTo>
                                        <a:pt x="4127169" y="1261414"/>
                                      </a:lnTo>
                                      <a:lnTo>
                                        <a:pt x="4129862" y="1235837"/>
                                      </a:lnTo>
                                      <a:lnTo>
                                        <a:pt x="4154551" y="1193038"/>
                                      </a:lnTo>
                                      <a:lnTo>
                                        <a:pt x="4198556" y="1166964"/>
                                      </a:lnTo>
                                      <a:lnTo>
                                        <a:pt x="4224299" y="1163624"/>
                                      </a:lnTo>
                                      <a:lnTo>
                                        <a:pt x="4252468" y="1166876"/>
                                      </a:lnTo>
                                      <a:lnTo>
                                        <a:pt x="4316006" y="1196771"/>
                                      </a:lnTo>
                                      <a:lnTo>
                                        <a:pt x="4351490" y="1223619"/>
                                      </a:lnTo>
                                      <a:lnTo>
                                        <a:pt x="4389374" y="1258570"/>
                                      </a:lnTo>
                                      <a:lnTo>
                                        <a:pt x="4430788" y="1302829"/>
                                      </a:lnTo>
                                      <a:lnTo>
                                        <a:pt x="4462348" y="1342745"/>
                                      </a:lnTo>
                                      <a:lnTo>
                                        <a:pt x="4484116" y="1378229"/>
                                      </a:lnTo>
                                      <a:lnTo>
                                        <a:pt x="4499927" y="1436776"/>
                                      </a:lnTo>
                                      <a:lnTo>
                                        <a:pt x="4499927" y="1123035"/>
                                      </a:lnTo>
                                      <a:lnTo>
                                        <a:pt x="4470844" y="1095921"/>
                                      </a:lnTo>
                                      <a:lnTo>
                                        <a:pt x="4426724" y="1060919"/>
                                      </a:lnTo>
                                      <a:lnTo>
                                        <a:pt x="4382909" y="1032230"/>
                                      </a:lnTo>
                                      <a:lnTo>
                                        <a:pt x="4339387" y="1009789"/>
                                      </a:lnTo>
                                      <a:lnTo>
                                        <a:pt x="4296194" y="993521"/>
                                      </a:lnTo>
                                      <a:lnTo>
                                        <a:pt x="4253357" y="983361"/>
                                      </a:lnTo>
                                      <a:lnTo>
                                        <a:pt x="4203268" y="979881"/>
                                      </a:lnTo>
                                      <a:lnTo>
                                        <a:pt x="4155440" y="986269"/>
                                      </a:lnTo>
                                      <a:lnTo>
                                        <a:pt x="4109859" y="1002411"/>
                                      </a:lnTo>
                                      <a:lnTo>
                                        <a:pt x="4066502" y="1028153"/>
                                      </a:lnTo>
                                      <a:lnTo>
                                        <a:pt x="4025392" y="1063371"/>
                                      </a:lnTo>
                                      <a:lnTo>
                                        <a:pt x="3991102" y="1103668"/>
                                      </a:lnTo>
                                      <a:lnTo>
                                        <a:pt x="3966197" y="1146606"/>
                                      </a:lnTo>
                                      <a:lnTo>
                                        <a:pt x="3950792" y="1192149"/>
                                      </a:lnTo>
                                      <a:lnTo>
                                        <a:pt x="3945001" y="1240243"/>
                                      </a:lnTo>
                                      <a:lnTo>
                                        <a:pt x="3948938" y="1290828"/>
                                      </a:lnTo>
                                      <a:lnTo>
                                        <a:pt x="3959364" y="1334223"/>
                                      </a:lnTo>
                                      <a:lnTo>
                                        <a:pt x="3975976" y="1377988"/>
                                      </a:lnTo>
                                      <a:lnTo>
                                        <a:pt x="3998811" y="1422120"/>
                                      </a:lnTo>
                                      <a:lnTo>
                                        <a:pt x="4027932" y="1466570"/>
                                      </a:lnTo>
                                      <a:lnTo>
                                        <a:pt x="4063403" y="1511287"/>
                                      </a:lnTo>
                                      <a:lnTo>
                                        <a:pt x="4105275" y="1556258"/>
                                      </a:lnTo>
                                      <a:lnTo>
                                        <a:pt x="4143832" y="1592554"/>
                                      </a:lnTo>
                                      <a:lnTo>
                                        <a:pt x="4182072" y="1624050"/>
                                      </a:lnTo>
                                      <a:lnTo>
                                        <a:pt x="4219943" y="1650809"/>
                                      </a:lnTo>
                                      <a:lnTo>
                                        <a:pt x="4257395" y="1672856"/>
                                      </a:lnTo>
                                      <a:lnTo>
                                        <a:pt x="4294378" y="1690243"/>
                                      </a:lnTo>
                                      <a:lnTo>
                                        <a:pt x="4339133" y="1705635"/>
                                      </a:lnTo>
                                      <a:lnTo>
                                        <a:pt x="4381792" y="1714271"/>
                                      </a:lnTo>
                                      <a:lnTo>
                                        <a:pt x="4422330" y="1716443"/>
                                      </a:lnTo>
                                      <a:lnTo>
                                        <a:pt x="4460735" y="1712468"/>
                                      </a:lnTo>
                                      <a:lnTo>
                                        <a:pt x="4533227" y="1684972"/>
                                      </a:lnTo>
                                      <a:lnTo>
                                        <a:pt x="4568253" y="1661007"/>
                                      </a:lnTo>
                                      <a:lnTo>
                                        <a:pt x="4602480" y="1630426"/>
                                      </a:lnTo>
                                      <a:lnTo>
                                        <a:pt x="4632261" y="1596301"/>
                                      </a:lnTo>
                                      <a:lnTo>
                                        <a:pt x="4655032" y="1560601"/>
                                      </a:lnTo>
                                      <a:lnTo>
                                        <a:pt x="4670641" y="1523288"/>
                                      </a:lnTo>
                                      <a:lnTo>
                                        <a:pt x="4678934" y="1484376"/>
                                      </a:lnTo>
                                      <a:lnTo>
                                        <a:pt x="4680788" y="1444447"/>
                                      </a:lnTo>
                                      <a:close/>
                                    </a:path>
                                    <a:path w="5505450" h="5661025">
                                      <a:moveTo>
                                        <a:pt x="4986147" y="1227963"/>
                                      </a:moveTo>
                                      <a:lnTo>
                                        <a:pt x="4780788" y="1022604"/>
                                      </a:lnTo>
                                      <a:lnTo>
                                        <a:pt x="4848479" y="954913"/>
                                      </a:lnTo>
                                      <a:lnTo>
                                        <a:pt x="4880622" y="916901"/>
                                      </a:lnTo>
                                      <a:lnTo>
                                        <a:pt x="4884090" y="910590"/>
                                      </a:lnTo>
                                      <a:lnTo>
                                        <a:pt x="4902111" y="877760"/>
                                      </a:lnTo>
                                      <a:lnTo>
                                        <a:pt x="4912817" y="837577"/>
                                      </a:lnTo>
                                      <a:lnTo>
                                        <a:pt x="4912614" y="796417"/>
                                      </a:lnTo>
                                      <a:lnTo>
                                        <a:pt x="4902517" y="754748"/>
                                      </a:lnTo>
                                      <a:lnTo>
                                        <a:pt x="4883442" y="713003"/>
                                      </a:lnTo>
                                      <a:lnTo>
                                        <a:pt x="4855299" y="671169"/>
                                      </a:lnTo>
                                      <a:lnTo>
                                        <a:pt x="4817999" y="629285"/>
                                      </a:lnTo>
                                      <a:lnTo>
                                        <a:pt x="4777473" y="593026"/>
                                      </a:lnTo>
                                      <a:lnTo>
                                        <a:pt x="4737443" y="565632"/>
                                      </a:lnTo>
                                      <a:lnTo>
                                        <a:pt x="4731893" y="563016"/>
                                      </a:lnTo>
                                      <a:lnTo>
                                        <a:pt x="4731893" y="812673"/>
                                      </a:lnTo>
                                      <a:lnTo>
                                        <a:pt x="4731131" y="828903"/>
                                      </a:lnTo>
                                      <a:lnTo>
                                        <a:pt x="4725314" y="845553"/>
                                      </a:lnTo>
                                      <a:lnTo>
                                        <a:pt x="4714595" y="862672"/>
                                      </a:lnTo>
                                      <a:lnTo>
                                        <a:pt x="4699127" y="880237"/>
                                      </a:lnTo>
                                      <a:lnTo>
                                        <a:pt x="4668774" y="910590"/>
                                      </a:lnTo>
                                      <a:lnTo>
                                        <a:pt x="4545330" y="787146"/>
                                      </a:lnTo>
                                      <a:lnTo>
                                        <a:pt x="4580509" y="751967"/>
                                      </a:lnTo>
                                      <a:lnTo>
                                        <a:pt x="4597628" y="737082"/>
                                      </a:lnTo>
                                      <a:lnTo>
                                        <a:pt x="4614189" y="727290"/>
                                      </a:lnTo>
                                      <a:lnTo>
                                        <a:pt x="4630229" y="722553"/>
                                      </a:lnTo>
                                      <a:lnTo>
                                        <a:pt x="4645787" y="722884"/>
                                      </a:lnTo>
                                      <a:lnTo>
                                        <a:pt x="4689233" y="742772"/>
                                      </a:lnTo>
                                      <a:lnTo>
                                        <a:pt x="4723168" y="782447"/>
                                      </a:lnTo>
                                      <a:lnTo>
                                        <a:pt x="4731893" y="812673"/>
                                      </a:lnTo>
                                      <a:lnTo>
                                        <a:pt x="4731893" y="563016"/>
                                      </a:lnTo>
                                      <a:lnTo>
                                        <a:pt x="4697946" y="546963"/>
                                      </a:lnTo>
                                      <a:lnTo>
                                        <a:pt x="4658995" y="536829"/>
                                      </a:lnTo>
                                      <a:lnTo>
                                        <a:pt x="4620869" y="536219"/>
                                      </a:lnTo>
                                      <a:lnTo>
                                        <a:pt x="4584039" y="545515"/>
                                      </a:lnTo>
                                      <a:lnTo>
                                        <a:pt x="4548530" y="564603"/>
                                      </a:lnTo>
                                      <a:lnTo>
                                        <a:pt x="4514342" y="593344"/>
                                      </a:lnTo>
                                      <a:lnTo>
                                        <a:pt x="4308729" y="798830"/>
                                      </a:lnTo>
                                      <a:lnTo>
                                        <a:pt x="4861941" y="1352042"/>
                                      </a:lnTo>
                                      <a:lnTo>
                                        <a:pt x="4986147" y="1227963"/>
                                      </a:lnTo>
                                      <a:close/>
                                    </a:path>
                                    <a:path w="5505450" h="5661025">
                                      <a:moveTo>
                                        <a:pt x="5505323" y="708660"/>
                                      </a:moveTo>
                                      <a:lnTo>
                                        <a:pt x="5273548" y="477012"/>
                                      </a:lnTo>
                                      <a:lnTo>
                                        <a:pt x="5240020" y="381711"/>
                                      </a:lnTo>
                                      <a:lnTo>
                                        <a:pt x="5141201" y="95250"/>
                                      </a:lnTo>
                                      <a:lnTo>
                                        <a:pt x="5107686" y="0"/>
                                      </a:lnTo>
                                      <a:lnTo>
                                        <a:pt x="4971034" y="136652"/>
                                      </a:lnTo>
                                      <a:lnTo>
                                        <a:pt x="4988852" y="181178"/>
                                      </a:lnTo>
                                      <a:lnTo>
                                        <a:pt x="5041531" y="315112"/>
                                      </a:lnTo>
                                      <a:lnTo>
                                        <a:pt x="5077079" y="404241"/>
                                      </a:lnTo>
                                      <a:lnTo>
                                        <a:pt x="5032565" y="386359"/>
                                      </a:lnTo>
                                      <a:lnTo>
                                        <a:pt x="4898745" y="333527"/>
                                      </a:lnTo>
                                      <a:lnTo>
                                        <a:pt x="4809744" y="297942"/>
                                      </a:lnTo>
                                      <a:lnTo>
                                        <a:pt x="4672457" y="435229"/>
                                      </a:lnTo>
                                      <a:lnTo>
                                        <a:pt x="4767770" y="468693"/>
                                      </a:lnTo>
                                      <a:lnTo>
                                        <a:pt x="5054397" y="567385"/>
                                      </a:lnTo>
                                      <a:lnTo>
                                        <a:pt x="5149723" y="600837"/>
                                      </a:lnTo>
                                      <a:lnTo>
                                        <a:pt x="5381498" y="832485"/>
                                      </a:lnTo>
                                      <a:lnTo>
                                        <a:pt x="5505323" y="70866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7.907999pt;margin-top:-.828084pt;width:433.5pt;height:445.75pt;mso-position-horizontal-relative:column;mso-position-vertical-relative:paragraph;z-index:-25175552" id="docshapegroup281" coordorigin="358,-17" coordsize="8670,8915">
                      <v:shape style="position:absolute;left:358;top:-17;width:8670;height:8915" id="docshape282" coordorigin="358,-17" coordsize="8670,8915" path="m1424,8703l553,7832,358,8027,1229,8898,1424,8703xm2016,8027l2015,7988,2010,7945,2001,7901,1987,7857,1968,7813,1945,7770,1917,7728,1887,7687,1853,7647,1816,7608,1297,7088,1103,7282,1634,7814,1667,7850,1691,7886,1708,7920,1718,7954,1719,7987,1713,8018,1699,8046,1678,8072,1652,8094,1623,8108,1592,8114,1559,8112,1525,8102,1490,8086,1455,8061,1419,8029,888,7498,693,7692,1213,8211,1247,8243,1286,8276,1330,8308,1378,8341,1410,8359,1445,8375,1482,8388,1520,8399,1559,8407,1595,8411,1629,8411,1662,8408,1693,8401,1725,8389,1757,8373,1788,8352,1819,8329,1847,8306,1873,8283,1897,8260,1933,8220,1963,8179,1987,8138,2004,8096,2012,8063,2016,8027xm2744,7244l2738,7180,2722,7114,2696,7047,2668,6993,2633,6937,2590,6879,2540,6820,2522,6802,2483,6760,2459,6738,2459,7232,2454,7272,2439,7309,2413,7342,2380,7367,2343,7382,2303,7387,2258,7380,2209,7362,2156,7331,2097,7286,2033,7226,1974,7163,1928,7103,1897,7049,1878,7000,1872,6956,1876,6915,1891,6879,1915,6848,1948,6822,1984,6807,2025,6802,2069,6807,2117,6824,2169,6854,2225,6896,2285,6951,2350,7021,2400,7084,2434,7140,2453,7188,2459,7232,2459,6738,2413,6695,2344,6640,2275,6595,2206,6559,2138,6534,2071,6518,1992,6512,1916,6522,1845,6548,1776,6588,1712,6644,1658,6707,1618,6775,1594,6847,1585,6922,1591,7002,1608,7070,1634,7139,1670,7209,1716,7279,1772,7349,1838,7420,1898,7477,1958,7527,2018,7569,2077,7603,2135,7631,2206,7655,2273,7669,2337,7672,2397,7666,2455,7650,2511,7623,2567,7585,2620,7537,2667,7483,2703,7427,2720,7387,2728,7368,2741,7307,2744,7244xm3015,6664l2828,6477,2574,6731,2761,6918,3015,6664xm3526,6602l2655,5730,2460,5925,3331,6797,3526,6602xm3860,6267l3537,5944,3643,5837,3694,5778,3699,5768,3728,5716,3745,5653,3744,5588,3728,5522,3705,5472,3698,5457,3654,5391,3595,5325,3532,5268,3469,5224,3460,5220,3460,5613,3459,5639,3449,5665,3432,5692,3408,5720,3360,5768,3166,5573,3221,5518,3248,5494,3274,5479,3300,5472,3324,5472,3348,5478,3371,5489,3393,5503,3414,5522,3432,5543,3446,5566,3455,5589,3460,5613,3460,5220,3406,5195,3345,5179,3285,5178,3227,5193,3171,5223,3117,5268,2793,5592,3665,6463,3860,6267xm4650,5478l3994,4822,4192,4623,3977,4408,3386,5000,3601,5215,3799,5016,4455,5672,4650,5478xm5285,4842l4629,4186,4828,3988,4613,3773,4021,4364,4236,4579,4435,4381,5091,5037,5285,4842xm6019,3969l6013,3905,5997,3839,5971,3772,5943,3718,5908,3662,5865,3605,5815,3546,5797,3527,5758,3485,5734,3463,5734,3957,5729,3997,5713,4034,5687,4067,5655,4092,5618,4107,5578,4112,5533,4105,5484,4087,5431,4056,5372,4011,5308,3952,5249,3888,5203,3828,5171,3774,5153,3725,5147,3681,5151,3641,5165,3605,5190,3573,5223,3547,5259,3532,5300,3527,5344,3532,5392,3549,5444,3579,5500,3621,5560,3676,5625,3746,5675,3809,5709,3865,5728,3913,5734,3957,5734,3463,5688,3420,5618,3365,5549,3320,5481,3285,5413,3259,5345,3243,5267,3237,5191,3247,5119,3273,5051,3313,4987,3369,4933,3432,4893,3500,4869,3572,4860,3647,4866,3727,4883,3795,4909,3864,4945,3934,4991,4004,5046,4074,5112,4145,5173,4202,5233,4252,5293,4294,5352,4329,5410,4356,5481,4380,5548,4394,5612,4397,5672,4391,5730,4375,5786,4348,5841,4310,5895,4262,5942,4208,5978,4152,5995,4112,6003,4093,6016,4032,6019,3969xm7032,2974l7027,2925,7015,2874,6996,2821,6971,2767,6941,2711,6903,2654,6842,2679,6661,2753,6693,2800,6717,2843,6735,2883,6746,2920,6749,2956,6743,2989,6728,3020,6705,3049,6674,3072,6640,3086,6602,3091,6562,3084,6515,3066,6462,3032,6400,2982,6331,2918,6279,2861,6237,2809,6206,2762,6186,2719,6173,2668,6174,2621,6187,2580,6214,2544,6229,2531,6246,2521,6264,2513,6284,2508,6304,2506,6326,2506,6348,2510,6371,2516,6386,2521,6404,2530,6425,2541,6448,2555,6567,2330,6484,2284,6405,2252,6331,2233,6262,2227,6195,2234,6131,2257,6068,2295,6008,2347,5954,2410,5916,2477,5892,2547,5883,2621,5889,2698,5905,2765,5932,2833,5968,2902,6015,2972,6071,3043,6138,3114,6202,3175,6266,3227,6329,3271,6391,3306,6452,3334,6524,3357,6592,3370,6653,3373,6709,3366,6762,3349,6814,3323,6866,3286,6918,3239,6956,3197,6987,3154,7009,3110,7023,3066,7031,3021,7032,2974xm7729,2258l7723,2194,7708,2128,7682,2062,7654,2007,7619,1951,7576,1894,7526,1835,7508,1816,7469,1774,7445,1752,7445,2246,7440,2286,7424,2323,7398,2356,7366,2381,7329,2396,7289,2401,7244,2395,7195,2376,7141,2345,7083,2300,7019,2241,6960,2177,6914,2118,6882,2064,6864,2014,6858,1970,6862,1930,6876,1894,6901,1862,6933,1837,6970,1821,7011,1816,7055,1821,7103,1838,7155,1868,7211,1910,7271,1965,7336,2035,7385,2098,7420,2154,7439,2203,7445,2246,7445,1752,7399,1709,7329,1654,7260,1609,7192,1574,7124,1548,7056,1532,6977,1527,6902,1537,6830,1562,6762,1603,6697,1658,6643,1721,6604,1789,6580,1861,6571,1937,6577,2016,6593,2085,6620,2153,6656,2223,6701,2293,6757,2363,6823,2434,6884,2491,6944,2541,7004,2583,7063,2618,7121,2645,7191,2669,7259,2683,7322,2686,7383,2680,7441,2664,7497,2637,7552,2599,7606,2551,7653,2497,7689,2441,7706,2401,7714,2382,7727,2321,7729,2258xm8210,1917l7887,1594,7994,1487,8044,1427,8050,1417,8078,1366,8095,1302,8095,1238,8079,1172,8056,1121,8049,1106,8004,1040,7946,974,7882,917,7819,874,7810,870,7810,1263,7809,1289,7800,1315,7783,1342,7758,1370,7711,1417,7516,1223,7572,1168,7599,1144,7625,1129,7650,1121,7674,1122,7698,1128,7721,1139,7743,1153,7764,1172,7782,1193,7796,1216,7805,1239,7810,1263,7810,870,7757,845,7695,829,7635,828,7577,843,7521,873,7467,918,7144,1241,8015,2113,8210,1917xm9028,1099l8663,735,8610,585,8455,133,8402,-17,8187,199,8215,269,8298,480,8354,620,8283,592,8073,509,7933,453,7716,669,7866,722,8318,877,8468,930,8833,1294,9028,1099xe" filled="true" fillcolor="#c0c0c0" stroked="false">
                        <v:path arrowok="t"/>
                        <v:fill opacity="32896f" type="solid"/>
                      </v:shape>
                      <w10:wrap type="none"/>
                    </v:group>
                  </w:pict>
                </mc:Fallback>
              </mc:AlternateContent>
            </w:r>
            <w:r>
              <w:rPr>
                <w:spacing w:val="-2"/>
                <w:sz w:val="18"/>
              </w:rPr>
              <w:t>(0.00107)</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2" w:right="81"/>
              <w:jc w:val="center"/>
              <w:rPr>
                <w:sz w:val="18"/>
              </w:rPr>
            </w:pPr>
            <w:r>
              <w:rPr>
                <w:spacing w:val="-2"/>
                <w:sz w:val="18"/>
              </w:rPr>
              <w:t>D(FDI)</w:t>
            </w:r>
          </w:p>
        </w:tc>
        <w:tc>
          <w:tcPr>
            <w:tcW w:w="1266" w:type="dxa"/>
          </w:tcPr>
          <w:p>
            <w:pPr>
              <w:pStyle w:val="TableParagraph"/>
              <w:ind w:right="231"/>
              <w:jc w:val="right"/>
              <w:rPr>
                <w:sz w:val="18"/>
              </w:rPr>
            </w:pPr>
            <w:r>
              <w:rPr>
                <w:spacing w:val="-2"/>
                <w:sz w:val="18"/>
              </w:rPr>
              <w:t>-0.000728</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right="225"/>
              <w:jc w:val="right"/>
              <w:rPr>
                <w:sz w:val="18"/>
              </w:rPr>
            </w:pPr>
            <w:r>
              <w:rPr>
                <w:spacing w:val="-2"/>
                <w:sz w:val="18"/>
              </w:rPr>
              <w:t>(0.00040)</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left="2" w:right="81"/>
              <w:jc w:val="center"/>
              <w:rPr>
                <w:sz w:val="18"/>
              </w:rPr>
            </w:pPr>
            <w:r>
              <w:rPr>
                <w:spacing w:val="-2"/>
                <w:sz w:val="18"/>
              </w:rPr>
              <w:t>D(FPI)</w:t>
            </w:r>
          </w:p>
        </w:tc>
        <w:tc>
          <w:tcPr>
            <w:tcW w:w="1266" w:type="dxa"/>
          </w:tcPr>
          <w:p>
            <w:pPr>
              <w:pStyle w:val="TableParagraph"/>
              <w:spacing w:line="198" w:lineRule="exact"/>
              <w:ind w:right="241"/>
              <w:jc w:val="right"/>
              <w:rPr>
                <w:sz w:val="18"/>
              </w:rPr>
            </w:pPr>
            <w:r>
              <w:rPr>
                <w:spacing w:val="-2"/>
                <w:sz w:val="18"/>
              </w:rPr>
              <w:t>-2.25E-</w:t>
            </w:r>
            <w:r>
              <w:rPr>
                <w:spacing w:val="-5"/>
                <w:sz w:val="18"/>
              </w:rPr>
              <w:t>05</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before="5"/>
              <w:ind w:right="234"/>
              <w:jc w:val="right"/>
              <w:rPr>
                <w:sz w:val="18"/>
              </w:rPr>
            </w:pPr>
            <w:r>
              <w:rPr>
                <w:spacing w:val="-2"/>
                <w:sz w:val="18"/>
              </w:rPr>
              <w:t>(1.5E-</w:t>
            </w:r>
            <w:r>
              <w:rPr>
                <w:spacing w:val="-5"/>
                <w:sz w:val="18"/>
              </w:rPr>
              <w:t>05)</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5" w:right="81"/>
              <w:jc w:val="center"/>
              <w:rPr>
                <w:sz w:val="18"/>
              </w:rPr>
            </w:pPr>
            <w:r>
              <w:rPr>
                <w:spacing w:val="-2"/>
                <w:sz w:val="18"/>
              </w:rPr>
              <w:t>D(TOP)</w:t>
            </w:r>
          </w:p>
        </w:tc>
        <w:tc>
          <w:tcPr>
            <w:tcW w:w="1266" w:type="dxa"/>
          </w:tcPr>
          <w:p>
            <w:pPr>
              <w:pStyle w:val="TableParagraph"/>
              <w:ind w:right="241"/>
              <w:jc w:val="right"/>
              <w:rPr>
                <w:sz w:val="18"/>
              </w:rPr>
            </w:pPr>
            <w:r>
              <w:rPr>
                <w:spacing w:val="-2"/>
                <w:sz w:val="18"/>
              </w:rPr>
              <w:t>-2.92E-</w:t>
            </w:r>
            <w:r>
              <w:rPr>
                <w:spacing w:val="-5"/>
                <w:sz w:val="18"/>
              </w:rPr>
              <w:t>06</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right="234"/>
              <w:jc w:val="right"/>
              <w:rPr>
                <w:sz w:val="18"/>
              </w:rPr>
            </w:pPr>
            <w:r>
              <w:rPr>
                <w:spacing w:val="-2"/>
                <w:sz w:val="18"/>
              </w:rPr>
              <w:t>(8.4E-</w:t>
            </w:r>
            <w:r>
              <w:rPr>
                <w:spacing w:val="-5"/>
                <w:sz w:val="18"/>
              </w:rPr>
              <w:t>06)</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left="2" w:right="81"/>
              <w:jc w:val="center"/>
              <w:rPr>
                <w:sz w:val="18"/>
              </w:rPr>
            </w:pPr>
            <w:r>
              <w:rPr>
                <w:spacing w:val="-2"/>
                <w:sz w:val="18"/>
              </w:rPr>
              <w:t>D(REM)</w:t>
            </w:r>
          </w:p>
        </w:tc>
        <w:tc>
          <w:tcPr>
            <w:tcW w:w="1266" w:type="dxa"/>
          </w:tcPr>
          <w:p>
            <w:pPr>
              <w:pStyle w:val="TableParagraph"/>
              <w:spacing w:line="198" w:lineRule="exact"/>
              <w:ind w:right="241"/>
              <w:jc w:val="right"/>
              <w:rPr>
                <w:sz w:val="18"/>
              </w:rPr>
            </w:pPr>
            <w:r>
              <w:rPr>
                <w:spacing w:val="-2"/>
                <w:sz w:val="18"/>
              </w:rPr>
              <w:t>-1.01E-</w:t>
            </w:r>
            <w:r>
              <w:rPr>
                <w:spacing w:val="-5"/>
                <w:sz w:val="18"/>
              </w:rPr>
              <w:t>06</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00" w:lineRule="exact" w:before="5"/>
              <w:ind w:right="225"/>
              <w:jc w:val="right"/>
              <w:rPr>
                <w:sz w:val="18"/>
              </w:rPr>
            </w:pPr>
            <w:r>
              <w:rPr>
                <w:spacing w:val="-2"/>
                <w:sz w:val="18"/>
              </w:rPr>
              <w:t>(0.00029)</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right="81"/>
              <w:jc w:val="center"/>
              <w:rPr>
                <w:sz w:val="18"/>
              </w:rPr>
            </w:pPr>
            <w:r>
              <w:rPr>
                <w:spacing w:val="-2"/>
                <w:sz w:val="18"/>
              </w:rPr>
              <w:t>D(ODA)</w:t>
            </w:r>
          </w:p>
        </w:tc>
        <w:tc>
          <w:tcPr>
            <w:tcW w:w="1266" w:type="dxa"/>
          </w:tcPr>
          <w:p>
            <w:pPr>
              <w:pStyle w:val="TableParagraph"/>
              <w:ind w:right="231"/>
              <w:jc w:val="right"/>
              <w:rPr>
                <w:sz w:val="18"/>
              </w:rPr>
            </w:pPr>
            <w:r>
              <w:rPr>
                <w:spacing w:val="-2"/>
                <w:sz w:val="18"/>
              </w:rPr>
              <w:t>-0.003249</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right="225"/>
              <w:jc w:val="right"/>
              <w:rPr>
                <w:sz w:val="18"/>
              </w:rPr>
            </w:pPr>
            <w:r>
              <w:rPr>
                <w:spacing w:val="-2"/>
                <w:sz w:val="18"/>
              </w:rPr>
              <w:t>(0.00273)</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right="81"/>
              <w:jc w:val="center"/>
              <w:rPr>
                <w:sz w:val="18"/>
              </w:rPr>
            </w:pPr>
            <w:r>
              <w:rPr>
                <w:spacing w:val="-2"/>
                <w:sz w:val="18"/>
              </w:rPr>
              <w:t>D(CPS_GDP)</w:t>
            </w:r>
          </w:p>
        </w:tc>
        <w:tc>
          <w:tcPr>
            <w:tcW w:w="1266" w:type="dxa"/>
          </w:tcPr>
          <w:p>
            <w:pPr>
              <w:pStyle w:val="TableParagraph"/>
              <w:spacing w:line="198" w:lineRule="exact"/>
              <w:ind w:right="246"/>
              <w:jc w:val="right"/>
              <w:rPr>
                <w:sz w:val="18"/>
              </w:rPr>
            </w:pPr>
            <w:r>
              <w:rPr>
                <w:spacing w:val="-2"/>
                <w:sz w:val="18"/>
              </w:rPr>
              <w:t>3.21E-</w:t>
            </w:r>
            <w:r>
              <w:rPr>
                <w:spacing w:val="-5"/>
                <w:sz w:val="18"/>
              </w:rPr>
              <w:t>06</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before="5"/>
              <w:ind w:right="234"/>
              <w:jc w:val="right"/>
              <w:rPr>
                <w:sz w:val="18"/>
              </w:rPr>
            </w:pPr>
            <w:r>
              <w:rPr>
                <w:spacing w:val="-2"/>
                <w:sz w:val="18"/>
              </w:rPr>
              <w:t>(2.9E-</w:t>
            </w:r>
            <w:r>
              <w:rPr>
                <w:spacing w:val="-5"/>
                <w:sz w:val="18"/>
              </w:rPr>
              <w:t>06)</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2" w:right="81"/>
              <w:jc w:val="center"/>
              <w:rPr>
                <w:sz w:val="18"/>
              </w:rPr>
            </w:pPr>
            <w:r>
              <w:rPr>
                <w:spacing w:val="-2"/>
                <w:sz w:val="18"/>
              </w:rPr>
              <w:t>D(INT)</w:t>
            </w:r>
          </w:p>
        </w:tc>
        <w:tc>
          <w:tcPr>
            <w:tcW w:w="1266" w:type="dxa"/>
          </w:tcPr>
          <w:p>
            <w:pPr>
              <w:pStyle w:val="TableParagraph"/>
              <w:ind w:right="241"/>
              <w:jc w:val="right"/>
              <w:rPr>
                <w:sz w:val="18"/>
              </w:rPr>
            </w:pPr>
            <w:r>
              <w:rPr>
                <w:spacing w:val="-2"/>
                <w:sz w:val="18"/>
              </w:rPr>
              <w:t>-2.49E-</w:t>
            </w:r>
            <w:r>
              <w:rPr>
                <w:spacing w:val="-5"/>
                <w:sz w:val="18"/>
              </w:rPr>
              <w:t>06</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right="234"/>
              <w:jc w:val="right"/>
              <w:rPr>
                <w:sz w:val="18"/>
              </w:rPr>
            </w:pPr>
            <w:r>
              <w:rPr>
                <w:spacing w:val="-2"/>
                <w:sz w:val="18"/>
              </w:rPr>
              <w:t>(5.3E-</w:t>
            </w:r>
            <w:r>
              <w:rPr>
                <w:spacing w:val="-5"/>
                <w:sz w:val="18"/>
              </w:rPr>
              <w:t>06)</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right="81"/>
              <w:jc w:val="center"/>
              <w:rPr>
                <w:sz w:val="18"/>
              </w:rPr>
            </w:pPr>
            <w:r>
              <w:rPr>
                <w:spacing w:val="-2"/>
                <w:sz w:val="18"/>
              </w:rPr>
              <w:t>D(EXCH)</w:t>
            </w:r>
          </w:p>
        </w:tc>
        <w:tc>
          <w:tcPr>
            <w:tcW w:w="1266" w:type="dxa"/>
          </w:tcPr>
          <w:p>
            <w:pPr>
              <w:pStyle w:val="TableParagraph"/>
              <w:spacing w:line="198" w:lineRule="exact"/>
              <w:ind w:right="241"/>
              <w:jc w:val="right"/>
              <w:rPr>
                <w:sz w:val="18"/>
              </w:rPr>
            </w:pPr>
            <w:r>
              <w:rPr>
                <w:spacing w:val="-2"/>
                <w:sz w:val="18"/>
              </w:rPr>
              <w:t>-3.97E-</w:t>
            </w:r>
            <w:r>
              <w:rPr>
                <w:spacing w:val="-5"/>
                <w:sz w:val="18"/>
              </w:rPr>
              <w:t>05</w:t>
            </w: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302" w:hRule="atLeast"/>
        </w:trPr>
        <w:tc>
          <w:tcPr>
            <w:tcW w:w="1467" w:type="dxa"/>
            <w:tcBorders>
              <w:bottom w:val="double" w:sz="6" w:space="0" w:color="000000"/>
            </w:tcBorders>
          </w:tcPr>
          <w:p>
            <w:pPr>
              <w:pStyle w:val="TableParagraph"/>
              <w:spacing w:line="240" w:lineRule="auto" w:before="0"/>
              <w:rPr>
                <w:rFonts w:ascii="Times New Roman"/>
                <w:sz w:val="18"/>
              </w:rPr>
            </w:pPr>
          </w:p>
        </w:tc>
        <w:tc>
          <w:tcPr>
            <w:tcW w:w="1266" w:type="dxa"/>
            <w:tcBorders>
              <w:bottom w:val="double" w:sz="6" w:space="0" w:color="000000"/>
            </w:tcBorders>
          </w:tcPr>
          <w:p>
            <w:pPr>
              <w:pStyle w:val="TableParagraph"/>
              <w:spacing w:line="240" w:lineRule="auto" w:before="5"/>
              <w:ind w:right="234"/>
              <w:jc w:val="right"/>
              <w:rPr>
                <w:sz w:val="18"/>
              </w:rPr>
            </w:pPr>
            <w:r>
              <w:rPr>
                <w:spacing w:val="-2"/>
                <w:sz w:val="18"/>
              </w:rPr>
              <w:t>(2.1E-</w:t>
            </w:r>
            <w:r>
              <w:rPr>
                <w:spacing w:val="-5"/>
                <w:sz w:val="18"/>
              </w:rPr>
              <w:t>05)</w:t>
            </w:r>
          </w:p>
        </w:tc>
        <w:tc>
          <w:tcPr>
            <w:tcW w:w="1561" w:type="dxa"/>
            <w:tcBorders>
              <w:bottom w:val="double" w:sz="6" w:space="0" w:color="000000"/>
            </w:tcBorders>
          </w:tcPr>
          <w:p>
            <w:pPr>
              <w:pStyle w:val="TableParagraph"/>
              <w:spacing w:line="240" w:lineRule="auto" w:before="0"/>
              <w:rPr>
                <w:rFonts w:ascii="Times New Roman"/>
                <w:sz w:val="18"/>
              </w:rPr>
            </w:pPr>
          </w:p>
        </w:tc>
        <w:tc>
          <w:tcPr>
            <w:tcW w:w="1350" w:type="dxa"/>
            <w:tcBorders>
              <w:bottom w:val="double" w:sz="6" w:space="0" w:color="000000"/>
            </w:tcBorders>
          </w:tcPr>
          <w:p>
            <w:pPr>
              <w:pStyle w:val="TableParagraph"/>
              <w:spacing w:line="240" w:lineRule="auto" w:before="0"/>
              <w:rPr>
                <w:rFonts w:ascii="Times New Roman"/>
                <w:sz w:val="18"/>
              </w:rPr>
            </w:pPr>
          </w:p>
        </w:tc>
        <w:tc>
          <w:tcPr>
            <w:tcW w:w="1418" w:type="dxa"/>
            <w:tcBorders>
              <w:bottom w:val="double" w:sz="6" w:space="0" w:color="000000"/>
            </w:tcBorders>
          </w:tcPr>
          <w:p>
            <w:pPr>
              <w:pStyle w:val="TableParagraph"/>
              <w:spacing w:line="240" w:lineRule="auto" w:before="0"/>
              <w:rPr>
                <w:rFonts w:ascii="Times New Roman"/>
                <w:sz w:val="18"/>
              </w:rPr>
            </w:pPr>
          </w:p>
        </w:tc>
        <w:tc>
          <w:tcPr>
            <w:tcW w:w="1406" w:type="dxa"/>
            <w:tcBorders>
              <w:bottom w:val="double" w:sz="6" w:space="0" w:color="000000"/>
            </w:tcBorders>
          </w:tcPr>
          <w:p>
            <w:pPr>
              <w:pStyle w:val="TableParagraph"/>
              <w:spacing w:line="240" w:lineRule="auto" w:before="0"/>
              <w:rPr>
                <w:rFonts w:ascii="Times New Roman"/>
                <w:sz w:val="18"/>
              </w:rPr>
            </w:pPr>
          </w:p>
        </w:tc>
        <w:tc>
          <w:tcPr>
            <w:tcW w:w="1439" w:type="dxa"/>
            <w:tcBorders>
              <w:bottom w:val="double" w:sz="6" w:space="0" w:color="000000"/>
            </w:tcBorders>
          </w:tcPr>
          <w:p>
            <w:pPr>
              <w:pStyle w:val="TableParagraph"/>
              <w:spacing w:line="240" w:lineRule="auto" w:before="0"/>
              <w:rPr>
                <w:rFonts w:ascii="Times New Roman"/>
                <w:sz w:val="18"/>
              </w:rPr>
            </w:pPr>
          </w:p>
        </w:tc>
        <w:tc>
          <w:tcPr>
            <w:tcW w:w="1409" w:type="dxa"/>
            <w:tcBorders>
              <w:bottom w:val="double" w:sz="6" w:space="0" w:color="000000"/>
            </w:tcBorders>
          </w:tcPr>
          <w:p>
            <w:pPr>
              <w:pStyle w:val="TableParagraph"/>
              <w:spacing w:line="240" w:lineRule="auto" w:before="0"/>
              <w:rPr>
                <w:rFonts w:ascii="Times New Roman"/>
                <w:sz w:val="18"/>
              </w:rPr>
            </w:pPr>
          </w:p>
        </w:tc>
        <w:tc>
          <w:tcPr>
            <w:tcW w:w="2834" w:type="dxa"/>
            <w:tcBorders>
              <w:bottom w:val="double" w:sz="6" w:space="0" w:color="000000"/>
            </w:tcBorders>
          </w:tcPr>
          <w:p>
            <w:pPr>
              <w:pStyle w:val="TableParagraph"/>
              <w:spacing w:line="240" w:lineRule="auto" w:before="0"/>
              <w:rPr>
                <w:rFonts w:ascii="Times New Roman"/>
                <w:sz w:val="18"/>
              </w:rPr>
            </w:pPr>
          </w:p>
        </w:tc>
      </w:tr>
      <w:tr>
        <w:trPr>
          <w:trHeight w:val="629" w:hRule="atLeast"/>
        </w:trPr>
        <w:tc>
          <w:tcPr>
            <w:tcW w:w="2733" w:type="dxa"/>
            <w:gridSpan w:val="2"/>
            <w:tcBorders>
              <w:top w:val="double" w:sz="6" w:space="0" w:color="000000"/>
              <w:bottom w:val="double" w:sz="6" w:space="0" w:color="000000"/>
            </w:tcBorders>
          </w:tcPr>
          <w:p>
            <w:pPr>
              <w:pStyle w:val="TableParagraph"/>
              <w:spacing w:line="240" w:lineRule="auto" w:before="127"/>
              <w:rPr>
                <w:rFonts w:ascii="Times New Roman"/>
                <w:b/>
                <w:sz w:val="18"/>
              </w:rPr>
            </w:pPr>
          </w:p>
          <w:p>
            <w:pPr>
              <w:pStyle w:val="TableParagraph"/>
              <w:spacing w:line="240" w:lineRule="auto" w:before="0"/>
              <w:rPr>
                <w:sz w:val="18"/>
              </w:rPr>
            </w:pPr>
            <w:r>
              <w:rPr>
                <w:sz w:val="18"/>
              </w:rPr>
              <w:t>2</w:t>
            </w:r>
            <w:r>
              <w:rPr>
                <w:spacing w:val="-5"/>
                <w:sz w:val="18"/>
              </w:rPr>
              <w:t> </w:t>
            </w:r>
            <w:r>
              <w:rPr>
                <w:sz w:val="18"/>
              </w:rPr>
              <w:t>Cointegrating</w:t>
            </w:r>
            <w:r>
              <w:rPr>
                <w:spacing w:val="-3"/>
                <w:sz w:val="18"/>
              </w:rPr>
              <w:t> </w:t>
            </w:r>
            <w:r>
              <w:rPr>
                <w:spacing w:val="-2"/>
                <w:sz w:val="18"/>
              </w:rPr>
              <w:t>Equation(s):</w:t>
            </w:r>
          </w:p>
        </w:tc>
        <w:tc>
          <w:tcPr>
            <w:tcW w:w="1561" w:type="dxa"/>
            <w:tcBorders>
              <w:top w:val="double" w:sz="6" w:space="0" w:color="000000"/>
              <w:bottom w:val="double" w:sz="6" w:space="0" w:color="000000"/>
            </w:tcBorders>
          </w:tcPr>
          <w:p>
            <w:pPr>
              <w:pStyle w:val="TableParagraph"/>
              <w:spacing w:line="240" w:lineRule="auto" w:before="127"/>
              <w:rPr>
                <w:rFonts w:ascii="Times New Roman"/>
                <w:b/>
                <w:sz w:val="18"/>
              </w:rPr>
            </w:pPr>
          </w:p>
          <w:p>
            <w:pPr>
              <w:pStyle w:val="TableParagraph"/>
              <w:spacing w:line="240" w:lineRule="auto" w:before="0"/>
              <w:ind w:left="48" w:right="51"/>
              <w:jc w:val="center"/>
              <w:rPr>
                <w:sz w:val="18"/>
              </w:rPr>
            </w:pPr>
            <w:r>
              <w:rPr>
                <w:sz w:val="18"/>
              </w:rPr>
              <w:t>Log</w:t>
            </w:r>
            <w:r>
              <w:rPr>
                <w:spacing w:val="-3"/>
                <w:sz w:val="18"/>
              </w:rPr>
              <w:t> </w:t>
            </w:r>
            <w:r>
              <w:rPr>
                <w:spacing w:val="-2"/>
                <w:sz w:val="18"/>
              </w:rPr>
              <w:t>likelihood</w:t>
            </w:r>
          </w:p>
        </w:tc>
        <w:tc>
          <w:tcPr>
            <w:tcW w:w="1350" w:type="dxa"/>
            <w:tcBorders>
              <w:top w:val="double" w:sz="6" w:space="0" w:color="000000"/>
              <w:bottom w:val="double" w:sz="6" w:space="0" w:color="000000"/>
            </w:tcBorders>
          </w:tcPr>
          <w:p>
            <w:pPr>
              <w:pStyle w:val="TableParagraph"/>
              <w:spacing w:line="240" w:lineRule="auto" w:before="127"/>
              <w:rPr>
                <w:rFonts w:ascii="Times New Roman"/>
                <w:b/>
                <w:sz w:val="18"/>
              </w:rPr>
            </w:pPr>
          </w:p>
          <w:p>
            <w:pPr>
              <w:pStyle w:val="TableParagraph"/>
              <w:spacing w:line="240" w:lineRule="auto" w:before="0"/>
              <w:ind w:right="74"/>
              <w:jc w:val="center"/>
              <w:rPr>
                <w:sz w:val="18"/>
              </w:rPr>
            </w:pPr>
            <w:r>
              <w:rPr>
                <w:spacing w:val="-2"/>
                <w:sz w:val="18"/>
              </w:rPr>
              <w:t>-1441.126</w:t>
            </w:r>
          </w:p>
        </w:tc>
        <w:tc>
          <w:tcPr>
            <w:tcW w:w="1418"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06"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39"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09"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834" w:type="dxa"/>
            <w:tcBorders>
              <w:top w:val="double" w:sz="6" w:space="0" w:color="000000"/>
              <w:bottom w:val="double" w:sz="6" w:space="0" w:color="000000"/>
            </w:tcBorders>
          </w:tcPr>
          <w:p>
            <w:pPr>
              <w:pStyle w:val="TableParagraph"/>
              <w:spacing w:line="240" w:lineRule="auto" w:before="0"/>
              <w:rPr>
                <w:rFonts w:ascii="Times New Roman"/>
                <w:sz w:val="18"/>
              </w:rPr>
            </w:pPr>
          </w:p>
        </w:tc>
      </w:tr>
      <w:tr>
        <w:trPr>
          <w:trHeight w:val="328" w:hRule="atLeast"/>
        </w:trPr>
        <w:tc>
          <w:tcPr>
            <w:tcW w:w="14150" w:type="dxa"/>
            <w:gridSpan w:val="9"/>
            <w:tcBorders>
              <w:top w:val="double" w:sz="6" w:space="0" w:color="000000"/>
            </w:tcBorders>
          </w:tcPr>
          <w:p>
            <w:pPr>
              <w:pStyle w:val="TableParagraph"/>
              <w:spacing w:before="109"/>
              <w:rPr>
                <w:sz w:val="18"/>
              </w:rPr>
            </w:pPr>
            <w:r>
              <w:rPr>
                <w:sz w:val="18"/>
              </w:rPr>
              <w:t>Normalized</w:t>
            </w:r>
            <w:r>
              <w:rPr>
                <w:spacing w:val="-11"/>
                <w:sz w:val="18"/>
              </w:rPr>
              <w:t> </w:t>
            </w:r>
            <w:r>
              <w:rPr>
                <w:sz w:val="18"/>
              </w:rPr>
              <w:t>cointegrating</w:t>
            </w:r>
            <w:r>
              <w:rPr>
                <w:spacing w:val="-12"/>
                <w:sz w:val="18"/>
              </w:rPr>
              <w:t> </w:t>
            </w:r>
            <w:r>
              <w:rPr>
                <w:sz w:val="18"/>
              </w:rPr>
              <w:t>coefficients</w:t>
            </w:r>
            <w:r>
              <w:rPr>
                <w:spacing w:val="-12"/>
                <w:sz w:val="18"/>
              </w:rPr>
              <w:t> </w:t>
            </w:r>
            <w:r>
              <w:rPr>
                <w:sz w:val="18"/>
              </w:rPr>
              <w:t>(standard</w:t>
            </w:r>
            <w:r>
              <w:rPr>
                <w:spacing w:val="-10"/>
                <w:sz w:val="18"/>
              </w:rPr>
              <w:t> </w:t>
            </w:r>
            <w:r>
              <w:rPr>
                <w:sz w:val="18"/>
              </w:rPr>
              <w:t>error</w:t>
            </w:r>
            <w:r>
              <w:rPr>
                <w:spacing w:val="-13"/>
                <w:sz w:val="18"/>
              </w:rPr>
              <w:t> </w:t>
            </w:r>
            <w:r>
              <w:rPr>
                <w:sz w:val="18"/>
              </w:rPr>
              <w:t>in</w:t>
            </w:r>
            <w:r>
              <w:rPr>
                <w:spacing w:val="-12"/>
                <w:sz w:val="18"/>
              </w:rPr>
              <w:t> </w:t>
            </w:r>
            <w:r>
              <w:rPr>
                <w:spacing w:val="-2"/>
                <w:sz w:val="18"/>
              </w:rPr>
              <w:t>parentheses)</w:t>
            </w:r>
          </w:p>
        </w:tc>
      </w:tr>
      <w:tr>
        <w:trPr>
          <w:trHeight w:val="225" w:hRule="atLeast"/>
        </w:trPr>
        <w:tc>
          <w:tcPr>
            <w:tcW w:w="1467" w:type="dxa"/>
          </w:tcPr>
          <w:p>
            <w:pPr>
              <w:pStyle w:val="TableParagraph"/>
              <w:ind w:right="81"/>
              <w:jc w:val="center"/>
              <w:rPr>
                <w:sz w:val="18"/>
              </w:rPr>
            </w:pPr>
            <w:r>
              <w:rPr>
                <w:spacing w:val="-4"/>
                <w:sz w:val="18"/>
              </w:rPr>
              <w:t>RGDP</w:t>
            </w:r>
          </w:p>
        </w:tc>
        <w:tc>
          <w:tcPr>
            <w:tcW w:w="1266" w:type="dxa"/>
          </w:tcPr>
          <w:p>
            <w:pPr>
              <w:pStyle w:val="TableParagraph"/>
              <w:ind w:left="38" w:right="47"/>
              <w:jc w:val="center"/>
              <w:rPr>
                <w:sz w:val="18"/>
              </w:rPr>
            </w:pPr>
            <w:r>
              <w:rPr>
                <w:spacing w:val="-5"/>
                <w:sz w:val="18"/>
              </w:rPr>
              <w:t>FDI</w:t>
            </w:r>
          </w:p>
        </w:tc>
        <w:tc>
          <w:tcPr>
            <w:tcW w:w="1561" w:type="dxa"/>
          </w:tcPr>
          <w:p>
            <w:pPr>
              <w:pStyle w:val="TableParagraph"/>
              <w:ind w:left="48" w:right="52"/>
              <w:jc w:val="center"/>
              <w:rPr>
                <w:sz w:val="18"/>
              </w:rPr>
            </w:pPr>
            <w:r>
              <w:rPr>
                <w:spacing w:val="-5"/>
                <w:sz w:val="18"/>
              </w:rPr>
              <w:t>FPI</w:t>
            </w:r>
          </w:p>
        </w:tc>
        <w:tc>
          <w:tcPr>
            <w:tcW w:w="1350" w:type="dxa"/>
          </w:tcPr>
          <w:p>
            <w:pPr>
              <w:pStyle w:val="TableParagraph"/>
              <w:ind w:right="74"/>
              <w:jc w:val="center"/>
              <w:rPr>
                <w:sz w:val="18"/>
              </w:rPr>
            </w:pPr>
            <w:r>
              <w:rPr>
                <w:spacing w:val="-5"/>
                <w:sz w:val="18"/>
              </w:rPr>
              <w:t>TOP</w:t>
            </w:r>
          </w:p>
        </w:tc>
        <w:tc>
          <w:tcPr>
            <w:tcW w:w="1418" w:type="dxa"/>
          </w:tcPr>
          <w:p>
            <w:pPr>
              <w:pStyle w:val="TableParagraph"/>
              <w:ind w:left="43" w:right="52"/>
              <w:jc w:val="center"/>
              <w:rPr>
                <w:sz w:val="18"/>
              </w:rPr>
            </w:pPr>
            <w:r>
              <w:rPr>
                <w:spacing w:val="-5"/>
                <w:sz w:val="18"/>
              </w:rPr>
              <w:t>REM</w:t>
            </w:r>
          </w:p>
        </w:tc>
        <w:tc>
          <w:tcPr>
            <w:tcW w:w="1406" w:type="dxa"/>
          </w:tcPr>
          <w:p>
            <w:pPr>
              <w:pStyle w:val="TableParagraph"/>
              <w:ind w:left="103" w:right="102"/>
              <w:jc w:val="center"/>
              <w:rPr>
                <w:sz w:val="18"/>
              </w:rPr>
            </w:pPr>
            <w:r>
              <w:rPr>
                <w:spacing w:val="-5"/>
                <w:sz w:val="18"/>
              </w:rPr>
              <w:t>ODA</w:t>
            </w:r>
          </w:p>
        </w:tc>
        <w:tc>
          <w:tcPr>
            <w:tcW w:w="1439" w:type="dxa"/>
          </w:tcPr>
          <w:p>
            <w:pPr>
              <w:pStyle w:val="TableParagraph"/>
              <w:ind w:left="44" w:right="48"/>
              <w:jc w:val="center"/>
              <w:rPr>
                <w:sz w:val="18"/>
              </w:rPr>
            </w:pPr>
            <w:r>
              <w:rPr>
                <w:spacing w:val="-2"/>
                <w:sz w:val="18"/>
              </w:rPr>
              <w:t>CPS_GDP</w:t>
            </w:r>
          </w:p>
        </w:tc>
        <w:tc>
          <w:tcPr>
            <w:tcW w:w="1409" w:type="dxa"/>
          </w:tcPr>
          <w:p>
            <w:pPr>
              <w:pStyle w:val="TableParagraph"/>
              <w:ind w:left="56" w:right="74"/>
              <w:jc w:val="center"/>
              <w:rPr>
                <w:sz w:val="18"/>
              </w:rPr>
            </w:pPr>
            <w:r>
              <w:rPr>
                <w:spacing w:val="-5"/>
                <w:sz w:val="18"/>
              </w:rPr>
              <w:t>INT</w:t>
            </w:r>
          </w:p>
        </w:tc>
        <w:tc>
          <w:tcPr>
            <w:tcW w:w="2834" w:type="dxa"/>
          </w:tcPr>
          <w:p>
            <w:pPr>
              <w:pStyle w:val="TableParagraph"/>
              <w:ind w:right="1425"/>
              <w:jc w:val="center"/>
              <w:rPr>
                <w:sz w:val="18"/>
              </w:rPr>
            </w:pPr>
            <w:r>
              <w:rPr>
                <w:spacing w:val="-4"/>
                <w:sz w:val="18"/>
              </w:rPr>
              <w:t>EXCH</w:t>
            </w:r>
          </w:p>
        </w:tc>
      </w:tr>
      <w:tr>
        <w:trPr>
          <w:trHeight w:val="224" w:hRule="atLeast"/>
        </w:trPr>
        <w:tc>
          <w:tcPr>
            <w:tcW w:w="1467" w:type="dxa"/>
          </w:tcPr>
          <w:p>
            <w:pPr>
              <w:pStyle w:val="TableParagraph"/>
              <w:spacing w:line="198" w:lineRule="exact"/>
              <w:ind w:left="56" w:right="81"/>
              <w:jc w:val="center"/>
              <w:rPr>
                <w:sz w:val="18"/>
              </w:rPr>
            </w:pPr>
            <w:r>
              <w:rPr>
                <w:spacing w:val="-2"/>
                <w:sz w:val="18"/>
              </w:rPr>
              <w:t>1.000000</w:t>
            </w:r>
          </w:p>
        </w:tc>
        <w:tc>
          <w:tcPr>
            <w:tcW w:w="1266" w:type="dxa"/>
          </w:tcPr>
          <w:p>
            <w:pPr>
              <w:pStyle w:val="TableParagraph"/>
              <w:spacing w:line="198" w:lineRule="exact"/>
              <w:ind w:right="236"/>
              <w:jc w:val="right"/>
              <w:rPr>
                <w:sz w:val="18"/>
              </w:rPr>
            </w:pPr>
            <w:r>
              <w:rPr>
                <w:spacing w:val="-2"/>
                <w:sz w:val="18"/>
              </w:rPr>
              <w:t>0.000000</w:t>
            </w:r>
          </w:p>
        </w:tc>
        <w:tc>
          <w:tcPr>
            <w:tcW w:w="1561" w:type="dxa"/>
          </w:tcPr>
          <w:p>
            <w:pPr>
              <w:pStyle w:val="TableParagraph"/>
              <w:spacing w:line="198" w:lineRule="exact"/>
              <w:ind w:left="51" w:right="4"/>
              <w:jc w:val="center"/>
              <w:rPr>
                <w:sz w:val="18"/>
              </w:rPr>
            </w:pPr>
            <w:r>
              <w:rPr>
                <w:spacing w:val="-2"/>
                <w:sz w:val="18"/>
              </w:rPr>
              <w:t>889.9897</w:t>
            </w:r>
          </w:p>
        </w:tc>
        <w:tc>
          <w:tcPr>
            <w:tcW w:w="1350" w:type="dxa"/>
          </w:tcPr>
          <w:p>
            <w:pPr>
              <w:pStyle w:val="TableParagraph"/>
              <w:spacing w:line="198" w:lineRule="exact"/>
              <w:ind w:left="51" w:right="74"/>
              <w:jc w:val="center"/>
              <w:rPr>
                <w:sz w:val="18"/>
              </w:rPr>
            </w:pPr>
            <w:r>
              <w:rPr>
                <w:spacing w:val="-2"/>
                <w:sz w:val="18"/>
              </w:rPr>
              <w:t>242.8681</w:t>
            </w:r>
          </w:p>
        </w:tc>
        <w:tc>
          <w:tcPr>
            <w:tcW w:w="1418" w:type="dxa"/>
          </w:tcPr>
          <w:p>
            <w:pPr>
              <w:pStyle w:val="TableParagraph"/>
              <w:spacing w:line="198" w:lineRule="exact"/>
              <w:ind w:left="43" w:right="48"/>
              <w:jc w:val="center"/>
              <w:rPr>
                <w:sz w:val="18"/>
              </w:rPr>
            </w:pPr>
            <w:r>
              <w:rPr>
                <w:spacing w:val="-2"/>
                <w:sz w:val="18"/>
              </w:rPr>
              <w:t>-1.031252</w:t>
            </w:r>
          </w:p>
        </w:tc>
        <w:tc>
          <w:tcPr>
            <w:tcW w:w="1406" w:type="dxa"/>
          </w:tcPr>
          <w:p>
            <w:pPr>
              <w:pStyle w:val="TableParagraph"/>
              <w:spacing w:line="198" w:lineRule="exact"/>
              <w:ind w:left="154" w:right="102"/>
              <w:jc w:val="center"/>
              <w:rPr>
                <w:sz w:val="18"/>
              </w:rPr>
            </w:pPr>
            <w:r>
              <w:rPr>
                <w:spacing w:val="-2"/>
                <w:sz w:val="18"/>
              </w:rPr>
              <w:t>8.420047</w:t>
            </w:r>
          </w:p>
        </w:tc>
        <w:tc>
          <w:tcPr>
            <w:tcW w:w="1439" w:type="dxa"/>
          </w:tcPr>
          <w:p>
            <w:pPr>
              <w:pStyle w:val="TableParagraph"/>
              <w:spacing w:line="198" w:lineRule="exact"/>
              <w:ind w:left="44" w:right="48"/>
              <w:jc w:val="center"/>
              <w:rPr>
                <w:sz w:val="18"/>
              </w:rPr>
            </w:pPr>
            <w:r>
              <w:rPr>
                <w:spacing w:val="-2"/>
                <w:sz w:val="18"/>
              </w:rPr>
              <w:t>-5192.987</w:t>
            </w:r>
          </w:p>
        </w:tc>
        <w:tc>
          <w:tcPr>
            <w:tcW w:w="1409" w:type="dxa"/>
          </w:tcPr>
          <w:p>
            <w:pPr>
              <w:pStyle w:val="TableParagraph"/>
              <w:spacing w:line="198" w:lineRule="exact"/>
              <w:ind w:left="56" w:right="28"/>
              <w:jc w:val="center"/>
              <w:rPr>
                <w:sz w:val="18"/>
              </w:rPr>
            </w:pPr>
            <w:r>
              <w:rPr>
                <w:spacing w:val="-2"/>
                <w:sz w:val="18"/>
              </w:rPr>
              <w:t>1579.489</w:t>
            </w:r>
          </w:p>
        </w:tc>
        <w:tc>
          <w:tcPr>
            <w:tcW w:w="2834" w:type="dxa"/>
          </w:tcPr>
          <w:p>
            <w:pPr>
              <w:pStyle w:val="TableParagraph"/>
              <w:spacing w:line="198" w:lineRule="exact"/>
              <w:ind w:right="1425"/>
              <w:jc w:val="center"/>
              <w:rPr>
                <w:sz w:val="18"/>
              </w:rPr>
            </w:pPr>
            <w:r>
              <w:rPr>
                <w:spacing w:val="-2"/>
                <w:sz w:val="18"/>
              </w:rPr>
              <w:t>-1352.626</w:t>
            </w: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before="5"/>
              <w:ind w:left="52" w:right="4"/>
              <w:jc w:val="center"/>
              <w:rPr>
                <w:sz w:val="18"/>
              </w:rPr>
            </w:pPr>
            <w:r>
              <w:rPr>
                <w:spacing w:val="-2"/>
                <w:sz w:val="18"/>
              </w:rPr>
              <w:t>(142.343)</w:t>
            </w:r>
          </w:p>
        </w:tc>
        <w:tc>
          <w:tcPr>
            <w:tcW w:w="1350" w:type="dxa"/>
          </w:tcPr>
          <w:p>
            <w:pPr>
              <w:pStyle w:val="TableParagraph"/>
              <w:spacing w:before="5"/>
              <w:ind w:left="52" w:right="74"/>
              <w:jc w:val="center"/>
              <w:rPr>
                <w:sz w:val="18"/>
              </w:rPr>
            </w:pPr>
            <w:r>
              <w:rPr>
                <w:spacing w:val="-2"/>
                <w:sz w:val="18"/>
              </w:rPr>
              <w:t>(153.282)</w:t>
            </w:r>
          </w:p>
        </w:tc>
        <w:tc>
          <w:tcPr>
            <w:tcW w:w="1418" w:type="dxa"/>
          </w:tcPr>
          <w:p>
            <w:pPr>
              <w:pStyle w:val="TableParagraph"/>
              <w:spacing w:before="5"/>
              <w:ind w:left="53" w:right="10"/>
              <w:jc w:val="center"/>
              <w:rPr>
                <w:sz w:val="18"/>
              </w:rPr>
            </w:pPr>
            <w:r>
              <w:rPr>
                <w:spacing w:val="-2"/>
                <w:sz w:val="18"/>
              </w:rPr>
              <w:t>(9.27623)</w:t>
            </w:r>
          </w:p>
        </w:tc>
        <w:tc>
          <w:tcPr>
            <w:tcW w:w="1406" w:type="dxa"/>
          </w:tcPr>
          <w:p>
            <w:pPr>
              <w:pStyle w:val="TableParagraph"/>
              <w:spacing w:before="5"/>
              <w:ind w:left="154" w:right="102"/>
              <w:jc w:val="center"/>
              <w:rPr>
                <w:sz w:val="18"/>
              </w:rPr>
            </w:pPr>
            <w:r>
              <w:rPr>
                <w:spacing w:val="-2"/>
                <w:sz w:val="18"/>
              </w:rPr>
              <w:t>(0.60854)</w:t>
            </w:r>
          </w:p>
        </w:tc>
        <w:tc>
          <w:tcPr>
            <w:tcW w:w="1439" w:type="dxa"/>
          </w:tcPr>
          <w:p>
            <w:pPr>
              <w:pStyle w:val="TableParagraph"/>
              <w:spacing w:before="5"/>
              <w:ind w:left="51" w:right="7"/>
              <w:jc w:val="center"/>
              <w:rPr>
                <w:sz w:val="18"/>
              </w:rPr>
            </w:pPr>
            <w:r>
              <w:rPr>
                <w:spacing w:val="-2"/>
                <w:sz w:val="18"/>
              </w:rPr>
              <w:t>(510.134)</w:t>
            </w:r>
          </w:p>
        </w:tc>
        <w:tc>
          <w:tcPr>
            <w:tcW w:w="1409" w:type="dxa"/>
          </w:tcPr>
          <w:p>
            <w:pPr>
              <w:pStyle w:val="TableParagraph"/>
              <w:spacing w:before="5"/>
              <w:ind w:left="56" w:right="27"/>
              <w:jc w:val="center"/>
              <w:rPr>
                <w:sz w:val="18"/>
              </w:rPr>
            </w:pPr>
            <w:r>
              <w:rPr>
                <w:spacing w:val="-2"/>
                <w:sz w:val="18"/>
              </w:rPr>
              <w:t>(431.009)</w:t>
            </w:r>
          </w:p>
        </w:tc>
        <w:tc>
          <w:tcPr>
            <w:tcW w:w="2834" w:type="dxa"/>
          </w:tcPr>
          <w:p>
            <w:pPr>
              <w:pStyle w:val="TableParagraph"/>
              <w:spacing w:before="5"/>
              <w:ind w:left="51" w:right="1425"/>
              <w:jc w:val="center"/>
              <w:rPr>
                <w:sz w:val="18"/>
              </w:rPr>
            </w:pPr>
            <w:r>
              <w:rPr>
                <w:spacing w:val="-2"/>
                <w:sz w:val="18"/>
              </w:rPr>
              <w:t>(157.246)</w:t>
            </w:r>
          </w:p>
        </w:tc>
      </w:tr>
      <w:tr>
        <w:trPr>
          <w:trHeight w:val="225" w:hRule="atLeast"/>
        </w:trPr>
        <w:tc>
          <w:tcPr>
            <w:tcW w:w="1467" w:type="dxa"/>
          </w:tcPr>
          <w:p>
            <w:pPr>
              <w:pStyle w:val="TableParagraph"/>
              <w:ind w:left="56" w:right="81"/>
              <w:jc w:val="center"/>
              <w:rPr>
                <w:sz w:val="18"/>
              </w:rPr>
            </w:pPr>
            <w:r>
              <w:rPr>
                <w:spacing w:val="-2"/>
                <w:sz w:val="18"/>
              </w:rPr>
              <w:t>0.000000</w:t>
            </w:r>
          </w:p>
        </w:tc>
        <w:tc>
          <w:tcPr>
            <w:tcW w:w="1266" w:type="dxa"/>
          </w:tcPr>
          <w:p>
            <w:pPr>
              <w:pStyle w:val="TableParagraph"/>
              <w:ind w:right="236"/>
              <w:jc w:val="right"/>
              <w:rPr>
                <w:sz w:val="18"/>
              </w:rPr>
            </w:pPr>
            <w:r>
              <w:rPr>
                <w:spacing w:val="-2"/>
                <w:sz w:val="18"/>
              </w:rPr>
              <w:t>1.000000</w:t>
            </w:r>
          </w:p>
        </w:tc>
        <w:tc>
          <w:tcPr>
            <w:tcW w:w="1561" w:type="dxa"/>
          </w:tcPr>
          <w:p>
            <w:pPr>
              <w:pStyle w:val="TableParagraph"/>
              <w:ind w:left="48" w:right="48"/>
              <w:jc w:val="center"/>
              <w:rPr>
                <w:sz w:val="18"/>
              </w:rPr>
            </w:pPr>
            <w:r>
              <w:rPr>
                <w:spacing w:val="-2"/>
                <w:sz w:val="18"/>
              </w:rPr>
              <w:t>-864.2236</w:t>
            </w:r>
          </w:p>
        </w:tc>
        <w:tc>
          <w:tcPr>
            <w:tcW w:w="1350" w:type="dxa"/>
          </w:tcPr>
          <w:p>
            <w:pPr>
              <w:pStyle w:val="TableParagraph"/>
              <w:ind w:left="1" w:right="74"/>
              <w:jc w:val="center"/>
              <w:rPr>
                <w:sz w:val="18"/>
              </w:rPr>
            </w:pPr>
            <w:r>
              <w:rPr>
                <w:spacing w:val="-2"/>
                <w:sz w:val="18"/>
              </w:rPr>
              <w:t>-325.1267</w:t>
            </w:r>
          </w:p>
        </w:tc>
        <w:tc>
          <w:tcPr>
            <w:tcW w:w="1418" w:type="dxa"/>
          </w:tcPr>
          <w:p>
            <w:pPr>
              <w:pStyle w:val="TableParagraph"/>
              <w:ind w:left="53" w:right="10"/>
              <w:jc w:val="center"/>
              <w:rPr>
                <w:sz w:val="18"/>
              </w:rPr>
            </w:pPr>
            <w:r>
              <w:rPr>
                <w:spacing w:val="-2"/>
                <w:sz w:val="18"/>
              </w:rPr>
              <w:t>5.544628</w:t>
            </w:r>
          </w:p>
        </w:tc>
        <w:tc>
          <w:tcPr>
            <w:tcW w:w="1406" w:type="dxa"/>
          </w:tcPr>
          <w:p>
            <w:pPr>
              <w:pStyle w:val="TableParagraph"/>
              <w:ind w:left="103" w:right="102"/>
              <w:jc w:val="center"/>
              <w:rPr>
                <w:sz w:val="18"/>
              </w:rPr>
            </w:pPr>
            <w:r>
              <w:rPr>
                <w:spacing w:val="-2"/>
                <w:sz w:val="18"/>
              </w:rPr>
              <w:t>-5.796327</w:t>
            </w:r>
          </w:p>
        </w:tc>
        <w:tc>
          <w:tcPr>
            <w:tcW w:w="1439" w:type="dxa"/>
          </w:tcPr>
          <w:p>
            <w:pPr>
              <w:pStyle w:val="TableParagraph"/>
              <w:ind w:left="50" w:right="7"/>
              <w:jc w:val="center"/>
              <w:rPr>
                <w:sz w:val="18"/>
              </w:rPr>
            </w:pPr>
            <w:r>
              <w:rPr>
                <w:spacing w:val="-2"/>
                <w:sz w:val="18"/>
              </w:rPr>
              <w:t>2588.917</w:t>
            </w:r>
          </w:p>
        </w:tc>
        <w:tc>
          <w:tcPr>
            <w:tcW w:w="1409" w:type="dxa"/>
          </w:tcPr>
          <w:p>
            <w:pPr>
              <w:pStyle w:val="TableParagraph"/>
              <w:ind w:left="56" w:right="75"/>
              <w:jc w:val="center"/>
              <w:rPr>
                <w:sz w:val="18"/>
              </w:rPr>
            </w:pPr>
            <w:r>
              <w:rPr>
                <w:spacing w:val="-2"/>
                <w:sz w:val="18"/>
              </w:rPr>
              <w:t>-1149.848</w:t>
            </w:r>
          </w:p>
        </w:tc>
        <w:tc>
          <w:tcPr>
            <w:tcW w:w="2834" w:type="dxa"/>
          </w:tcPr>
          <w:p>
            <w:pPr>
              <w:pStyle w:val="TableParagraph"/>
              <w:ind w:left="50" w:right="1425"/>
              <w:jc w:val="center"/>
              <w:rPr>
                <w:sz w:val="18"/>
              </w:rPr>
            </w:pPr>
            <w:r>
              <w:rPr>
                <w:spacing w:val="-2"/>
                <w:sz w:val="18"/>
              </w:rPr>
              <w:t>1033.121</w:t>
            </w:r>
          </w:p>
        </w:tc>
      </w:tr>
      <w:tr>
        <w:trPr>
          <w:trHeight w:val="337" w:hRule="atLeast"/>
        </w:trPr>
        <w:tc>
          <w:tcPr>
            <w:tcW w:w="1467" w:type="dxa"/>
          </w:tcPr>
          <w:p>
            <w:pPr>
              <w:pStyle w:val="TableParagraph"/>
              <w:spacing w:line="240" w:lineRule="auto" w:before="0"/>
              <w:rPr>
                <w:rFonts w:ascii="Times New Roman"/>
                <w:sz w:val="18"/>
              </w:rPr>
            </w:pPr>
          </w:p>
        </w:tc>
        <w:tc>
          <w:tcPr>
            <w:tcW w:w="1266" w:type="dxa"/>
          </w:tcPr>
          <w:p>
            <w:pPr>
              <w:pStyle w:val="TableParagraph"/>
              <w:spacing w:line="240" w:lineRule="auto" w:before="0"/>
              <w:rPr>
                <w:rFonts w:ascii="Times New Roman"/>
                <w:sz w:val="18"/>
              </w:rPr>
            </w:pPr>
          </w:p>
        </w:tc>
        <w:tc>
          <w:tcPr>
            <w:tcW w:w="1561" w:type="dxa"/>
          </w:tcPr>
          <w:p>
            <w:pPr>
              <w:pStyle w:val="TableParagraph"/>
              <w:spacing w:line="240" w:lineRule="auto"/>
              <w:ind w:left="52" w:right="4"/>
              <w:jc w:val="center"/>
              <w:rPr>
                <w:sz w:val="18"/>
              </w:rPr>
            </w:pPr>
            <w:r>
              <w:rPr>
                <w:spacing w:val="-2"/>
                <w:sz w:val="18"/>
              </w:rPr>
              <w:t>(80.7932)</w:t>
            </w:r>
          </w:p>
        </w:tc>
        <w:tc>
          <w:tcPr>
            <w:tcW w:w="1350" w:type="dxa"/>
          </w:tcPr>
          <w:p>
            <w:pPr>
              <w:pStyle w:val="TableParagraph"/>
              <w:spacing w:line="240" w:lineRule="auto"/>
              <w:ind w:left="52" w:right="74"/>
              <w:jc w:val="center"/>
              <w:rPr>
                <w:sz w:val="18"/>
              </w:rPr>
            </w:pPr>
            <w:r>
              <w:rPr>
                <w:spacing w:val="-2"/>
                <w:sz w:val="18"/>
              </w:rPr>
              <w:t>(87.0018)</w:t>
            </w:r>
          </w:p>
        </w:tc>
        <w:tc>
          <w:tcPr>
            <w:tcW w:w="1418" w:type="dxa"/>
          </w:tcPr>
          <w:p>
            <w:pPr>
              <w:pStyle w:val="TableParagraph"/>
              <w:spacing w:line="240" w:lineRule="auto"/>
              <w:ind w:left="53" w:right="10"/>
              <w:jc w:val="center"/>
              <w:rPr>
                <w:sz w:val="18"/>
              </w:rPr>
            </w:pPr>
            <w:r>
              <w:rPr>
                <w:spacing w:val="-2"/>
                <w:sz w:val="18"/>
              </w:rPr>
              <w:t>(5.26512)</w:t>
            </w:r>
          </w:p>
        </w:tc>
        <w:tc>
          <w:tcPr>
            <w:tcW w:w="1406" w:type="dxa"/>
          </w:tcPr>
          <w:p>
            <w:pPr>
              <w:pStyle w:val="TableParagraph"/>
              <w:spacing w:line="240" w:lineRule="auto"/>
              <w:ind w:left="154" w:right="102"/>
              <w:jc w:val="center"/>
              <w:rPr>
                <w:sz w:val="18"/>
              </w:rPr>
            </w:pPr>
            <w:r>
              <w:rPr>
                <w:spacing w:val="-2"/>
                <w:sz w:val="18"/>
              </w:rPr>
              <w:t>(0.34541)</w:t>
            </w:r>
          </w:p>
        </w:tc>
        <w:tc>
          <w:tcPr>
            <w:tcW w:w="1439" w:type="dxa"/>
          </w:tcPr>
          <w:p>
            <w:pPr>
              <w:pStyle w:val="TableParagraph"/>
              <w:spacing w:line="240" w:lineRule="auto"/>
              <w:ind w:left="51" w:right="7"/>
              <w:jc w:val="center"/>
              <w:rPr>
                <w:sz w:val="18"/>
              </w:rPr>
            </w:pPr>
            <w:r>
              <w:rPr>
                <w:spacing w:val="-2"/>
                <w:sz w:val="18"/>
              </w:rPr>
              <w:t>(289.548)</w:t>
            </w:r>
          </w:p>
        </w:tc>
        <w:tc>
          <w:tcPr>
            <w:tcW w:w="1409" w:type="dxa"/>
          </w:tcPr>
          <w:p>
            <w:pPr>
              <w:pStyle w:val="TableParagraph"/>
              <w:spacing w:line="240" w:lineRule="auto"/>
              <w:ind w:left="56" w:right="27"/>
              <w:jc w:val="center"/>
              <w:rPr>
                <w:sz w:val="18"/>
              </w:rPr>
            </w:pPr>
            <w:r>
              <w:rPr>
                <w:spacing w:val="-2"/>
                <w:sz w:val="18"/>
              </w:rPr>
              <w:t>(244.638)</w:t>
            </w:r>
          </w:p>
        </w:tc>
        <w:tc>
          <w:tcPr>
            <w:tcW w:w="2834" w:type="dxa"/>
          </w:tcPr>
          <w:p>
            <w:pPr>
              <w:pStyle w:val="TableParagraph"/>
              <w:spacing w:line="240" w:lineRule="auto"/>
              <w:ind w:left="51" w:right="1425"/>
              <w:jc w:val="center"/>
              <w:rPr>
                <w:sz w:val="18"/>
              </w:rPr>
            </w:pPr>
            <w:r>
              <w:rPr>
                <w:spacing w:val="-2"/>
                <w:sz w:val="18"/>
              </w:rPr>
              <w:t>(89.2518)</w:t>
            </w:r>
          </w:p>
        </w:tc>
      </w:tr>
      <w:tr>
        <w:trPr>
          <w:trHeight w:val="337" w:hRule="atLeast"/>
        </w:trPr>
        <w:tc>
          <w:tcPr>
            <w:tcW w:w="5644" w:type="dxa"/>
            <w:gridSpan w:val="4"/>
          </w:tcPr>
          <w:p>
            <w:pPr>
              <w:pStyle w:val="TableParagraph"/>
              <w:spacing w:before="118"/>
              <w:rPr>
                <w:sz w:val="18"/>
              </w:rPr>
            </w:pPr>
            <w:r>
              <w:rPr>
                <w:sz w:val="18"/>
              </w:rPr>
              <w:t>Adjustment</w:t>
            </w:r>
            <w:r>
              <w:rPr>
                <w:spacing w:val="-4"/>
                <w:sz w:val="18"/>
              </w:rPr>
              <w:t> </w:t>
            </w:r>
            <w:r>
              <w:rPr>
                <w:sz w:val="18"/>
              </w:rPr>
              <w:t>coefficients</w:t>
            </w:r>
            <w:r>
              <w:rPr>
                <w:spacing w:val="-3"/>
                <w:sz w:val="18"/>
              </w:rPr>
              <w:t> </w:t>
            </w:r>
            <w:r>
              <w:rPr>
                <w:sz w:val="18"/>
              </w:rPr>
              <w:t>(standard</w:t>
            </w:r>
            <w:r>
              <w:rPr>
                <w:spacing w:val="-4"/>
                <w:sz w:val="18"/>
              </w:rPr>
              <w:t> </w:t>
            </w:r>
            <w:r>
              <w:rPr>
                <w:sz w:val="18"/>
              </w:rPr>
              <w:t>error</w:t>
            </w:r>
            <w:r>
              <w:rPr>
                <w:spacing w:val="-6"/>
                <w:sz w:val="18"/>
              </w:rPr>
              <w:t> </w:t>
            </w:r>
            <w:r>
              <w:rPr>
                <w:sz w:val="18"/>
              </w:rPr>
              <w:t>in</w:t>
            </w:r>
            <w:r>
              <w:rPr>
                <w:spacing w:val="-5"/>
                <w:sz w:val="18"/>
              </w:rPr>
              <w:t> </w:t>
            </w:r>
            <w:r>
              <w:rPr>
                <w:spacing w:val="-2"/>
                <w:sz w:val="18"/>
              </w:rPr>
              <w:t>parentheses)</w:t>
            </w:r>
          </w:p>
        </w:tc>
        <w:tc>
          <w:tcPr>
            <w:tcW w:w="1418" w:type="dxa"/>
          </w:tcPr>
          <w:p>
            <w:pPr>
              <w:pStyle w:val="TableParagraph"/>
              <w:spacing w:line="240" w:lineRule="auto" w:before="0"/>
              <w:rPr>
                <w:rFonts w:ascii="Times New Roman"/>
                <w:sz w:val="18"/>
              </w:rPr>
            </w:pPr>
          </w:p>
        </w:tc>
        <w:tc>
          <w:tcPr>
            <w:tcW w:w="1406" w:type="dxa"/>
          </w:tcPr>
          <w:p>
            <w:pPr>
              <w:pStyle w:val="TableParagraph"/>
              <w:spacing w:line="240" w:lineRule="auto" w:before="0"/>
              <w:rPr>
                <w:rFonts w:ascii="Times New Roman"/>
                <w:sz w:val="18"/>
              </w:rPr>
            </w:pPr>
          </w:p>
        </w:tc>
        <w:tc>
          <w:tcPr>
            <w:tcW w:w="1439" w:type="dxa"/>
          </w:tcPr>
          <w:p>
            <w:pPr>
              <w:pStyle w:val="TableParagraph"/>
              <w:spacing w:line="240" w:lineRule="auto" w:before="0"/>
              <w:rPr>
                <w:rFonts w:ascii="Times New Roman"/>
                <w:sz w:val="18"/>
              </w:rPr>
            </w:pPr>
          </w:p>
        </w:tc>
        <w:tc>
          <w:tcPr>
            <w:tcW w:w="1409" w:type="dxa"/>
          </w:tcPr>
          <w:p>
            <w:pPr>
              <w:pStyle w:val="TableParagraph"/>
              <w:spacing w:line="240" w:lineRule="auto" w:before="0"/>
              <w:rPr>
                <w:rFonts w:ascii="Times New Roman"/>
                <w:sz w:val="18"/>
              </w:rPr>
            </w:pPr>
          </w:p>
        </w:tc>
        <w:tc>
          <w:tcPr>
            <w:tcW w:w="2834" w:type="dxa"/>
          </w:tcPr>
          <w:p>
            <w:pPr>
              <w:pStyle w:val="TableParagraph"/>
              <w:spacing w:line="240" w:lineRule="auto" w:before="0"/>
              <w:rPr>
                <w:rFonts w:ascii="Times New Roman"/>
                <w:sz w:val="18"/>
              </w:rPr>
            </w:pPr>
          </w:p>
        </w:tc>
      </w:tr>
      <w:tr>
        <w:trPr>
          <w:trHeight w:val="225" w:hRule="atLeast"/>
        </w:trPr>
        <w:tc>
          <w:tcPr>
            <w:tcW w:w="1467" w:type="dxa"/>
          </w:tcPr>
          <w:p>
            <w:pPr>
              <w:pStyle w:val="TableParagraph"/>
              <w:ind w:right="81"/>
              <w:jc w:val="center"/>
              <w:rPr>
                <w:sz w:val="18"/>
              </w:rPr>
            </w:pPr>
            <w:r>
              <w:rPr>
                <w:spacing w:val="-2"/>
                <w:sz w:val="18"/>
              </w:rPr>
              <w:t>D(RGDP)</w:t>
            </w:r>
          </w:p>
        </w:tc>
        <w:tc>
          <w:tcPr>
            <w:tcW w:w="1266" w:type="dxa"/>
          </w:tcPr>
          <w:p>
            <w:pPr>
              <w:pStyle w:val="TableParagraph"/>
              <w:ind w:right="231"/>
              <w:jc w:val="right"/>
              <w:rPr>
                <w:sz w:val="18"/>
              </w:rPr>
            </w:pPr>
            <w:r>
              <w:rPr>
                <w:spacing w:val="-2"/>
                <w:sz w:val="18"/>
              </w:rPr>
              <w:t>-0.124964</w:t>
            </w:r>
          </w:p>
        </w:tc>
        <w:tc>
          <w:tcPr>
            <w:tcW w:w="2911" w:type="dxa"/>
            <w:gridSpan w:val="2"/>
          </w:tcPr>
          <w:p>
            <w:pPr>
              <w:pStyle w:val="TableParagraph"/>
              <w:ind w:left="373"/>
              <w:rPr>
                <w:sz w:val="18"/>
              </w:rPr>
            </w:pPr>
            <w:r>
              <w:rPr>
                <w:spacing w:val="-2"/>
                <w:sz w:val="18"/>
              </w:rPr>
              <w:t>-0.175325</w:t>
            </w: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right="225"/>
              <w:jc w:val="right"/>
              <w:rPr>
                <w:sz w:val="18"/>
              </w:rPr>
            </w:pPr>
            <w:r>
              <w:rPr>
                <w:spacing w:val="-2"/>
                <w:sz w:val="18"/>
              </w:rPr>
              <w:t>(0.03187)</w:t>
            </w:r>
          </w:p>
        </w:tc>
        <w:tc>
          <w:tcPr>
            <w:tcW w:w="2911" w:type="dxa"/>
            <w:gridSpan w:val="2"/>
          </w:tcPr>
          <w:p>
            <w:pPr>
              <w:pStyle w:val="TableParagraph"/>
              <w:ind w:left="418"/>
              <w:rPr>
                <w:sz w:val="18"/>
              </w:rPr>
            </w:pPr>
            <w:r>
              <w:rPr>
                <w:spacing w:val="-2"/>
                <w:sz w:val="18"/>
              </w:rPr>
              <w:t>(0.05547)</w:t>
            </w: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left="2" w:right="81"/>
              <w:jc w:val="center"/>
              <w:rPr>
                <w:sz w:val="18"/>
              </w:rPr>
            </w:pPr>
            <w:r>
              <w:rPr>
                <w:spacing w:val="-2"/>
                <w:sz w:val="18"/>
              </w:rPr>
              <w:t>D(FDI)</w:t>
            </w:r>
          </w:p>
        </w:tc>
        <w:tc>
          <w:tcPr>
            <w:tcW w:w="1266" w:type="dxa"/>
          </w:tcPr>
          <w:p>
            <w:pPr>
              <w:pStyle w:val="TableParagraph"/>
              <w:spacing w:line="198" w:lineRule="exact"/>
              <w:ind w:right="231"/>
              <w:jc w:val="right"/>
              <w:rPr>
                <w:sz w:val="18"/>
              </w:rPr>
            </w:pPr>
            <w:r>
              <w:rPr>
                <w:spacing w:val="-2"/>
                <w:sz w:val="18"/>
              </w:rPr>
              <w:t>-0.023904</w:t>
            </w:r>
          </w:p>
        </w:tc>
        <w:tc>
          <w:tcPr>
            <w:tcW w:w="2911" w:type="dxa"/>
            <w:gridSpan w:val="2"/>
          </w:tcPr>
          <w:p>
            <w:pPr>
              <w:pStyle w:val="TableParagraph"/>
              <w:spacing w:line="198" w:lineRule="exact"/>
              <w:ind w:left="373"/>
              <w:rPr>
                <w:sz w:val="18"/>
              </w:rPr>
            </w:pPr>
            <w:r>
              <w:rPr>
                <w:spacing w:val="-2"/>
                <w:sz w:val="18"/>
              </w:rPr>
              <w:t>-0.031811</w:t>
            </w: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before="5"/>
              <w:ind w:right="225"/>
              <w:jc w:val="right"/>
              <w:rPr>
                <w:sz w:val="18"/>
              </w:rPr>
            </w:pPr>
            <w:r>
              <w:rPr>
                <w:spacing w:val="-2"/>
                <w:sz w:val="18"/>
              </w:rPr>
              <w:t>(0.01453)</w:t>
            </w:r>
          </w:p>
        </w:tc>
        <w:tc>
          <w:tcPr>
            <w:tcW w:w="2911" w:type="dxa"/>
            <w:gridSpan w:val="2"/>
          </w:tcPr>
          <w:p>
            <w:pPr>
              <w:pStyle w:val="TableParagraph"/>
              <w:spacing w:before="5"/>
              <w:ind w:left="418"/>
              <w:rPr>
                <w:sz w:val="18"/>
              </w:rPr>
            </w:pPr>
            <w:r>
              <w:rPr>
                <w:spacing w:val="-2"/>
                <w:sz w:val="18"/>
              </w:rPr>
              <w:t>(0.02528)</w:t>
            </w: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2" w:right="81"/>
              <w:jc w:val="center"/>
              <w:rPr>
                <w:sz w:val="18"/>
              </w:rPr>
            </w:pPr>
            <w:r>
              <w:rPr>
                <w:spacing w:val="-2"/>
                <w:sz w:val="18"/>
              </w:rPr>
              <w:t>D(FPI)</w:t>
            </w:r>
          </w:p>
        </w:tc>
        <w:tc>
          <w:tcPr>
            <w:tcW w:w="1266" w:type="dxa"/>
          </w:tcPr>
          <w:p>
            <w:pPr>
              <w:pStyle w:val="TableParagraph"/>
              <w:ind w:right="236"/>
              <w:jc w:val="right"/>
              <w:rPr>
                <w:sz w:val="18"/>
              </w:rPr>
            </w:pPr>
            <w:r>
              <w:rPr>
                <w:spacing w:val="-2"/>
                <w:sz w:val="18"/>
              </w:rPr>
              <w:t>0.001597</w:t>
            </w:r>
          </w:p>
        </w:tc>
        <w:tc>
          <w:tcPr>
            <w:tcW w:w="2911" w:type="dxa"/>
            <w:gridSpan w:val="2"/>
          </w:tcPr>
          <w:p>
            <w:pPr>
              <w:pStyle w:val="TableParagraph"/>
              <w:ind w:left="428"/>
              <w:rPr>
                <w:sz w:val="18"/>
              </w:rPr>
            </w:pPr>
            <w:r>
              <w:rPr>
                <w:spacing w:val="-2"/>
                <w:sz w:val="18"/>
              </w:rPr>
              <w:t>0.003029</w:t>
            </w: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right="225"/>
              <w:jc w:val="right"/>
              <w:rPr>
                <w:sz w:val="18"/>
              </w:rPr>
            </w:pPr>
            <w:r>
              <w:rPr>
                <w:spacing w:val="-2"/>
                <w:sz w:val="18"/>
              </w:rPr>
              <w:t>(0.00048)</w:t>
            </w:r>
          </w:p>
        </w:tc>
        <w:tc>
          <w:tcPr>
            <w:tcW w:w="2911" w:type="dxa"/>
            <w:gridSpan w:val="2"/>
          </w:tcPr>
          <w:p>
            <w:pPr>
              <w:pStyle w:val="TableParagraph"/>
              <w:ind w:left="418"/>
              <w:rPr>
                <w:sz w:val="18"/>
              </w:rPr>
            </w:pPr>
            <w:r>
              <w:rPr>
                <w:spacing w:val="-2"/>
                <w:sz w:val="18"/>
              </w:rPr>
              <w:t>(0.00084)</w:t>
            </w: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left="5" w:right="81"/>
              <w:jc w:val="center"/>
              <w:rPr>
                <w:sz w:val="18"/>
              </w:rPr>
            </w:pPr>
            <w:r>
              <w:rPr>
                <w:spacing w:val="-2"/>
                <w:sz w:val="18"/>
              </w:rPr>
              <w:t>D(TOP)</w:t>
            </w:r>
          </w:p>
        </w:tc>
        <w:tc>
          <w:tcPr>
            <w:tcW w:w="1266" w:type="dxa"/>
          </w:tcPr>
          <w:p>
            <w:pPr>
              <w:pStyle w:val="TableParagraph"/>
              <w:spacing w:line="198" w:lineRule="exact"/>
              <w:ind w:right="231"/>
              <w:jc w:val="right"/>
              <w:rPr>
                <w:sz w:val="18"/>
              </w:rPr>
            </w:pPr>
            <w:r>
              <w:rPr>
                <w:spacing w:val="-2"/>
                <w:sz w:val="18"/>
              </w:rPr>
              <w:t>-0.000247</w:t>
            </w:r>
          </w:p>
        </w:tc>
        <w:tc>
          <w:tcPr>
            <w:tcW w:w="2911" w:type="dxa"/>
            <w:gridSpan w:val="2"/>
          </w:tcPr>
          <w:p>
            <w:pPr>
              <w:pStyle w:val="TableParagraph"/>
              <w:spacing w:line="198" w:lineRule="exact"/>
              <w:ind w:left="373"/>
              <w:rPr>
                <w:sz w:val="18"/>
              </w:rPr>
            </w:pPr>
            <w:r>
              <w:rPr>
                <w:spacing w:val="-2"/>
                <w:sz w:val="18"/>
              </w:rPr>
              <w:t>-0.000387</w:t>
            </w: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before="5"/>
              <w:ind w:right="225"/>
              <w:jc w:val="right"/>
              <w:rPr>
                <w:sz w:val="18"/>
              </w:rPr>
            </w:pPr>
            <w:r>
              <w:rPr>
                <w:spacing w:val="-2"/>
                <w:sz w:val="18"/>
              </w:rPr>
              <w:t>(0.00032)</w:t>
            </w:r>
          </w:p>
        </w:tc>
        <w:tc>
          <w:tcPr>
            <w:tcW w:w="2911" w:type="dxa"/>
            <w:gridSpan w:val="2"/>
          </w:tcPr>
          <w:p>
            <w:pPr>
              <w:pStyle w:val="TableParagraph"/>
              <w:spacing w:before="5"/>
              <w:ind w:left="418"/>
              <w:rPr>
                <w:sz w:val="18"/>
              </w:rPr>
            </w:pPr>
            <w:r>
              <w:rPr>
                <w:spacing w:val="-2"/>
                <w:sz w:val="18"/>
              </w:rPr>
              <w:t>(0.00055)</w:t>
            </w: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2" w:right="81"/>
              <w:jc w:val="center"/>
              <w:rPr>
                <w:sz w:val="18"/>
              </w:rPr>
            </w:pPr>
            <w:r>
              <w:rPr>
                <w:spacing w:val="-2"/>
                <w:sz w:val="18"/>
              </w:rPr>
              <w:t>D(REM)</w:t>
            </w:r>
          </w:p>
        </w:tc>
        <w:tc>
          <w:tcPr>
            <w:tcW w:w="1266" w:type="dxa"/>
          </w:tcPr>
          <w:p>
            <w:pPr>
              <w:pStyle w:val="TableParagraph"/>
              <w:ind w:right="236"/>
              <w:jc w:val="right"/>
              <w:rPr>
                <w:sz w:val="18"/>
              </w:rPr>
            </w:pPr>
            <w:r>
              <w:rPr>
                <w:spacing w:val="-2"/>
                <w:sz w:val="18"/>
              </w:rPr>
              <w:t>0.002618</w:t>
            </w:r>
          </w:p>
        </w:tc>
        <w:tc>
          <w:tcPr>
            <w:tcW w:w="2911" w:type="dxa"/>
            <w:gridSpan w:val="2"/>
          </w:tcPr>
          <w:p>
            <w:pPr>
              <w:pStyle w:val="TableParagraph"/>
              <w:ind w:left="428"/>
              <w:rPr>
                <w:sz w:val="18"/>
              </w:rPr>
            </w:pPr>
            <w:r>
              <w:rPr>
                <w:spacing w:val="-2"/>
                <w:sz w:val="18"/>
              </w:rPr>
              <w:t>0.004509</w:t>
            </w: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right="225"/>
              <w:jc w:val="right"/>
              <w:rPr>
                <w:sz w:val="18"/>
              </w:rPr>
            </w:pPr>
            <w:r>
              <w:rPr>
                <w:spacing w:val="-2"/>
                <w:sz w:val="18"/>
              </w:rPr>
              <w:t>(0.01130)</w:t>
            </w:r>
          </w:p>
        </w:tc>
        <w:tc>
          <w:tcPr>
            <w:tcW w:w="2911" w:type="dxa"/>
            <w:gridSpan w:val="2"/>
          </w:tcPr>
          <w:p>
            <w:pPr>
              <w:pStyle w:val="TableParagraph"/>
              <w:ind w:left="418"/>
              <w:rPr>
                <w:sz w:val="18"/>
              </w:rPr>
            </w:pPr>
            <w:r>
              <w:rPr>
                <w:spacing w:val="-2"/>
                <w:sz w:val="18"/>
              </w:rPr>
              <w:t>(0.01967)</w:t>
            </w: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13" w:hRule="atLeast"/>
        </w:trPr>
        <w:tc>
          <w:tcPr>
            <w:tcW w:w="1467" w:type="dxa"/>
          </w:tcPr>
          <w:p>
            <w:pPr>
              <w:pStyle w:val="TableParagraph"/>
              <w:spacing w:line="187" w:lineRule="exact"/>
              <w:ind w:right="81"/>
              <w:jc w:val="center"/>
              <w:rPr>
                <w:sz w:val="18"/>
              </w:rPr>
            </w:pPr>
            <w:r>
              <w:rPr>
                <w:spacing w:val="-2"/>
                <w:sz w:val="18"/>
              </w:rPr>
              <w:t>D(ODA)</w:t>
            </w:r>
          </w:p>
        </w:tc>
        <w:tc>
          <w:tcPr>
            <w:tcW w:w="1266" w:type="dxa"/>
          </w:tcPr>
          <w:p>
            <w:pPr>
              <w:pStyle w:val="TableParagraph"/>
              <w:spacing w:line="187" w:lineRule="exact"/>
              <w:ind w:right="236"/>
              <w:jc w:val="right"/>
              <w:rPr>
                <w:sz w:val="18"/>
              </w:rPr>
            </w:pPr>
            <w:r>
              <w:rPr>
                <w:spacing w:val="-2"/>
                <w:sz w:val="18"/>
              </w:rPr>
              <w:t>0.029408</w:t>
            </w:r>
          </w:p>
        </w:tc>
        <w:tc>
          <w:tcPr>
            <w:tcW w:w="2911" w:type="dxa"/>
            <w:gridSpan w:val="2"/>
          </w:tcPr>
          <w:p>
            <w:pPr>
              <w:pStyle w:val="TableParagraph"/>
              <w:spacing w:line="187" w:lineRule="exact"/>
              <w:ind w:left="428"/>
              <w:rPr>
                <w:sz w:val="18"/>
              </w:rPr>
            </w:pPr>
            <w:r>
              <w:rPr>
                <w:spacing w:val="-2"/>
                <w:sz w:val="18"/>
              </w:rPr>
              <w:t>0.091766</w:t>
            </w:r>
          </w:p>
        </w:tc>
        <w:tc>
          <w:tcPr>
            <w:tcW w:w="1418" w:type="dxa"/>
          </w:tcPr>
          <w:p>
            <w:pPr>
              <w:pStyle w:val="TableParagraph"/>
              <w:spacing w:line="240" w:lineRule="auto" w:before="0"/>
              <w:rPr>
                <w:rFonts w:ascii="Times New Roman"/>
                <w:sz w:val="14"/>
              </w:rPr>
            </w:pPr>
          </w:p>
        </w:tc>
        <w:tc>
          <w:tcPr>
            <w:tcW w:w="1406" w:type="dxa"/>
          </w:tcPr>
          <w:p>
            <w:pPr>
              <w:pStyle w:val="TableParagraph"/>
              <w:spacing w:line="240" w:lineRule="auto" w:before="0"/>
              <w:rPr>
                <w:rFonts w:ascii="Times New Roman"/>
                <w:sz w:val="14"/>
              </w:rPr>
            </w:pPr>
          </w:p>
        </w:tc>
        <w:tc>
          <w:tcPr>
            <w:tcW w:w="1439" w:type="dxa"/>
          </w:tcPr>
          <w:p>
            <w:pPr>
              <w:pStyle w:val="TableParagraph"/>
              <w:spacing w:line="240" w:lineRule="auto" w:before="0"/>
              <w:rPr>
                <w:rFonts w:ascii="Times New Roman"/>
                <w:sz w:val="14"/>
              </w:rPr>
            </w:pPr>
          </w:p>
        </w:tc>
        <w:tc>
          <w:tcPr>
            <w:tcW w:w="1409" w:type="dxa"/>
          </w:tcPr>
          <w:p>
            <w:pPr>
              <w:pStyle w:val="TableParagraph"/>
              <w:spacing w:line="240" w:lineRule="auto" w:before="0"/>
              <w:rPr>
                <w:rFonts w:ascii="Times New Roman"/>
                <w:sz w:val="14"/>
              </w:rPr>
            </w:pPr>
          </w:p>
        </w:tc>
        <w:tc>
          <w:tcPr>
            <w:tcW w:w="2834" w:type="dxa"/>
          </w:tcPr>
          <w:p>
            <w:pPr>
              <w:pStyle w:val="TableParagraph"/>
              <w:spacing w:line="240" w:lineRule="auto" w:before="0"/>
              <w:rPr>
                <w:rFonts w:ascii="Times New Roman"/>
                <w:sz w:val="14"/>
              </w:rPr>
            </w:pPr>
          </w:p>
        </w:tc>
      </w:tr>
    </w:tbl>
    <w:p>
      <w:pPr>
        <w:spacing w:after="0" w:line="240" w:lineRule="auto"/>
        <w:rPr>
          <w:rFonts w:ascii="Times New Roman"/>
          <w:sz w:val="14"/>
        </w:rPr>
        <w:sectPr>
          <w:pgSz w:w="15840" w:h="12240" w:orient="landscape"/>
          <w:pgMar w:header="0" w:footer="1012" w:top="1380" w:bottom="1200" w:left="1340" w:right="120"/>
        </w:sectPr>
      </w:pPr>
    </w:p>
    <w:p>
      <w:pPr>
        <w:pStyle w:val="BodyText"/>
        <w:spacing w:before="8"/>
        <w:ind w:left="0"/>
        <w:rPr>
          <w:b/>
          <w:sz w:val="6"/>
        </w:rPr>
      </w:pPr>
      <w:r>
        <w:rPr/>
        <mc:AlternateContent>
          <mc:Choice Requires="wps">
            <w:drawing>
              <wp:anchor distT="0" distB="0" distL="0" distR="0" allowOverlap="1" layoutInCell="1" locked="0" behindDoc="1" simplePos="0" relativeHeight="478141440">
                <wp:simplePos x="0" y="0"/>
                <wp:positionH relativeFrom="page">
                  <wp:posOffset>2093086</wp:posOffset>
                </wp:positionH>
                <wp:positionV relativeFrom="page">
                  <wp:posOffset>6038215</wp:posOffset>
                </wp:positionV>
                <wp:extent cx="677545" cy="677545"/>
                <wp:effectExtent l="0" t="0" r="0" b="0"/>
                <wp:wrapNone/>
                <wp:docPr id="283" name="Graphic 283"/>
                <wp:cNvGraphicFramePr>
                  <a:graphicFrameLocks/>
                </wp:cNvGraphicFramePr>
                <a:graphic>
                  <a:graphicData uri="http://schemas.microsoft.com/office/word/2010/wordprocessingShape">
                    <wps:wsp>
                      <wps:cNvPr id="283" name="Graphic 283"/>
                      <wps:cNvSpPr/>
                      <wps:spPr>
                        <a:xfrm>
                          <a:off x="0" y="0"/>
                          <a:ext cx="677545" cy="677545"/>
                        </a:xfrm>
                        <a:custGeom>
                          <a:avLst/>
                          <a:gdLst/>
                          <a:ahLst/>
                          <a:cxnLst/>
                          <a:rect l="l" t="t" r="r" b="b"/>
                          <a:pathLst>
                            <a:path w="677545" h="677545">
                              <a:moveTo>
                                <a:pt x="123825" y="0"/>
                              </a:moveTo>
                              <a:lnTo>
                                <a:pt x="0" y="123825"/>
                              </a:lnTo>
                              <a:lnTo>
                                <a:pt x="553212" y="676948"/>
                              </a:lnTo>
                              <a:lnTo>
                                <a:pt x="677037" y="553123"/>
                              </a:lnTo>
                              <a:lnTo>
                                <a:pt x="123825"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64.809998pt;margin-top:475.450012pt;width:53.35pt;height:53.35pt;mso-position-horizontal-relative:page;mso-position-vertical-relative:page;z-index:-25175040" id="docshape283" coordorigin="3296,9509" coordsize="1067,1067" path="m3491,9509l3296,9704,4167,10575,4362,10380,3491,9509xe" filled="true" fillcolor="#c0c0c0" stroked="false">
                <v:path arrowok="t"/>
                <v:fill opacity="32896f" type="solid"/>
                <w10:wrap type="none"/>
              </v:shape>
            </w:pict>
          </mc:Fallback>
        </mc:AlternateContent>
      </w: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7"/>
        <w:gridCol w:w="1266"/>
        <w:gridCol w:w="1561"/>
        <w:gridCol w:w="1350"/>
        <w:gridCol w:w="1441"/>
        <w:gridCol w:w="1383"/>
        <w:gridCol w:w="1462"/>
        <w:gridCol w:w="1386"/>
        <w:gridCol w:w="2833"/>
      </w:tblGrid>
      <w:tr>
        <w:trPr>
          <w:trHeight w:val="212" w:hRule="atLeast"/>
        </w:trPr>
        <w:tc>
          <w:tcPr>
            <w:tcW w:w="1467" w:type="dxa"/>
          </w:tcPr>
          <w:p>
            <w:pPr>
              <w:pStyle w:val="TableParagraph"/>
              <w:spacing w:line="240" w:lineRule="auto" w:before="0"/>
              <w:rPr>
                <w:rFonts w:ascii="Times New Roman"/>
                <w:sz w:val="14"/>
              </w:rPr>
            </w:pPr>
          </w:p>
        </w:tc>
        <w:tc>
          <w:tcPr>
            <w:tcW w:w="1266" w:type="dxa"/>
          </w:tcPr>
          <w:p>
            <w:pPr>
              <w:pStyle w:val="TableParagraph"/>
              <w:spacing w:line="192" w:lineRule="exact" w:before="0"/>
              <w:ind w:left="48" w:right="10"/>
              <w:jc w:val="center"/>
              <w:rPr>
                <w:sz w:val="18"/>
              </w:rPr>
            </w:pPr>
            <w:r>
              <w:rPr>
                <w:spacing w:val="-2"/>
                <w:sz w:val="18"/>
              </w:rPr>
              <w:t>(0.10479)</w:t>
            </w:r>
          </w:p>
        </w:tc>
        <w:tc>
          <w:tcPr>
            <w:tcW w:w="1561" w:type="dxa"/>
          </w:tcPr>
          <w:p>
            <w:pPr>
              <w:pStyle w:val="TableParagraph"/>
              <w:spacing w:line="192" w:lineRule="exact" w:before="0"/>
              <w:ind w:left="52" w:right="4"/>
              <w:jc w:val="center"/>
              <w:rPr>
                <w:sz w:val="18"/>
              </w:rPr>
            </w:pPr>
            <w:r>
              <w:rPr>
                <w:spacing w:val="-2"/>
                <w:sz w:val="18"/>
              </w:rPr>
              <w:t>(0.18238)</w:t>
            </w:r>
          </w:p>
        </w:tc>
        <w:tc>
          <w:tcPr>
            <w:tcW w:w="1350" w:type="dxa"/>
          </w:tcPr>
          <w:p>
            <w:pPr>
              <w:pStyle w:val="TableParagraph"/>
              <w:spacing w:line="240" w:lineRule="auto" w:before="0"/>
              <w:rPr>
                <w:rFonts w:ascii="Times New Roman"/>
                <w:sz w:val="14"/>
              </w:rPr>
            </w:pPr>
          </w:p>
        </w:tc>
        <w:tc>
          <w:tcPr>
            <w:tcW w:w="1441" w:type="dxa"/>
          </w:tcPr>
          <w:p>
            <w:pPr>
              <w:pStyle w:val="TableParagraph"/>
              <w:spacing w:line="240" w:lineRule="auto" w:before="0"/>
              <w:rPr>
                <w:rFonts w:ascii="Times New Roman"/>
                <w:sz w:val="14"/>
              </w:rPr>
            </w:pPr>
          </w:p>
        </w:tc>
        <w:tc>
          <w:tcPr>
            <w:tcW w:w="1383" w:type="dxa"/>
          </w:tcPr>
          <w:p>
            <w:pPr>
              <w:pStyle w:val="TableParagraph"/>
              <w:spacing w:line="240" w:lineRule="auto" w:before="0"/>
              <w:rPr>
                <w:rFonts w:ascii="Times New Roman"/>
                <w:sz w:val="14"/>
              </w:rPr>
            </w:pPr>
          </w:p>
        </w:tc>
        <w:tc>
          <w:tcPr>
            <w:tcW w:w="1462" w:type="dxa"/>
          </w:tcPr>
          <w:p>
            <w:pPr>
              <w:pStyle w:val="TableParagraph"/>
              <w:spacing w:line="240" w:lineRule="auto" w:before="0"/>
              <w:rPr>
                <w:rFonts w:ascii="Times New Roman"/>
                <w:sz w:val="14"/>
              </w:rPr>
            </w:pPr>
          </w:p>
        </w:tc>
        <w:tc>
          <w:tcPr>
            <w:tcW w:w="1386" w:type="dxa"/>
          </w:tcPr>
          <w:p>
            <w:pPr>
              <w:pStyle w:val="TableParagraph"/>
              <w:spacing w:line="240" w:lineRule="auto" w:before="0"/>
              <w:rPr>
                <w:rFonts w:ascii="Times New Roman"/>
                <w:sz w:val="14"/>
              </w:rPr>
            </w:pPr>
          </w:p>
        </w:tc>
        <w:tc>
          <w:tcPr>
            <w:tcW w:w="2833" w:type="dxa"/>
          </w:tcPr>
          <w:p>
            <w:pPr>
              <w:pStyle w:val="TableParagraph"/>
              <w:spacing w:line="240" w:lineRule="auto" w:before="0"/>
              <w:rPr>
                <w:rFonts w:ascii="Times New Roman"/>
                <w:sz w:val="14"/>
              </w:rPr>
            </w:pPr>
          </w:p>
        </w:tc>
      </w:tr>
      <w:tr>
        <w:trPr>
          <w:trHeight w:val="224" w:hRule="atLeast"/>
        </w:trPr>
        <w:tc>
          <w:tcPr>
            <w:tcW w:w="1467" w:type="dxa"/>
          </w:tcPr>
          <w:p>
            <w:pPr>
              <w:pStyle w:val="TableParagraph"/>
              <w:spacing w:before="5"/>
              <w:ind w:right="81"/>
              <w:jc w:val="center"/>
              <w:rPr>
                <w:sz w:val="18"/>
              </w:rPr>
            </w:pPr>
            <w:r>
              <w:rPr>
                <w:spacing w:val="-2"/>
                <w:sz w:val="18"/>
              </w:rPr>
              <w:t>D(CPS_GDP)</w:t>
            </w:r>
          </w:p>
        </w:tc>
        <w:tc>
          <w:tcPr>
            <w:tcW w:w="1266" w:type="dxa"/>
          </w:tcPr>
          <w:p>
            <w:pPr>
              <w:pStyle w:val="TableParagraph"/>
              <w:spacing w:before="5"/>
              <w:ind w:left="38" w:right="47"/>
              <w:jc w:val="center"/>
              <w:rPr>
                <w:sz w:val="18"/>
              </w:rPr>
            </w:pPr>
            <w:r>
              <w:rPr/>
              <mc:AlternateContent>
                <mc:Choice Requires="wps">
                  <w:drawing>
                    <wp:anchor distT="0" distB="0" distL="0" distR="0" allowOverlap="1" layoutInCell="1" locked="0" behindDoc="1" simplePos="0" relativeHeight="478141952">
                      <wp:simplePos x="0" y="0"/>
                      <wp:positionH relativeFrom="column">
                        <wp:posOffset>440156</wp:posOffset>
                      </wp:positionH>
                      <wp:positionV relativeFrom="paragraph">
                        <wp:posOffset>-10516</wp:posOffset>
                      </wp:positionV>
                      <wp:extent cx="5292725" cy="5351780"/>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5292725" cy="5351780"/>
                                <a:chExt cx="5292725" cy="5351780"/>
                              </a:xfrm>
                            </wpg:grpSpPr>
                            <wps:wsp>
                              <wps:cNvPr id="285" name="Graphic 285"/>
                              <wps:cNvSpPr/>
                              <wps:spPr>
                                <a:xfrm>
                                  <a:off x="0" y="0"/>
                                  <a:ext cx="5292725" cy="5351780"/>
                                </a:xfrm>
                                <a:custGeom>
                                  <a:avLst/>
                                  <a:gdLst/>
                                  <a:ahLst/>
                                  <a:cxnLst/>
                                  <a:rect l="l" t="t" r="r" b="b"/>
                                  <a:pathLst>
                                    <a:path w="5292725" h="5351780">
                                      <a:moveTo>
                                        <a:pt x="839978" y="5107749"/>
                                      </a:moveTo>
                                      <a:lnTo>
                                        <a:pt x="836295" y="5055489"/>
                                      </a:lnTo>
                                      <a:lnTo>
                                        <a:pt x="821270" y="4999825"/>
                                      </a:lnTo>
                                      <a:lnTo>
                                        <a:pt x="794639" y="4944618"/>
                                      </a:lnTo>
                                      <a:lnTo>
                                        <a:pt x="758024" y="4891671"/>
                                      </a:lnTo>
                                      <a:lnTo>
                                        <a:pt x="713232" y="4841367"/>
                                      </a:lnTo>
                                      <a:lnTo>
                                        <a:pt x="383413" y="4511548"/>
                                      </a:lnTo>
                                      <a:lnTo>
                                        <a:pt x="260096" y="4634865"/>
                                      </a:lnTo>
                                      <a:lnTo>
                                        <a:pt x="597662" y="4972558"/>
                                      </a:lnTo>
                                      <a:lnTo>
                                        <a:pt x="618172" y="4995367"/>
                                      </a:lnTo>
                                      <a:lnTo>
                                        <a:pt x="633818" y="5017833"/>
                                      </a:lnTo>
                                      <a:lnTo>
                                        <a:pt x="644664" y="5039931"/>
                                      </a:lnTo>
                                      <a:lnTo>
                                        <a:pt x="650748" y="5061585"/>
                                      </a:lnTo>
                                      <a:lnTo>
                                        <a:pt x="651700" y="5082425"/>
                                      </a:lnTo>
                                      <a:lnTo>
                                        <a:pt x="647763" y="5101869"/>
                                      </a:lnTo>
                                      <a:lnTo>
                                        <a:pt x="625348" y="5136515"/>
                                      </a:lnTo>
                                      <a:lnTo>
                                        <a:pt x="590435" y="5159083"/>
                                      </a:lnTo>
                                      <a:lnTo>
                                        <a:pt x="570890" y="5162867"/>
                                      </a:lnTo>
                                      <a:lnTo>
                                        <a:pt x="549910" y="5161534"/>
                                      </a:lnTo>
                                      <a:lnTo>
                                        <a:pt x="505841" y="5144859"/>
                                      </a:lnTo>
                                      <a:lnTo>
                                        <a:pt x="461010" y="5109210"/>
                                      </a:lnTo>
                                      <a:lnTo>
                                        <a:pt x="123444" y="4771517"/>
                                      </a:lnTo>
                                      <a:lnTo>
                                        <a:pt x="0" y="4894834"/>
                                      </a:lnTo>
                                      <a:lnTo>
                                        <a:pt x="329819" y="5224653"/>
                                      </a:lnTo>
                                      <a:lnTo>
                                        <a:pt x="376567" y="5265547"/>
                                      </a:lnTo>
                                      <a:lnTo>
                                        <a:pt x="434848" y="5306822"/>
                                      </a:lnTo>
                                      <a:lnTo>
                                        <a:pt x="477329" y="5328818"/>
                                      </a:lnTo>
                                      <a:lnTo>
                                        <a:pt x="525145" y="5344033"/>
                                      </a:lnTo>
                                      <a:lnTo>
                                        <a:pt x="572617" y="5351424"/>
                                      </a:lnTo>
                                      <a:lnTo>
                                        <a:pt x="594448" y="5351526"/>
                                      </a:lnTo>
                                      <a:lnTo>
                                        <a:pt x="615061" y="5349367"/>
                                      </a:lnTo>
                                      <a:lnTo>
                                        <a:pt x="655154" y="5337492"/>
                                      </a:lnTo>
                                      <a:lnTo>
                                        <a:pt x="695452" y="5314188"/>
                                      </a:lnTo>
                                      <a:lnTo>
                                        <a:pt x="732485" y="5284952"/>
                                      </a:lnTo>
                                      <a:lnTo>
                                        <a:pt x="764286" y="5255895"/>
                                      </a:lnTo>
                                      <a:lnTo>
                                        <a:pt x="806640" y="5204485"/>
                                      </a:lnTo>
                                      <a:lnTo>
                                        <a:pt x="832612" y="5151247"/>
                                      </a:lnTo>
                                      <a:lnTo>
                                        <a:pt x="837615" y="5130609"/>
                                      </a:lnTo>
                                      <a:lnTo>
                                        <a:pt x="839978" y="5107749"/>
                                      </a:lnTo>
                                      <a:close/>
                                    </a:path>
                                    <a:path w="5292725" h="5351780">
                                      <a:moveTo>
                                        <a:pt x="1302181" y="4610379"/>
                                      </a:moveTo>
                                      <a:lnTo>
                                        <a:pt x="1298219" y="4569625"/>
                                      </a:lnTo>
                                      <a:lnTo>
                                        <a:pt x="1288199" y="4528058"/>
                                      </a:lnTo>
                                      <a:lnTo>
                                        <a:pt x="1271905" y="4485640"/>
                                      </a:lnTo>
                                      <a:lnTo>
                                        <a:pt x="1254074" y="4451121"/>
                                      </a:lnTo>
                                      <a:lnTo>
                                        <a:pt x="1231671" y="4415548"/>
                                      </a:lnTo>
                                      <a:lnTo>
                                        <a:pt x="1204607" y="4378972"/>
                                      </a:lnTo>
                                      <a:lnTo>
                                        <a:pt x="1172933" y="4341507"/>
                                      </a:lnTo>
                                      <a:lnTo>
                                        <a:pt x="1161618" y="4329595"/>
                                      </a:lnTo>
                                      <a:lnTo>
                                        <a:pt x="1136523" y="4303141"/>
                                      </a:lnTo>
                                      <a:lnTo>
                                        <a:pt x="1121346" y="4289018"/>
                                      </a:lnTo>
                                      <a:lnTo>
                                        <a:pt x="1121346" y="4602658"/>
                                      </a:lnTo>
                                      <a:lnTo>
                                        <a:pt x="1118235" y="4628210"/>
                                      </a:lnTo>
                                      <a:lnTo>
                                        <a:pt x="1091819" y="4672584"/>
                                      </a:lnTo>
                                      <a:lnTo>
                                        <a:pt x="1047902" y="4698276"/>
                                      </a:lnTo>
                                      <a:lnTo>
                                        <a:pt x="1022197" y="4701095"/>
                                      </a:lnTo>
                                      <a:lnTo>
                                        <a:pt x="993902" y="4697095"/>
                                      </a:lnTo>
                                      <a:lnTo>
                                        <a:pt x="928585" y="4665548"/>
                                      </a:lnTo>
                                      <a:lnTo>
                                        <a:pt x="891273" y="4636846"/>
                                      </a:lnTo>
                                      <a:lnTo>
                                        <a:pt x="850900" y="4599305"/>
                                      </a:lnTo>
                                      <a:lnTo>
                                        <a:pt x="813231" y="4558728"/>
                                      </a:lnTo>
                                      <a:lnTo>
                                        <a:pt x="784352" y="4521200"/>
                                      </a:lnTo>
                                      <a:lnTo>
                                        <a:pt x="764133" y="4486834"/>
                                      </a:lnTo>
                                      <a:lnTo>
                                        <a:pt x="748461" y="4427385"/>
                                      </a:lnTo>
                                      <a:lnTo>
                                        <a:pt x="751166" y="4401807"/>
                                      </a:lnTo>
                                      <a:lnTo>
                                        <a:pt x="775970" y="4358894"/>
                                      </a:lnTo>
                                      <a:lnTo>
                                        <a:pt x="819950" y="4332884"/>
                                      </a:lnTo>
                                      <a:lnTo>
                                        <a:pt x="845667" y="4329595"/>
                                      </a:lnTo>
                                      <a:lnTo>
                                        <a:pt x="873798" y="4332884"/>
                                      </a:lnTo>
                                      <a:lnTo>
                                        <a:pt x="937348" y="4362755"/>
                                      </a:lnTo>
                                      <a:lnTo>
                                        <a:pt x="972807" y="4389602"/>
                                      </a:lnTo>
                                      <a:lnTo>
                                        <a:pt x="1010666" y="4424553"/>
                                      </a:lnTo>
                                      <a:lnTo>
                                        <a:pt x="1052080" y="4468812"/>
                                      </a:lnTo>
                                      <a:lnTo>
                                        <a:pt x="1083652" y="4508716"/>
                                      </a:lnTo>
                                      <a:lnTo>
                                        <a:pt x="1105458" y="4544161"/>
                                      </a:lnTo>
                                      <a:lnTo>
                                        <a:pt x="1121346" y="4602658"/>
                                      </a:lnTo>
                                      <a:lnTo>
                                        <a:pt x="1121346" y="4289018"/>
                                      </a:lnTo>
                                      <a:lnTo>
                                        <a:pt x="1092136" y="4261828"/>
                                      </a:lnTo>
                                      <a:lnTo>
                                        <a:pt x="1048016" y="4226865"/>
                                      </a:lnTo>
                                      <a:lnTo>
                                        <a:pt x="1004201" y="4198201"/>
                                      </a:lnTo>
                                      <a:lnTo>
                                        <a:pt x="960678" y="4175760"/>
                                      </a:lnTo>
                                      <a:lnTo>
                                        <a:pt x="917486" y="4159504"/>
                                      </a:lnTo>
                                      <a:lnTo>
                                        <a:pt x="874649" y="4149344"/>
                                      </a:lnTo>
                                      <a:lnTo>
                                        <a:pt x="824611" y="4145813"/>
                                      </a:lnTo>
                                      <a:lnTo>
                                        <a:pt x="776795" y="4152163"/>
                                      </a:lnTo>
                                      <a:lnTo>
                                        <a:pt x="731215" y="4168292"/>
                                      </a:lnTo>
                                      <a:lnTo>
                                        <a:pt x="687870" y="4194073"/>
                                      </a:lnTo>
                                      <a:lnTo>
                                        <a:pt x="646811" y="4229354"/>
                                      </a:lnTo>
                                      <a:lnTo>
                                        <a:pt x="612470" y="4269638"/>
                                      </a:lnTo>
                                      <a:lnTo>
                                        <a:pt x="587552" y="4312539"/>
                                      </a:lnTo>
                                      <a:lnTo>
                                        <a:pt x="572147" y="4358056"/>
                                      </a:lnTo>
                                      <a:lnTo>
                                        <a:pt x="566343" y="4406112"/>
                                      </a:lnTo>
                                      <a:lnTo>
                                        <a:pt x="570230" y="4456684"/>
                                      </a:lnTo>
                                      <a:lnTo>
                                        <a:pt x="580707" y="4500080"/>
                                      </a:lnTo>
                                      <a:lnTo>
                                        <a:pt x="597357" y="4543882"/>
                                      </a:lnTo>
                                      <a:lnTo>
                                        <a:pt x="620217" y="4588040"/>
                                      </a:lnTo>
                                      <a:lnTo>
                                        <a:pt x="649351" y="4632515"/>
                                      </a:lnTo>
                                      <a:lnTo>
                                        <a:pt x="684822" y="4677270"/>
                                      </a:lnTo>
                                      <a:lnTo>
                                        <a:pt x="726694" y="4722241"/>
                                      </a:lnTo>
                                      <a:lnTo>
                                        <a:pt x="765200" y="4758525"/>
                                      </a:lnTo>
                                      <a:lnTo>
                                        <a:pt x="803427" y="4789995"/>
                                      </a:lnTo>
                                      <a:lnTo>
                                        <a:pt x="841298" y="4816703"/>
                                      </a:lnTo>
                                      <a:lnTo>
                                        <a:pt x="878738" y="4838725"/>
                                      </a:lnTo>
                                      <a:lnTo>
                                        <a:pt x="915670" y="4856099"/>
                                      </a:lnTo>
                                      <a:lnTo>
                                        <a:pt x="960424" y="4871567"/>
                                      </a:lnTo>
                                      <a:lnTo>
                                        <a:pt x="1003084" y="4880241"/>
                                      </a:lnTo>
                                      <a:lnTo>
                                        <a:pt x="1043622" y="4882426"/>
                                      </a:lnTo>
                                      <a:lnTo>
                                        <a:pt x="1082040" y="4878451"/>
                                      </a:lnTo>
                                      <a:lnTo>
                                        <a:pt x="1118730" y="4868176"/>
                                      </a:lnTo>
                                      <a:lnTo>
                                        <a:pt x="1154569" y="4850955"/>
                                      </a:lnTo>
                                      <a:lnTo>
                                        <a:pt x="1189570" y="4826990"/>
                                      </a:lnTo>
                                      <a:lnTo>
                                        <a:pt x="1223772" y="4796409"/>
                                      </a:lnTo>
                                      <a:lnTo>
                                        <a:pt x="1253604" y="4762271"/>
                                      </a:lnTo>
                                      <a:lnTo>
                                        <a:pt x="1276388" y="4726533"/>
                                      </a:lnTo>
                                      <a:lnTo>
                                        <a:pt x="1292009" y="4689221"/>
                                      </a:lnTo>
                                      <a:lnTo>
                                        <a:pt x="1300353" y="4650359"/>
                                      </a:lnTo>
                                      <a:lnTo>
                                        <a:pt x="1302181" y="4610379"/>
                                      </a:lnTo>
                                      <a:close/>
                                    </a:path>
                                    <a:path w="5292725" h="5351780">
                                      <a:moveTo>
                                        <a:pt x="1474343" y="4242308"/>
                                      </a:moveTo>
                                      <a:lnTo>
                                        <a:pt x="1355598" y="4123436"/>
                                      </a:lnTo>
                                      <a:lnTo>
                                        <a:pt x="1194181" y="4284980"/>
                                      </a:lnTo>
                                      <a:lnTo>
                                        <a:pt x="1312926" y="4403725"/>
                                      </a:lnTo>
                                      <a:lnTo>
                                        <a:pt x="1474343" y="4242308"/>
                                      </a:lnTo>
                                      <a:close/>
                                    </a:path>
                                    <a:path w="5292725" h="5351780">
                                      <a:moveTo>
                                        <a:pt x="1798701" y="4202557"/>
                                      </a:moveTo>
                                      <a:lnTo>
                                        <a:pt x="1245489" y="3649345"/>
                                      </a:lnTo>
                                      <a:lnTo>
                                        <a:pt x="1121664" y="3773170"/>
                                      </a:lnTo>
                                      <a:lnTo>
                                        <a:pt x="1674876" y="4326382"/>
                                      </a:lnTo>
                                      <a:lnTo>
                                        <a:pt x="1798701" y="4202557"/>
                                      </a:lnTo>
                                      <a:close/>
                                    </a:path>
                                    <a:path w="5292725" h="5351780">
                                      <a:moveTo>
                                        <a:pt x="2010918" y="3990340"/>
                                      </a:moveTo>
                                      <a:lnTo>
                                        <a:pt x="1805686" y="3784981"/>
                                      </a:lnTo>
                                      <a:lnTo>
                                        <a:pt x="1873377" y="3717290"/>
                                      </a:lnTo>
                                      <a:lnTo>
                                        <a:pt x="1905495" y="3679304"/>
                                      </a:lnTo>
                                      <a:lnTo>
                                        <a:pt x="1908975" y="3672967"/>
                                      </a:lnTo>
                                      <a:lnTo>
                                        <a:pt x="1926958" y="3640201"/>
                                      </a:lnTo>
                                      <a:lnTo>
                                        <a:pt x="1937664" y="3600069"/>
                                      </a:lnTo>
                                      <a:lnTo>
                                        <a:pt x="1937512" y="3558921"/>
                                      </a:lnTo>
                                      <a:lnTo>
                                        <a:pt x="1927352" y="3517239"/>
                                      </a:lnTo>
                                      <a:lnTo>
                                        <a:pt x="1912581" y="3484930"/>
                                      </a:lnTo>
                                      <a:lnTo>
                                        <a:pt x="1908251" y="3475444"/>
                                      </a:lnTo>
                                      <a:lnTo>
                                        <a:pt x="1880120" y="3433572"/>
                                      </a:lnTo>
                                      <a:lnTo>
                                        <a:pt x="1842897" y="3391662"/>
                                      </a:lnTo>
                                      <a:lnTo>
                                        <a:pt x="1802371" y="3355416"/>
                                      </a:lnTo>
                                      <a:lnTo>
                                        <a:pt x="1762340" y="3328060"/>
                                      </a:lnTo>
                                      <a:lnTo>
                                        <a:pt x="1756791" y="3325444"/>
                                      </a:lnTo>
                                      <a:lnTo>
                                        <a:pt x="1756791" y="3575050"/>
                                      </a:lnTo>
                                      <a:lnTo>
                                        <a:pt x="1756003" y="3591293"/>
                                      </a:lnTo>
                                      <a:lnTo>
                                        <a:pt x="1750148" y="3607993"/>
                                      </a:lnTo>
                                      <a:lnTo>
                                        <a:pt x="1739392" y="3625151"/>
                                      </a:lnTo>
                                      <a:lnTo>
                                        <a:pt x="1723898" y="3642741"/>
                                      </a:lnTo>
                                      <a:lnTo>
                                        <a:pt x="1693672" y="3672967"/>
                                      </a:lnTo>
                                      <a:lnTo>
                                        <a:pt x="1570228" y="3549523"/>
                                      </a:lnTo>
                                      <a:lnTo>
                                        <a:pt x="1605407" y="3514344"/>
                                      </a:lnTo>
                                      <a:lnTo>
                                        <a:pt x="1622526" y="3499459"/>
                                      </a:lnTo>
                                      <a:lnTo>
                                        <a:pt x="1639087" y="3489668"/>
                                      </a:lnTo>
                                      <a:lnTo>
                                        <a:pt x="1655127" y="3484930"/>
                                      </a:lnTo>
                                      <a:lnTo>
                                        <a:pt x="1670685" y="3485261"/>
                                      </a:lnTo>
                                      <a:lnTo>
                                        <a:pt x="1714131" y="3505149"/>
                                      </a:lnTo>
                                      <a:lnTo>
                                        <a:pt x="1748066" y="3544824"/>
                                      </a:lnTo>
                                      <a:lnTo>
                                        <a:pt x="1756791" y="3575050"/>
                                      </a:lnTo>
                                      <a:lnTo>
                                        <a:pt x="1756791" y="3325444"/>
                                      </a:lnTo>
                                      <a:lnTo>
                                        <a:pt x="1722843" y="3309391"/>
                                      </a:lnTo>
                                      <a:lnTo>
                                        <a:pt x="1683893" y="3299206"/>
                                      </a:lnTo>
                                      <a:lnTo>
                                        <a:pt x="1645742" y="3298609"/>
                                      </a:lnTo>
                                      <a:lnTo>
                                        <a:pt x="1608874" y="3307956"/>
                                      </a:lnTo>
                                      <a:lnTo>
                                        <a:pt x="1573314" y="3327095"/>
                                      </a:lnTo>
                                      <a:lnTo>
                                        <a:pt x="1539113" y="3355848"/>
                                      </a:lnTo>
                                      <a:lnTo>
                                        <a:pt x="1333627" y="3561207"/>
                                      </a:lnTo>
                                      <a:lnTo>
                                        <a:pt x="1886839" y="4114419"/>
                                      </a:lnTo>
                                      <a:lnTo>
                                        <a:pt x="2010918" y="3990340"/>
                                      </a:lnTo>
                                      <a:close/>
                                    </a:path>
                                    <a:path w="5292725" h="5351780">
                                      <a:moveTo>
                                        <a:pt x="2512441" y="3488817"/>
                                      </a:moveTo>
                                      <a:lnTo>
                                        <a:pt x="2095754" y="3072257"/>
                                      </a:lnTo>
                                      <a:lnTo>
                                        <a:pt x="2221865" y="2946146"/>
                                      </a:lnTo>
                                      <a:lnTo>
                                        <a:pt x="2085340" y="2809621"/>
                                      </a:lnTo>
                                      <a:lnTo>
                                        <a:pt x="1709674" y="3185287"/>
                                      </a:lnTo>
                                      <a:lnTo>
                                        <a:pt x="1846199" y="3321812"/>
                                      </a:lnTo>
                                      <a:lnTo>
                                        <a:pt x="1972183" y="3195828"/>
                                      </a:lnTo>
                                      <a:lnTo>
                                        <a:pt x="2388870" y="3612388"/>
                                      </a:lnTo>
                                      <a:lnTo>
                                        <a:pt x="2512441" y="3488817"/>
                                      </a:lnTo>
                                      <a:close/>
                                    </a:path>
                                    <a:path w="5292725" h="5351780">
                                      <a:moveTo>
                                        <a:pt x="2915920" y="3085338"/>
                                      </a:moveTo>
                                      <a:lnTo>
                                        <a:pt x="2499360" y="2668651"/>
                                      </a:lnTo>
                                      <a:lnTo>
                                        <a:pt x="2625344" y="2542667"/>
                                      </a:lnTo>
                                      <a:lnTo>
                                        <a:pt x="2488819" y="2406142"/>
                                      </a:lnTo>
                                      <a:lnTo>
                                        <a:pt x="2113153" y="2781808"/>
                                      </a:lnTo>
                                      <a:lnTo>
                                        <a:pt x="2249805" y="2918333"/>
                                      </a:lnTo>
                                      <a:lnTo>
                                        <a:pt x="2375789" y="2792349"/>
                                      </a:lnTo>
                                      <a:lnTo>
                                        <a:pt x="2792349" y="3208909"/>
                                      </a:lnTo>
                                      <a:lnTo>
                                        <a:pt x="2915920" y="3085338"/>
                                      </a:lnTo>
                                      <a:close/>
                                    </a:path>
                                    <a:path w="5292725" h="5351780">
                                      <a:moveTo>
                                        <a:pt x="3381705" y="2530856"/>
                                      </a:moveTo>
                                      <a:lnTo>
                                        <a:pt x="3377781" y="2490063"/>
                                      </a:lnTo>
                                      <a:lnTo>
                                        <a:pt x="3367811" y="2448458"/>
                                      </a:lnTo>
                                      <a:lnTo>
                                        <a:pt x="3351530" y="2406015"/>
                                      </a:lnTo>
                                      <a:lnTo>
                                        <a:pt x="3333635" y="2371560"/>
                                      </a:lnTo>
                                      <a:lnTo>
                                        <a:pt x="3311194" y="2336038"/>
                                      </a:lnTo>
                                      <a:lnTo>
                                        <a:pt x="3284080" y="2299449"/>
                                      </a:lnTo>
                                      <a:lnTo>
                                        <a:pt x="3252432" y="2262073"/>
                                      </a:lnTo>
                                      <a:lnTo>
                                        <a:pt x="3241040" y="2250097"/>
                                      </a:lnTo>
                                      <a:lnTo>
                                        <a:pt x="3216021" y="2223770"/>
                                      </a:lnTo>
                                      <a:lnTo>
                                        <a:pt x="3200844" y="2209635"/>
                                      </a:lnTo>
                                      <a:lnTo>
                                        <a:pt x="3200844" y="2523134"/>
                                      </a:lnTo>
                                      <a:lnTo>
                                        <a:pt x="3197707" y="2548661"/>
                                      </a:lnTo>
                                      <a:lnTo>
                                        <a:pt x="3171190" y="2593086"/>
                                      </a:lnTo>
                                      <a:lnTo>
                                        <a:pt x="3127451" y="2618714"/>
                                      </a:lnTo>
                                      <a:lnTo>
                                        <a:pt x="3101797" y="2621483"/>
                                      </a:lnTo>
                                      <a:lnTo>
                                        <a:pt x="3073527" y="2617470"/>
                                      </a:lnTo>
                                      <a:lnTo>
                                        <a:pt x="3008211" y="2585936"/>
                                      </a:lnTo>
                                      <a:lnTo>
                                        <a:pt x="2970898" y="2557272"/>
                                      </a:lnTo>
                                      <a:lnTo>
                                        <a:pt x="2930525" y="2519807"/>
                                      </a:lnTo>
                                      <a:lnTo>
                                        <a:pt x="2892780" y="2479154"/>
                                      </a:lnTo>
                                      <a:lnTo>
                                        <a:pt x="2863875" y="2441600"/>
                                      </a:lnTo>
                                      <a:lnTo>
                                        <a:pt x="2843682" y="2407208"/>
                                      </a:lnTo>
                                      <a:lnTo>
                                        <a:pt x="2828061" y="2347785"/>
                                      </a:lnTo>
                                      <a:lnTo>
                                        <a:pt x="2830728" y="2322245"/>
                                      </a:lnTo>
                                      <a:lnTo>
                                        <a:pt x="2855468" y="2279396"/>
                                      </a:lnTo>
                                      <a:lnTo>
                                        <a:pt x="2899448" y="2253386"/>
                                      </a:lnTo>
                                      <a:lnTo>
                                        <a:pt x="2925165" y="2250097"/>
                                      </a:lnTo>
                                      <a:lnTo>
                                        <a:pt x="2953296" y="2253386"/>
                                      </a:lnTo>
                                      <a:lnTo>
                                        <a:pt x="3016796" y="2283256"/>
                                      </a:lnTo>
                                      <a:lnTo>
                                        <a:pt x="3052280" y="2310104"/>
                                      </a:lnTo>
                                      <a:lnTo>
                                        <a:pt x="3090164" y="2345055"/>
                                      </a:lnTo>
                                      <a:lnTo>
                                        <a:pt x="3131604" y="2389289"/>
                                      </a:lnTo>
                                      <a:lnTo>
                                        <a:pt x="3163201" y="2429167"/>
                                      </a:lnTo>
                                      <a:lnTo>
                                        <a:pt x="3185007" y="2464612"/>
                                      </a:lnTo>
                                      <a:lnTo>
                                        <a:pt x="3200844" y="2523134"/>
                                      </a:lnTo>
                                      <a:lnTo>
                                        <a:pt x="3200844" y="2209635"/>
                                      </a:lnTo>
                                      <a:lnTo>
                                        <a:pt x="3171634" y="2182406"/>
                                      </a:lnTo>
                                      <a:lnTo>
                                        <a:pt x="3127514" y="2147405"/>
                                      </a:lnTo>
                                      <a:lnTo>
                                        <a:pt x="3083699" y="2118715"/>
                                      </a:lnTo>
                                      <a:lnTo>
                                        <a:pt x="3040176" y="2096274"/>
                                      </a:lnTo>
                                      <a:lnTo>
                                        <a:pt x="2996984" y="2080006"/>
                                      </a:lnTo>
                                      <a:lnTo>
                                        <a:pt x="2954147" y="2069846"/>
                                      </a:lnTo>
                                      <a:lnTo>
                                        <a:pt x="2904109" y="2066315"/>
                                      </a:lnTo>
                                      <a:lnTo>
                                        <a:pt x="2856293" y="2072665"/>
                                      </a:lnTo>
                                      <a:lnTo>
                                        <a:pt x="2810713" y="2088769"/>
                                      </a:lnTo>
                                      <a:lnTo>
                                        <a:pt x="2767368" y="2114512"/>
                                      </a:lnTo>
                                      <a:lnTo>
                                        <a:pt x="2726309" y="2149729"/>
                                      </a:lnTo>
                                      <a:lnTo>
                                        <a:pt x="2692019" y="2190026"/>
                                      </a:lnTo>
                                      <a:lnTo>
                                        <a:pt x="2667114" y="2232964"/>
                                      </a:lnTo>
                                      <a:lnTo>
                                        <a:pt x="2651709" y="2278507"/>
                                      </a:lnTo>
                                      <a:lnTo>
                                        <a:pt x="2645918" y="2326602"/>
                                      </a:lnTo>
                                      <a:lnTo>
                                        <a:pt x="2649855" y="2377186"/>
                                      </a:lnTo>
                                      <a:lnTo>
                                        <a:pt x="2660281" y="2420582"/>
                                      </a:lnTo>
                                      <a:lnTo>
                                        <a:pt x="2676893" y="2464346"/>
                                      </a:lnTo>
                                      <a:lnTo>
                                        <a:pt x="2699728" y="2508478"/>
                                      </a:lnTo>
                                      <a:lnTo>
                                        <a:pt x="2728849" y="2552928"/>
                                      </a:lnTo>
                                      <a:lnTo>
                                        <a:pt x="2764320" y="2597645"/>
                                      </a:lnTo>
                                      <a:lnTo>
                                        <a:pt x="2806192" y="2642616"/>
                                      </a:lnTo>
                                      <a:lnTo>
                                        <a:pt x="2844749" y="2678912"/>
                                      </a:lnTo>
                                      <a:lnTo>
                                        <a:pt x="2882989" y="2710408"/>
                                      </a:lnTo>
                                      <a:lnTo>
                                        <a:pt x="2920835" y="2737167"/>
                                      </a:lnTo>
                                      <a:lnTo>
                                        <a:pt x="2958249" y="2759214"/>
                                      </a:lnTo>
                                      <a:lnTo>
                                        <a:pt x="2995168" y="2776601"/>
                                      </a:lnTo>
                                      <a:lnTo>
                                        <a:pt x="3039986" y="2792006"/>
                                      </a:lnTo>
                                      <a:lnTo>
                                        <a:pt x="3082633" y="2800693"/>
                                      </a:lnTo>
                                      <a:lnTo>
                                        <a:pt x="3123146" y="2802915"/>
                                      </a:lnTo>
                                      <a:lnTo>
                                        <a:pt x="3161538" y="2798953"/>
                                      </a:lnTo>
                                      <a:lnTo>
                                        <a:pt x="3198253" y="2788602"/>
                                      </a:lnTo>
                                      <a:lnTo>
                                        <a:pt x="3234118" y="2771368"/>
                                      </a:lnTo>
                                      <a:lnTo>
                                        <a:pt x="3269119" y="2747416"/>
                                      </a:lnTo>
                                      <a:lnTo>
                                        <a:pt x="3303270" y="2716911"/>
                                      </a:lnTo>
                                      <a:lnTo>
                                        <a:pt x="3333127" y="2682722"/>
                                      </a:lnTo>
                                      <a:lnTo>
                                        <a:pt x="3355937" y="2646984"/>
                                      </a:lnTo>
                                      <a:lnTo>
                                        <a:pt x="3366617" y="2621483"/>
                                      </a:lnTo>
                                      <a:lnTo>
                                        <a:pt x="3371558" y="2609710"/>
                                      </a:lnTo>
                                      <a:lnTo>
                                        <a:pt x="3379851" y="2570861"/>
                                      </a:lnTo>
                                      <a:lnTo>
                                        <a:pt x="3381705" y="2530856"/>
                                      </a:lnTo>
                                      <a:close/>
                                    </a:path>
                                    <a:path w="5292725" h="5351780">
                                      <a:moveTo>
                                        <a:pt x="4025074" y="1898713"/>
                                      </a:moveTo>
                                      <a:lnTo>
                                        <a:pt x="4014089" y="1835531"/>
                                      </a:lnTo>
                                      <a:lnTo>
                                        <a:pt x="3986695" y="1767636"/>
                                      </a:lnTo>
                                      <a:lnTo>
                                        <a:pt x="3967061" y="1732191"/>
                                      </a:lnTo>
                                      <a:lnTo>
                                        <a:pt x="3943223" y="1695831"/>
                                      </a:lnTo>
                                      <a:lnTo>
                                        <a:pt x="3904792" y="1711452"/>
                                      </a:lnTo>
                                      <a:lnTo>
                                        <a:pt x="3789553" y="1758823"/>
                                      </a:lnTo>
                                      <a:lnTo>
                                        <a:pt x="3809606" y="1788236"/>
                                      </a:lnTo>
                                      <a:lnTo>
                                        <a:pt x="3825138" y="1815719"/>
                                      </a:lnTo>
                                      <a:lnTo>
                                        <a:pt x="3836339" y="1841309"/>
                                      </a:lnTo>
                                      <a:lnTo>
                                        <a:pt x="3843401" y="1864995"/>
                                      </a:lnTo>
                                      <a:lnTo>
                                        <a:pt x="3845382" y="1887347"/>
                                      </a:lnTo>
                                      <a:lnTo>
                                        <a:pt x="3841648" y="1908327"/>
                                      </a:lnTo>
                                      <a:lnTo>
                                        <a:pt x="3817239" y="1946402"/>
                                      </a:lnTo>
                                      <a:lnTo>
                                        <a:pt x="3776167" y="1970443"/>
                                      </a:lnTo>
                                      <a:lnTo>
                                        <a:pt x="3752354" y="1973021"/>
                                      </a:lnTo>
                                      <a:lnTo>
                                        <a:pt x="3726434" y="1969135"/>
                                      </a:lnTo>
                                      <a:lnTo>
                                        <a:pt x="3662959" y="1935657"/>
                                      </a:lnTo>
                                      <a:lnTo>
                                        <a:pt x="3623983" y="1904365"/>
                                      </a:lnTo>
                                      <a:lnTo>
                                        <a:pt x="3580257" y="1863217"/>
                                      </a:lnTo>
                                      <a:lnTo>
                                        <a:pt x="3546716" y="1827504"/>
                                      </a:lnTo>
                                      <a:lnTo>
                                        <a:pt x="3520211" y="1794510"/>
                                      </a:lnTo>
                                      <a:lnTo>
                                        <a:pt x="3488182" y="1737233"/>
                                      </a:lnTo>
                                      <a:lnTo>
                                        <a:pt x="3479901" y="1704390"/>
                                      </a:lnTo>
                                      <a:lnTo>
                                        <a:pt x="3480143" y="1674964"/>
                                      </a:lnTo>
                                      <a:lnTo>
                                        <a:pt x="3505835" y="1626108"/>
                                      </a:lnTo>
                                      <a:lnTo>
                                        <a:pt x="3549904" y="1603121"/>
                                      </a:lnTo>
                                      <a:lnTo>
                                        <a:pt x="3563048" y="1601851"/>
                                      </a:lnTo>
                                      <a:lnTo>
                                        <a:pt x="3576650" y="1602105"/>
                                      </a:lnTo>
                                      <a:lnTo>
                                        <a:pt x="3615169" y="1611642"/>
                                      </a:lnTo>
                                      <a:lnTo>
                                        <a:pt x="3654425" y="1632966"/>
                                      </a:lnTo>
                                      <a:lnTo>
                                        <a:pt x="3729863" y="1490218"/>
                                      </a:lnTo>
                                      <a:lnTo>
                                        <a:pt x="3677145" y="1461084"/>
                                      </a:lnTo>
                                      <a:lnTo>
                                        <a:pt x="3627234" y="1440662"/>
                                      </a:lnTo>
                                      <a:lnTo>
                                        <a:pt x="3580193" y="1428572"/>
                                      </a:lnTo>
                                      <a:lnTo>
                                        <a:pt x="3536061" y="1424432"/>
                                      </a:lnTo>
                                      <a:lnTo>
                                        <a:pt x="3493795" y="1429385"/>
                                      </a:lnTo>
                                      <a:lnTo>
                                        <a:pt x="3452901" y="1443939"/>
                                      </a:lnTo>
                                      <a:lnTo>
                                        <a:pt x="3413290" y="1467904"/>
                                      </a:lnTo>
                                      <a:lnTo>
                                        <a:pt x="3374898" y="1501140"/>
                                      </a:lnTo>
                                      <a:lnTo>
                                        <a:pt x="3340887" y="1540979"/>
                                      </a:lnTo>
                                      <a:lnTo>
                                        <a:pt x="3316224" y="1583207"/>
                                      </a:lnTo>
                                      <a:lnTo>
                                        <a:pt x="3300984" y="1627797"/>
                                      </a:lnTo>
                                      <a:lnTo>
                                        <a:pt x="3295281" y="1674749"/>
                                      </a:lnTo>
                                      <a:lnTo>
                                        <a:pt x="3299206" y="1724025"/>
                                      </a:lnTo>
                                      <a:lnTo>
                                        <a:pt x="3309810" y="1766570"/>
                                      </a:lnTo>
                                      <a:lnTo>
                                        <a:pt x="3326600" y="1809699"/>
                                      </a:lnTo>
                                      <a:lnTo>
                                        <a:pt x="3349650" y="1853438"/>
                                      </a:lnTo>
                                      <a:lnTo>
                                        <a:pt x="3379076" y="1897773"/>
                                      </a:lnTo>
                                      <a:lnTo>
                                        <a:pt x="3414979" y="1942693"/>
                                      </a:lnTo>
                                      <a:lnTo>
                                        <a:pt x="3457448" y="1988185"/>
                                      </a:lnTo>
                                      <a:lnTo>
                                        <a:pt x="3498405" y="2026716"/>
                                      </a:lnTo>
                                      <a:lnTo>
                                        <a:pt x="3538817" y="2059787"/>
                                      </a:lnTo>
                                      <a:lnTo>
                                        <a:pt x="3578669" y="2087511"/>
                                      </a:lnTo>
                                      <a:lnTo>
                                        <a:pt x="3617938" y="2110003"/>
                                      </a:lnTo>
                                      <a:lnTo>
                                        <a:pt x="3656584" y="2127377"/>
                                      </a:lnTo>
                                      <a:lnTo>
                                        <a:pt x="3702761" y="2142363"/>
                                      </a:lnTo>
                                      <a:lnTo>
                                        <a:pt x="3745458" y="2150580"/>
                                      </a:lnTo>
                                      <a:lnTo>
                                        <a:pt x="3784612" y="2152332"/>
                                      </a:lnTo>
                                      <a:lnTo>
                                        <a:pt x="3820160" y="2147951"/>
                                      </a:lnTo>
                                      <a:lnTo>
                                        <a:pt x="3887000" y="2120328"/>
                                      </a:lnTo>
                                      <a:lnTo>
                                        <a:pt x="3919969" y="2097024"/>
                                      </a:lnTo>
                                      <a:lnTo>
                                        <a:pt x="3952621" y="2067560"/>
                                      </a:lnTo>
                                      <a:lnTo>
                                        <a:pt x="3996334" y="2013115"/>
                                      </a:lnTo>
                                      <a:lnTo>
                                        <a:pt x="4019677" y="1957324"/>
                                      </a:lnTo>
                                      <a:lnTo>
                                        <a:pt x="4024299" y="1928583"/>
                                      </a:lnTo>
                                      <a:lnTo>
                                        <a:pt x="4025074" y="1898713"/>
                                      </a:lnTo>
                                      <a:close/>
                                    </a:path>
                                    <a:path w="5292725" h="5351780">
                                      <a:moveTo>
                                        <a:pt x="4468063" y="1444447"/>
                                      </a:moveTo>
                                      <a:lnTo>
                                        <a:pt x="4464139" y="1403692"/>
                                      </a:lnTo>
                                      <a:lnTo>
                                        <a:pt x="4454169" y="1362100"/>
                                      </a:lnTo>
                                      <a:lnTo>
                                        <a:pt x="4437888" y="1319657"/>
                                      </a:lnTo>
                                      <a:lnTo>
                                        <a:pt x="4420044" y="1285138"/>
                                      </a:lnTo>
                                      <a:lnTo>
                                        <a:pt x="4397616" y="1249578"/>
                                      </a:lnTo>
                                      <a:lnTo>
                                        <a:pt x="4370565" y="1213040"/>
                                      </a:lnTo>
                                      <a:lnTo>
                                        <a:pt x="4338866" y="1175588"/>
                                      </a:lnTo>
                                      <a:lnTo>
                                        <a:pt x="4302506" y="1137285"/>
                                      </a:lnTo>
                                      <a:lnTo>
                                        <a:pt x="4287202" y="1123035"/>
                                      </a:lnTo>
                                      <a:lnTo>
                                        <a:pt x="4287202" y="1436776"/>
                                      </a:lnTo>
                                      <a:lnTo>
                                        <a:pt x="4284091" y="1462278"/>
                                      </a:lnTo>
                                      <a:lnTo>
                                        <a:pt x="4257662" y="1506601"/>
                                      </a:lnTo>
                                      <a:lnTo>
                                        <a:pt x="4213872" y="1532293"/>
                                      </a:lnTo>
                                      <a:lnTo>
                                        <a:pt x="4188180" y="1535112"/>
                                      </a:lnTo>
                                      <a:lnTo>
                                        <a:pt x="4159885" y="1531112"/>
                                      </a:lnTo>
                                      <a:lnTo>
                                        <a:pt x="4094569" y="1499577"/>
                                      </a:lnTo>
                                      <a:lnTo>
                                        <a:pt x="4057256" y="1470914"/>
                                      </a:lnTo>
                                      <a:lnTo>
                                        <a:pt x="4016883" y="1433449"/>
                                      </a:lnTo>
                                      <a:lnTo>
                                        <a:pt x="3979138" y="1392796"/>
                                      </a:lnTo>
                                      <a:lnTo>
                                        <a:pt x="3950233" y="1355242"/>
                                      </a:lnTo>
                                      <a:lnTo>
                                        <a:pt x="3930040" y="1320850"/>
                                      </a:lnTo>
                                      <a:lnTo>
                                        <a:pt x="3914444" y="1261414"/>
                                      </a:lnTo>
                                      <a:lnTo>
                                        <a:pt x="3917137" y="1235837"/>
                                      </a:lnTo>
                                      <a:lnTo>
                                        <a:pt x="3941826" y="1193038"/>
                                      </a:lnTo>
                                      <a:lnTo>
                                        <a:pt x="3985831" y="1166964"/>
                                      </a:lnTo>
                                      <a:lnTo>
                                        <a:pt x="4011574" y="1163624"/>
                                      </a:lnTo>
                                      <a:lnTo>
                                        <a:pt x="4039743" y="1166876"/>
                                      </a:lnTo>
                                      <a:lnTo>
                                        <a:pt x="4103281" y="1196771"/>
                                      </a:lnTo>
                                      <a:lnTo>
                                        <a:pt x="4138765" y="1223619"/>
                                      </a:lnTo>
                                      <a:lnTo>
                                        <a:pt x="4176649" y="1258570"/>
                                      </a:lnTo>
                                      <a:lnTo>
                                        <a:pt x="4218063" y="1302829"/>
                                      </a:lnTo>
                                      <a:lnTo>
                                        <a:pt x="4249623" y="1342745"/>
                                      </a:lnTo>
                                      <a:lnTo>
                                        <a:pt x="4271391" y="1378229"/>
                                      </a:lnTo>
                                      <a:lnTo>
                                        <a:pt x="4287202" y="1436776"/>
                                      </a:lnTo>
                                      <a:lnTo>
                                        <a:pt x="4287202" y="1123035"/>
                                      </a:lnTo>
                                      <a:lnTo>
                                        <a:pt x="4258119" y="1095921"/>
                                      </a:lnTo>
                                      <a:lnTo>
                                        <a:pt x="4213999" y="1060919"/>
                                      </a:lnTo>
                                      <a:lnTo>
                                        <a:pt x="4170184" y="1032230"/>
                                      </a:lnTo>
                                      <a:lnTo>
                                        <a:pt x="4126661" y="1009789"/>
                                      </a:lnTo>
                                      <a:lnTo>
                                        <a:pt x="4083469" y="993521"/>
                                      </a:lnTo>
                                      <a:lnTo>
                                        <a:pt x="4040632" y="983361"/>
                                      </a:lnTo>
                                      <a:lnTo>
                                        <a:pt x="3990543" y="979881"/>
                                      </a:lnTo>
                                      <a:lnTo>
                                        <a:pt x="3942715" y="986269"/>
                                      </a:lnTo>
                                      <a:lnTo>
                                        <a:pt x="3897134" y="1002411"/>
                                      </a:lnTo>
                                      <a:lnTo>
                                        <a:pt x="3853777" y="1028153"/>
                                      </a:lnTo>
                                      <a:lnTo>
                                        <a:pt x="3812667" y="1063371"/>
                                      </a:lnTo>
                                      <a:lnTo>
                                        <a:pt x="3778377" y="1103668"/>
                                      </a:lnTo>
                                      <a:lnTo>
                                        <a:pt x="3753472" y="1146606"/>
                                      </a:lnTo>
                                      <a:lnTo>
                                        <a:pt x="3738067" y="1192149"/>
                                      </a:lnTo>
                                      <a:lnTo>
                                        <a:pt x="3732276" y="1240243"/>
                                      </a:lnTo>
                                      <a:lnTo>
                                        <a:pt x="3736213" y="1290828"/>
                                      </a:lnTo>
                                      <a:lnTo>
                                        <a:pt x="3746639" y="1334223"/>
                                      </a:lnTo>
                                      <a:lnTo>
                                        <a:pt x="3763251" y="1377988"/>
                                      </a:lnTo>
                                      <a:lnTo>
                                        <a:pt x="3786086" y="1422120"/>
                                      </a:lnTo>
                                      <a:lnTo>
                                        <a:pt x="3815207" y="1466570"/>
                                      </a:lnTo>
                                      <a:lnTo>
                                        <a:pt x="3850678" y="1511287"/>
                                      </a:lnTo>
                                      <a:lnTo>
                                        <a:pt x="3892550" y="1556258"/>
                                      </a:lnTo>
                                      <a:lnTo>
                                        <a:pt x="3931107" y="1592554"/>
                                      </a:lnTo>
                                      <a:lnTo>
                                        <a:pt x="3969347" y="1624050"/>
                                      </a:lnTo>
                                      <a:lnTo>
                                        <a:pt x="4007218" y="1650809"/>
                                      </a:lnTo>
                                      <a:lnTo>
                                        <a:pt x="4044670" y="1672856"/>
                                      </a:lnTo>
                                      <a:lnTo>
                                        <a:pt x="4081653" y="1690243"/>
                                      </a:lnTo>
                                      <a:lnTo>
                                        <a:pt x="4126407" y="1705635"/>
                                      </a:lnTo>
                                      <a:lnTo>
                                        <a:pt x="4169067" y="1714271"/>
                                      </a:lnTo>
                                      <a:lnTo>
                                        <a:pt x="4209605" y="1716443"/>
                                      </a:lnTo>
                                      <a:lnTo>
                                        <a:pt x="4248010" y="1712468"/>
                                      </a:lnTo>
                                      <a:lnTo>
                                        <a:pt x="4320502" y="1684972"/>
                                      </a:lnTo>
                                      <a:lnTo>
                                        <a:pt x="4355528" y="1661007"/>
                                      </a:lnTo>
                                      <a:lnTo>
                                        <a:pt x="4389755" y="1630426"/>
                                      </a:lnTo>
                                      <a:lnTo>
                                        <a:pt x="4419536" y="1596301"/>
                                      </a:lnTo>
                                      <a:lnTo>
                                        <a:pt x="4442307" y="1560601"/>
                                      </a:lnTo>
                                      <a:lnTo>
                                        <a:pt x="4457916" y="1523288"/>
                                      </a:lnTo>
                                      <a:lnTo>
                                        <a:pt x="4466209" y="1484376"/>
                                      </a:lnTo>
                                      <a:lnTo>
                                        <a:pt x="4468063" y="1444447"/>
                                      </a:lnTo>
                                      <a:close/>
                                    </a:path>
                                    <a:path w="5292725" h="5351780">
                                      <a:moveTo>
                                        <a:pt x="4773422" y="1227963"/>
                                      </a:moveTo>
                                      <a:lnTo>
                                        <a:pt x="4568063" y="1022604"/>
                                      </a:lnTo>
                                      <a:lnTo>
                                        <a:pt x="4635754" y="954913"/>
                                      </a:lnTo>
                                      <a:lnTo>
                                        <a:pt x="4667897" y="916901"/>
                                      </a:lnTo>
                                      <a:lnTo>
                                        <a:pt x="4671365" y="910590"/>
                                      </a:lnTo>
                                      <a:lnTo>
                                        <a:pt x="4689386" y="877760"/>
                                      </a:lnTo>
                                      <a:lnTo>
                                        <a:pt x="4700092" y="837577"/>
                                      </a:lnTo>
                                      <a:lnTo>
                                        <a:pt x="4699889" y="796417"/>
                                      </a:lnTo>
                                      <a:lnTo>
                                        <a:pt x="4689792" y="754748"/>
                                      </a:lnTo>
                                      <a:lnTo>
                                        <a:pt x="4670717" y="713003"/>
                                      </a:lnTo>
                                      <a:lnTo>
                                        <a:pt x="4642574" y="671169"/>
                                      </a:lnTo>
                                      <a:lnTo>
                                        <a:pt x="4605274" y="629285"/>
                                      </a:lnTo>
                                      <a:lnTo>
                                        <a:pt x="4564748" y="593026"/>
                                      </a:lnTo>
                                      <a:lnTo>
                                        <a:pt x="4524718" y="565632"/>
                                      </a:lnTo>
                                      <a:lnTo>
                                        <a:pt x="4519168" y="563016"/>
                                      </a:lnTo>
                                      <a:lnTo>
                                        <a:pt x="4519168" y="812673"/>
                                      </a:lnTo>
                                      <a:lnTo>
                                        <a:pt x="4518406" y="828903"/>
                                      </a:lnTo>
                                      <a:lnTo>
                                        <a:pt x="4512589" y="845553"/>
                                      </a:lnTo>
                                      <a:lnTo>
                                        <a:pt x="4501870" y="862672"/>
                                      </a:lnTo>
                                      <a:lnTo>
                                        <a:pt x="4486402" y="880237"/>
                                      </a:lnTo>
                                      <a:lnTo>
                                        <a:pt x="4456049" y="910590"/>
                                      </a:lnTo>
                                      <a:lnTo>
                                        <a:pt x="4332605" y="787146"/>
                                      </a:lnTo>
                                      <a:lnTo>
                                        <a:pt x="4367784" y="751967"/>
                                      </a:lnTo>
                                      <a:lnTo>
                                        <a:pt x="4384903" y="737082"/>
                                      </a:lnTo>
                                      <a:lnTo>
                                        <a:pt x="4401464" y="727290"/>
                                      </a:lnTo>
                                      <a:lnTo>
                                        <a:pt x="4417504" y="722553"/>
                                      </a:lnTo>
                                      <a:lnTo>
                                        <a:pt x="4433062" y="722884"/>
                                      </a:lnTo>
                                      <a:lnTo>
                                        <a:pt x="4476508" y="742772"/>
                                      </a:lnTo>
                                      <a:lnTo>
                                        <a:pt x="4510443" y="782447"/>
                                      </a:lnTo>
                                      <a:lnTo>
                                        <a:pt x="4519168" y="812673"/>
                                      </a:lnTo>
                                      <a:lnTo>
                                        <a:pt x="4519168" y="563016"/>
                                      </a:lnTo>
                                      <a:lnTo>
                                        <a:pt x="4485221" y="546963"/>
                                      </a:lnTo>
                                      <a:lnTo>
                                        <a:pt x="4446270" y="536829"/>
                                      </a:lnTo>
                                      <a:lnTo>
                                        <a:pt x="4408144" y="536219"/>
                                      </a:lnTo>
                                      <a:lnTo>
                                        <a:pt x="4371314" y="545515"/>
                                      </a:lnTo>
                                      <a:lnTo>
                                        <a:pt x="4335805" y="564603"/>
                                      </a:lnTo>
                                      <a:lnTo>
                                        <a:pt x="4301617" y="593344"/>
                                      </a:lnTo>
                                      <a:lnTo>
                                        <a:pt x="4096004" y="798830"/>
                                      </a:lnTo>
                                      <a:lnTo>
                                        <a:pt x="4649216" y="1352042"/>
                                      </a:lnTo>
                                      <a:lnTo>
                                        <a:pt x="4773422" y="1227963"/>
                                      </a:lnTo>
                                      <a:close/>
                                    </a:path>
                                    <a:path w="5292725" h="5351780">
                                      <a:moveTo>
                                        <a:pt x="5292598" y="708660"/>
                                      </a:moveTo>
                                      <a:lnTo>
                                        <a:pt x="5060823" y="477012"/>
                                      </a:lnTo>
                                      <a:lnTo>
                                        <a:pt x="5027295" y="381711"/>
                                      </a:lnTo>
                                      <a:lnTo>
                                        <a:pt x="4928476" y="95250"/>
                                      </a:lnTo>
                                      <a:lnTo>
                                        <a:pt x="4894961" y="0"/>
                                      </a:lnTo>
                                      <a:lnTo>
                                        <a:pt x="4758309" y="136652"/>
                                      </a:lnTo>
                                      <a:lnTo>
                                        <a:pt x="4776127" y="181178"/>
                                      </a:lnTo>
                                      <a:lnTo>
                                        <a:pt x="4828806" y="315112"/>
                                      </a:lnTo>
                                      <a:lnTo>
                                        <a:pt x="4864354" y="404241"/>
                                      </a:lnTo>
                                      <a:lnTo>
                                        <a:pt x="4819840" y="386359"/>
                                      </a:lnTo>
                                      <a:lnTo>
                                        <a:pt x="4686020" y="333527"/>
                                      </a:lnTo>
                                      <a:lnTo>
                                        <a:pt x="4597019" y="297942"/>
                                      </a:lnTo>
                                      <a:lnTo>
                                        <a:pt x="4459732" y="435229"/>
                                      </a:lnTo>
                                      <a:lnTo>
                                        <a:pt x="4555045" y="468693"/>
                                      </a:lnTo>
                                      <a:lnTo>
                                        <a:pt x="4841672" y="567385"/>
                                      </a:lnTo>
                                      <a:lnTo>
                                        <a:pt x="4936998" y="600837"/>
                                      </a:lnTo>
                                      <a:lnTo>
                                        <a:pt x="5168773" y="832485"/>
                                      </a:lnTo>
                                      <a:lnTo>
                                        <a:pt x="5292598" y="70866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4.657997pt;margin-top:-.828084pt;width:416.75pt;height:421.4pt;mso-position-horizontal-relative:column;mso-position-vertical-relative:paragraph;z-index:-25174528" id="docshapegroup284" coordorigin="693,-17" coordsize="8335,8428">
                      <v:shape style="position:absolute;left:693;top:-17;width:8335;height:8428" id="docshape285" coordorigin="693,-17" coordsize="8335,8428" path="m2016,8027l2015,7988,2010,7945,2001,7901,1987,7857,1968,7813,1945,7770,1917,7728,1887,7687,1853,7647,1816,7608,1297,7088,1103,7282,1634,7814,1667,7850,1691,7886,1708,7920,1718,7954,1719,7987,1713,8018,1699,8046,1678,8072,1652,8094,1623,8108,1592,8114,1559,8112,1525,8102,1490,8086,1455,8061,1419,8029,888,7498,693,7692,1213,8211,1247,8243,1286,8276,1330,8308,1378,8341,1410,8359,1445,8375,1482,8388,1520,8399,1559,8407,1595,8411,1629,8411,1662,8408,1693,8401,1725,8389,1757,8373,1788,8352,1819,8329,1847,8306,1873,8283,1897,8260,1933,8220,1963,8179,1987,8138,2004,8096,2012,8063,2016,8027xm2744,7244l2738,7180,2722,7114,2696,7047,2668,6993,2633,6937,2590,6879,2540,6820,2522,6802,2483,6760,2459,6738,2459,7232,2454,7272,2439,7309,2413,7342,2380,7367,2343,7382,2303,7387,2258,7380,2209,7362,2156,7331,2097,7286,2033,7226,1974,7163,1928,7103,1897,7049,1878,7000,1872,6956,1876,6915,1891,6879,1915,6848,1948,6822,1984,6807,2025,6802,2069,6807,2117,6824,2169,6854,2225,6896,2285,6951,2350,7021,2400,7084,2434,7140,2453,7188,2459,7232,2459,6738,2413,6695,2344,6640,2275,6595,2206,6559,2138,6534,2071,6518,1992,6512,1916,6522,1845,6548,1776,6588,1712,6644,1658,6707,1618,6775,1594,6847,1585,6922,1591,7002,1608,7070,1634,7139,1670,7209,1716,7279,1772,7349,1838,7420,1898,7477,1958,7527,2018,7569,2077,7603,2135,7631,2206,7655,2273,7669,2337,7672,2397,7666,2455,7650,2511,7623,2567,7585,2620,7537,2667,7483,2703,7427,2720,7387,2728,7368,2741,7307,2744,7244xm3015,6664l2828,6477,2574,6731,2761,6918,3015,6664xm3526,6602l2655,5730,2460,5925,3331,6797,3526,6602xm3860,6267l3537,5944,3643,5837,3694,5778,3699,5768,3728,5716,3745,5653,3744,5588,3728,5522,3705,5472,3698,5457,3654,5391,3595,5325,3532,5268,3469,5224,3460,5220,3460,5613,3459,5639,3449,5665,3432,5692,3408,5720,3360,5768,3166,5573,3221,5518,3248,5494,3274,5479,3300,5472,3324,5472,3348,5478,3371,5489,3393,5503,3414,5522,3432,5543,3446,5566,3455,5589,3460,5613,3460,5220,3406,5195,3345,5179,3285,5178,3227,5193,3171,5223,3117,5268,2793,5592,3665,6463,3860,6267xm4650,5478l3994,4822,4192,4623,3977,4408,3386,5000,3601,5215,3799,5016,4455,5672,4650,5478xm5285,4842l4629,4186,4828,3988,4613,3773,4021,4364,4236,4579,4435,4381,5091,5037,5285,4842xm6019,3969l6013,3905,5997,3839,5971,3772,5943,3718,5908,3662,5865,3605,5815,3546,5797,3527,5758,3485,5734,3463,5734,3957,5729,3997,5713,4034,5687,4067,5655,4092,5618,4107,5578,4112,5533,4105,5484,4087,5431,4056,5372,4011,5308,3952,5249,3888,5203,3828,5171,3774,5153,3725,5147,3681,5151,3641,5165,3605,5190,3573,5223,3547,5259,3532,5300,3527,5344,3532,5392,3549,5444,3579,5500,3621,5560,3676,5625,3746,5675,3809,5709,3865,5728,3913,5734,3957,5734,3463,5688,3420,5618,3365,5549,3320,5481,3285,5413,3259,5345,3243,5267,3237,5191,3247,5119,3273,5051,3313,4987,3369,4933,3432,4893,3500,4869,3572,4860,3647,4866,3727,4883,3795,4909,3864,4945,3934,4991,4004,5046,4074,5112,4145,5173,4202,5233,4252,5293,4294,5352,4329,5410,4356,5481,4380,5548,4394,5612,4397,5672,4391,5730,4375,5786,4348,5841,4310,5895,4262,5942,4208,5978,4152,5995,4112,6003,4093,6016,4032,6019,3969xm7032,2974l7027,2925,7015,2874,6996,2821,6971,2767,6941,2711,6903,2654,6842,2679,6661,2753,6693,2800,6717,2843,6735,2883,6746,2920,6749,2956,6743,2989,6728,3020,6705,3049,6674,3072,6640,3086,6602,3091,6562,3084,6515,3066,6462,3032,6400,2982,6331,2918,6279,2861,6237,2809,6206,2762,6186,2719,6173,2668,6174,2621,6187,2580,6214,2544,6229,2531,6246,2521,6264,2513,6284,2508,6304,2506,6326,2506,6348,2510,6371,2516,6386,2521,6404,2530,6425,2541,6448,2555,6567,2330,6484,2284,6405,2252,6331,2233,6262,2227,6195,2234,6131,2257,6068,2295,6008,2347,5954,2410,5916,2477,5892,2547,5883,2621,5889,2698,5905,2765,5932,2833,5968,2902,6015,2972,6071,3043,6138,3114,6202,3175,6266,3227,6329,3271,6391,3306,6452,3334,6524,3357,6592,3370,6653,3373,6709,3366,6762,3349,6814,3323,6866,3286,6918,3239,6956,3197,6987,3154,7009,3110,7023,3066,7031,3021,7032,2974xm7729,2258l7723,2194,7708,2128,7682,2062,7654,2007,7619,1951,7576,1894,7526,1835,7508,1816,7469,1774,7445,1752,7445,2246,7440,2286,7424,2323,7398,2356,7366,2381,7329,2396,7289,2401,7244,2395,7195,2376,7141,2345,7083,2300,7019,2241,6960,2177,6914,2118,6882,2064,6864,2014,6858,1970,6862,1930,6876,1894,6901,1862,6933,1837,6970,1821,7011,1816,7055,1821,7103,1838,7155,1868,7211,1910,7271,1965,7336,2035,7385,2098,7420,2154,7439,2203,7445,2246,7445,1752,7399,1709,7329,1654,7260,1609,7192,1574,7124,1548,7056,1532,6977,1527,6902,1537,6830,1562,6762,1603,6697,1658,6643,1721,6604,1789,6580,1861,6571,1937,6577,2016,6593,2085,6620,2153,6656,2223,6701,2293,6757,2363,6823,2434,6884,2491,6944,2541,7004,2583,7063,2618,7121,2645,7191,2669,7259,2683,7322,2686,7383,2680,7441,2664,7497,2637,7552,2599,7606,2551,7653,2497,7689,2441,7706,2401,7714,2382,7727,2321,7729,2258xm8210,1917l7887,1594,7994,1487,8044,1427,8050,1417,8078,1366,8095,1302,8095,1238,8079,1172,8056,1121,8049,1106,8004,1040,7946,974,7882,917,7819,874,7810,870,7810,1263,7809,1289,7800,1315,7783,1342,7758,1370,7711,1417,7516,1223,7572,1168,7599,1144,7625,1129,7650,1121,7674,1122,7698,1128,7721,1139,7743,1153,7764,1172,7782,1193,7796,1216,7805,1239,7810,1263,7810,870,7757,845,7695,829,7635,828,7577,843,7521,873,7467,918,7144,1241,8015,2113,8210,1917xm9028,1099l8663,735,8610,585,8455,133,8402,-17,8187,199,8215,269,8298,480,8354,620,8283,592,8073,509,7933,453,7716,669,7866,722,8318,877,8468,930,8833,1294,9028,1099xe" filled="true" fillcolor="#c0c0c0" stroked="false">
                        <v:path arrowok="t"/>
                        <v:fill opacity="32896f" type="solid"/>
                      </v:shape>
                      <w10:wrap type="none"/>
                    </v:group>
                  </w:pict>
                </mc:Fallback>
              </mc:AlternateContent>
            </w:r>
            <w:r>
              <w:rPr>
                <w:spacing w:val="-2"/>
                <w:sz w:val="18"/>
              </w:rPr>
              <w:t>-7.96E-</w:t>
            </w:r>
            <w:r>
              <w:rPr>
                <w:spacing w:val="-5"/>
                <w:sz w:val="18"/>
              </w:rPr>
              <w:t>05</w:t>
            </w:r>
          </w:p>
        </w:tc>
        <w:tc>
          <w:tcPr>
            <w:tcW w:w="1561" w:type="dxa"/>
          </w:tcPr>
          <w:p>
            <w:pPr>
              <w:pStyle w:val="TableParagraph"/>
              <w:spacing w:before="5"/>
              <w:ind w:left="48" w:right="48"/>
              <w:jc w:val="center"/>
              <w:rPr>
                <w:sz w:val="18"/>
              </w:rPr>
            </w:pPr>
            <w:r>
              <w:rPr>
                <w:spacing w:val="-2"/>
                <w:sz w:val="18"/>
              </w:rPr>
              <w:t>-0.000177</w:t>
            </w:r>
          </w:p>
        </w:tc>
        <w:tc>
          <w:tcPr>
            <w:tcW w:w="1350" w:type="dxa"/>
          </w:tcPr>
          <w:p>
            <w:pPr>
              <w:pStyle w:val="TableParagraph"/>
              <w:spacing w:line="240" w:lineRule="auto" w:before="0"/>
              <w:rPr>
                <w:rFonts w:ascii="Times New Roman"/>
                <w:sz w:val="16"/>
              </w:rPr>
            </w:pP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(0.00011)</w:t>
            </w:r>
          </w:p>
        </w:tc>
        <w:tc>
          <w:tcPr>
            <w:tcW w:w="1561" w:type="dxa"/>
          </w:tcPr>
          <w:p>
            <w:pPr>
              <w:pStyle w:val="TableParagraph"/>
              <w:ind w:left="52" w:right="4"/>
              <w:jc w:val="center"/>
              <w:rPr>
                <w:sz w:val="18"/>
              </w:rPr>
            </w:pPr>
            <w:r>
              <w:rPr>
                <w:spacing w:val="-2"/>
                <w:sz w:val="18"/>
              </w:rPr>
              <w:t>(0.00019)</w:t>
            </w:r>
          </w:p>
        </w:tc>
        <w:tc>
          <w:tcPr>
            <w:tcW w:w="1350" w:type="dxa"/>
          </w:tcPr>
          <w:p>
            <w:pPr>
              <w:pStyle w:val="TableParagraph"/>
              <w:spacing w:line="240" w:lineRule="auto" w:before="0"/>
              <w:rPr>
                <w:rFonts w:ascii="Times New Roman"/>
                <w:sz w:val="16"/>
              </w:rPr>
            </w:pP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2" w:right="81"/>
              <w:jc w:val="center"/>
              <w:rPr>
                <w:sz w:val="18"/>
              </w:rPr>
            </w:pPr>
            <w:r>
              <w:rPr>
                <w:spacing w:val="-2"/>
                <w:sz w:val="18"/>
              </w:rPr>
              <w:t>D(INT)</w:t>
            </w:r>
          </w:p>
        </w:tc>
        <w:tc>
          <w:tcPr>
            <w:tcW w:w="1266" w:type="dxa"/>
          </w:tcPr>
          <w:p>
            <w:pPr>
              <w:pStyle w:val="TableParagraph"/>
              <w:ind w:left="38" w:right="48"/>
              <w:jc w:val="center"/>
              <w:rPr>
                <w:sz w:val="18"/>
              </w:rPr>
            </w:pPr>
            <w:r>
              <w:rPr>
                <w:spacing w:val="-2"/>
                <w:sz w:val="18"/>
              </w:rPr>
              <w:t>-0.000274</w:t>
            </w:r>
          </w:p>
        </w:tc>
        <w:tc>
          <w:tcPr>
            <w:tcW w:w="1561" w:type="dxa"/>
          </w:tcPr>
          <w:p>
            <w:pPr>
              <w:pStyle w:val="TableParagraph"/>
              <w:ind w:left="48" w:right="48"/>
              <w:jc w:val="center"/>
              <w:rPr>
                <w:sz w:val="18"/>
              </w:rPr>
            </w:pPr>
            <w:r>
              <w:rPr>
                <w:spacing w:val="-2"/>
                <w:sz w:val="18"/>
              </w:rPr>
              <w:t>-0.000439</w:t>
            </w:r>
          </w:p>
        </w:tc>
        <w:tc>
          <w:tcPr>
            <w:tcW w:w="1350" w:type="dxa"/>
          </w:tcPr>
          <w:p>
            <w:pPr>
              <w:pStyle w:val="TableParagraph"/>
              <w:spacing w:line="240" w:lineRule="auto" w:before="0"/>
              <w:rPr>
                <w:rFonts w:ascii="Times New Roman"/>
                <w:sz w:val="16"/>
              </w:rPr>
            </w:pP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198" w:lineRule="exact"/>
              <w:ind w:left="48" w:right="10"/>
              <w:jc w:val="center"/>
              <w:rPr>
                <w:sz w:val="18"/>
              </w:rPr>
            </w:pPr>
            <w:r>
              <w:rPr>
                <w:spacing w:val="-2"/>
                <w:sz w:val="18"/>
              </w:rPr>
              <w:t>(0.00019)</w:t>
            </w:r>
          </w:p>
        </w:tc>
        <w:tc>
          <w:tcPr>
            <w:tcW w:w="1561" w:type="dxa"/>
          </w:tcPr>
          <w:p>
            <w:pPr>
              <w:pStyle w:val="TableParagraph"/>
              <w:spacing w:line="198" w:lineRule="exact"/>
              <w:ind w:left="52" w:right="4"/>
              <w:jc w:val="center"/>
              <w:rPr>
                <w:sz w:val="18"/>
              </w:rPr>
            </w:pPr>
            <w:r>
              <w:rPr>
                <w:spacing w:val="-2"/>
                <w:sz w:val="18"/>
              </w:rPr>
              <w:t>(0.00034)</w:t>
            </w:r>
          </w:p>
        </w:tc>
        <w:tc>
          <w:tcPr>
            <w:tcW w:w="1350" w:type="dxa"/>
          </w:tcPr>
          <w:p>
            <w:pPr>
              <w:pStyle w:val="TableParagraph"/>
              <w:spacing w:line="240" w:lineRule="auto" w:before="0"/>
              <w:rPr>
                <w:rFonts w:ascii="Times New Roman"/>
                <w:sz w:val="16"/>
              </w:rPr>
            </w:pP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before="5"/>
              <w:ind w:right="81"/>
              <w:jc w:val="center"/>
              <w:rPr>
                <w:sz w:val="18"/>
              </w:rPr>
            </w:pPr>
            <w:r>
              <w:rPr>
                <w:spacing w:val="-2"/>
                <w:sz w:val="18"/>
              </w:rPr>
              <w:t>D(EXCH)</w:t>
            </w:r>
          </w:p>
        </w:tc>
        <w:tc>
          <w:tcPr>
            <w:tcW w:w="1266" w:type="dxa"/>
          </w:tcPr>
          <w:p>
            <w:pPr>
              <w:pStyle w:val="TableParagraph"/>
              <w:spacing w:before="5"/>
              <w:ind w:left="38" w:right="48"/>
              <w:jc w:val="center"/>
              <w:rPr>
                <w:sz w:val="18"/>
              </w:rPr>
            </w:pPr>
            <w:r>
              <w:rPr>
                <w:spacing w:val="-2"/>
                <w:sz w:val="18"/>
              </w:rPr>
              <w:t>-0.001735</w:t>
            </w:r>
          </w:p>
        </w:tc>
        <w:tc>
          <w:tcPr>
            <w:tcW w:w="1561" w:type="dxa"/>
          </w:tcPr>
          <w:p>
            <w:pPr>
              <w:pStyle w:val="TableParagraph"/>
              <w:spacing w:before="5"/>
              <w:ind w:left="48" w:right="48"/>
              <w:jc w:val="center"/>
              <w:rPr>
                <w:sz w:val="18"/>
              </w:rPr>
            </w:pPr>
            <w:r>
              <w:rPr>
                <w:spacing w:val="-2"/>
                <w:sz w:val="18"/>
              </w:rPr>
              <w:t>-0.002475</w:t>
            </w:r>
          </w:p>
        </w:tc>
        <w:tc>
          <w:tcPr>
            <w:tcW w:w="1350" w:type="dxa"/>
          </w:tcPr>
          <w:p>
            <w:pPr>
              <w:pStyle w:val="TableParagraph"/>
              <w:spacing w:line="240" w:lineRule="auto" w:before="0"/>
              <w:rPr>
                <w:rFonts w:ascii="Times New Roman"/>
                <w:sz w:val="16"/>
              </w:rPr>
            </w:pP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303" w:hRule="atLeast"/>
        </w:trPr>
        <w:tc>
          <w:tcPr>
            <w:tcW w:w="1467" w:type="dxa"/>
            <w:tcBorders>
              <w:bottom w:val="double" w:sz="6" w:space="0" w:color="000000"/>
            </w:tcBorders>
          </w:tcPr>
          <w:p>
            <w:pPr>
              <w:pStyle w:val="TableParagraph"/>
              <w:spacing w:line="240" w:lineRule="auto" w:before="0"/>
              <w:rPr>
                <w:rFonts w:ascii="Times New Roman"/>
                <w:sz w:val="18"/>
              </w:rPr>
            </w:pPr>
          </w:p>
        </w:tc>
        <w:tc>
          <w:tcPr>
            <w:tcW w:w="1266" w:type="dxa"/>
            <w:tcBorders>
              <w:bottom w:val="double" w:sz="6" w:space="0" w:color="000000"/>
            </w:tcBorders>
          </w:tcPr>
          <w:p>
            <w:pPr>
              <w:pStyle w:val="TableParagraph"/>
              <w:spacing w:line="240" w:lineRule="auto"/>
              <w:ind w:left="48" w:right="10"/>
              <w:jc w:val="center"/>
              <w:rPr>
                <w:sz w:val="18"/>
              </w:rPr>
            </w:pPr>
            <w:r>
              <w:rPr>
                <w:spacing w:val="-2"/>
                <w:sz w:val="18"/>
              </w:rPr>
              <w:t>(0.00073)</w:t>
            </w:r>
          </w:p>
        </w:tc>
        <w:tc>
          <w:tcPr>
            <w:tcW w:w="1561" w:type="dxa"/>
            <w:tcBorders>
              <w:bottom w:val="double" w:sz="6" w:space="0" w:color="000000"/>
            </w:tcBorders>
          </w:tcPr>
          <w:p>
            <w:pPr>
              <w:pStyle w:val="TableParagraph"/>
              <w:spacing w:line="240" w:lineRule="auto"/>
              <w:ind w:left="52" w:right="4"/>
              <w:jc w:val="center"/>
              <w:rPr>
                <w:sz w:val="18"/>
              </w:rPr>
            </w:pPr>
            <w:r>
              <w:rPr>
                <w:spacing w:val="-2"/>
                <w:sz w:val="18"/>
              </w:rPr>
              <w:t>(0.00128)</w:t>
            </w:r>
          </w:p>
        </w:tc>
        <w:tc>
          <w:tcPr>
            <w:tcW w:w="1350" w:type="dxa"/>
            <w:tcBorders>
              <w:bottom w:val="double" w:sz="6" w:space="0" w:color="000000"/>
            </w:tcBorders>
          </w:tcPr>
          <w:p>
            <w:pPr>
              <w:pStyle w:val="TableParagraph"/>
              <w:spacing w:line="240" w:lineRule="auto" w:before="0"/>
              <w:rPr>
                <w:rFonts w:ascii="Times New Roman"/>
                <w:sz w:val="18"/>
              </w:rPr>
            </w:pPr>
          </w:p>
        </w:tc>
        <w:tc>
          <w:tcPr>
            <w:tcW w:w="1441" w:type="dxa"/>
            <w:tcBorders>
              <w:bottom w:val="double" w:sz="6" w:space="0" w:color="000000"/>
            </w:tcBorders>
          </w:tcPr>
          <w:p>
            <w:pPr>
              <w:pStyle w:val="TableParagraph"/>
              <w:spacing w:line="240" w:lineRule="auto" w:before="0"/>
              <w:rPr>
                <w:rFonts w:ascii="Times New Roman"/>
                <w:sz w:val="18"/>
              </w:rPr>
            </w:pPr>
          </w:p>
        </w:tc>
        <w:tc>
          <w:tcPr>
            <w:tcW w:w="1383" w:type="dxa"/>
            <w:tcBorders>
              <w:bottom w:val="double" w:sz="6" w:space="0" w:color="000000"/>
            </w:tcBorders>
          </w:tcPr>
          <w:p>
            <w:pPr>
              <w:pStyle w:val="TableParagraph"/>
              <w:spacing w:line="240" w:lineRule="auto" w:before="0"/>
              <w:rPr>
                <w:rFonts w:ascii="Times New Roman"/>
                <w:sz w:val="18"/>
              </w:rPr>
            </w:pPr>
          </w:p>
        </w:tc>
        <w:tc>
          <w:tcPr>
            <w:tcW w:w="1462" w:type="dxa"/>
            <w:tcBorders>
              <w:bottom w:val="double" w:sz="6" w:space="0" w:color="000000"/>
            </w:tcBorders>
          </w:tcPr>
          <w:p>
            <w:pPr>
              <w:pStyle w:val="TableParagraph"/>
              <w:spacing w:line="240" w:lineRule="auto" w:before="0"/>
              <w:rPr>
                <w:rFonts w:ascii="Times New Roman"/>
                <w:sz w:val="18"/>
              </w:rPr>
            </w:pPr>
          </w:p>
        </w:tc>
        <w:tc>
          <w:tcPr>
            <w:tcW w:w="1386" w:type="dxa"/>
            <w:tcBorders>
              <w:bottom w:val="double" w:sz="6" w:space="0" w:color="000000"/>
            </w:tcBorders>
          </w:tcPr>
          <w:p>
            <w:pPr>
              <w:pStyle w:val="TableParagraph"/>
              <w:spacing w:line="240" w:lineRule="auto" w:before="0"/>
              <w:rPr>
                <w:rFonts w:ascii="Times New Roman"/>
                <w:sz w:val="18"/>
              </w:rPr>
            </w:pPr>
          </w:p>
        </w:tc>
        <w:tc>
          <w:tcPr>
            <w:tcW w:w="2833" w:type="dxa"/>
            <w:tcBorders>
              <w:bottom w:val="double" w:sz="6" w:space="0" w:color="000000"/>
            </w:tcBorders>
          </w:tcPr>
          <w:p>
            <w:pPr>
              <w:pStyle w:val="TableParagraph"/>
              <w:spacing w:line="240" w:lineRule="auto" w:before="0"/>
              <w:rPr>
                <w:rFonts w:ascii="Times New Roman"/>
                <w:sz w:val="18"/>
              </w:rPr>
            </w:pPr>
          </w:p>
        </w:tc>
      </w:tr>
      <w:tr>
        <w:trPr>
          <w:trHeight w:val="629" w:hRule="atLeast"/>
        </w:trPr>
        <w:tc>
          <w:tcPr>
            <w:tcW w:w="2733" w:type="dxa"/>
            <w:gridSpan w:val="2"/>
            <w:tcBorders>
              <w:top w:val="double" w:sz="6" w:space="0" w:color="000000"/>
              <w:bottom w:val="double" w:sz="6" w:space="0" w:color="000000"/>
            </w:tcBorders>
          </w:tcPr>
          <w:p>
            <w:pPr>
              <w:pStyle w:val="TableParagraph"/>
              <w:spacing w:line="240" w:lineRule="auto" w:before="124"/>
              <w:rPr>
                <w:rFonts w:ascii="Times New Roman"/>
                <w:b/>
                <w:sz w:val="18"/>
              </w:rPr>
            </w:pPr>
          </w:p>
          <w:p>
            <w:pPr>
              <w:pStyle w:val="TableParagraph"/>
              <w:spacing w:line="240" w:lineRule="auto" w:before="1"/>
              <w:rPr>
                <w:sz w:val="18"/>
              </w:rPr>
            </w:pPr>
            <w:r>
              <w:rPr>
                <w:sz w:val="18"/>
              </w:rPr>
              <w:t>3</w:t>
            </w:r>
            <w:r>
              <w:rPr>
                <w:spacing w:val="-5"/>
                <w:sz w:val="18"/>
              </w:rPr>
              <w:t> </w:t>
            </w:r>
            <w:r>
              <w:rPr>
                <w:sz w:val="18"/>
              </w:rPr>
              <w:t>Cointegrating</w:t>
            </w:r>
            <w:r>
              <w:rPr>
                <w:spacing w:val="-5"/>
                <w:sz w:val="18"/>
              </w:rPr>
              <w:t> </w:t>
            </w:r>
            <w:r>
              <w:rPr>
                <w:spacing w:val="-2"/>
                <w:sz w:val="18"/>
              </w:rPr>
              <w:t>Equation(s):</w:t>
            </w:r>
          </w:p>
        </w:tc>
        <w:tc>
          <w:tcPr>
            <w:tcW w:w="1561" w:type="dxa"/>
            <w:tcBorders>
              <w:top w:val="double" w:sz="6" w:space="0" w:color="000000"/>
              <w:bottom w:val="double" w:sz="6" w:space="0" w:color="000000"/>
            </w:tcBorders>
          </w:tcPr>
          <w:p>
            <w:pPr>
              <w:pStyle w:val="TableParagraph"/>
              <w:spacing w:line="240" w:lineRule="auto" w:before="124"/>
              <w:rPr>
                <w:rFonts w:ascii="Times New Roman"/>
                <w:b/>
                <w:sz w:val="18"/>
              </w:rPr>
            </w:pPr>
          </w:p>
          <w:p>
            <w:pPr>
              <w:pStyle w:val="TableParagraph"/>
              <w:spacing w:line="240" w:lineRule="auto" w:before="1"/>
              <w:ind w:left="48" w:right="51"/>
              <w:jc w:val="center"/>
              <w:rPr>
                <w:sz w:val="18"/>
              </w:rPr>
            </w:pPr>
            <w:r>
              <w:rPr>
                <w:sz w:val="18"/>
              </w:rPr>
              <w:t>Log</w:t>
            </w:r>
            <w:r>
              <w:rPr>
                <w:spacing w:val="-3"/>
                <w:sz w:val="18"/>
              </w:rPr>
              <w:t> </w:t>
            </w:r>
            <w:r>
              <w:rPr>
                <w:spacing w:val="-2"/>
                <w:sz w:val="18"/>
              </w:rPr>
              <w:t>likelihood</w:t>
            </w:r>
          </w:p>
        </w:tc>
        <w:tc>
          <w:tcPr>
            <w:tcW w:w="1350" w:type="dxa"/>
            <w:tcBorders>
              <w:top w:val="double" w:sz="6" w:space="0" w:color="000000"/>
              <w:bottom w:val="double" w:sz="6" w:space="0" w:color="000000"/>
            </w:tcBorders>
          </w:tcPr>
          <w:p>
            <w:pPr>
              <w:pStyle w:val="TableParagraph"/>
              <w:spacing w:line="240" w:lineRule="auto" w:before="124"/>
              <w:rPr>
                <w:rFonts w:ascii="Times New Roman"/>
                <w:b/>
                <w:sz w:val="18"/>
              </w:rPr>
            </w:pPr>
          </w:p>
          <w:p>
            <w:pPr>
              <w:pStyle w:val="TableParagraph"/>
              <w:spacing w:line="240" w:lineRule="auto" w:before="1"/>
              <w:ind w:right="74"/>
              <w:jc w:val="center"/>
              <w:rPr>
                <w:sz w:val="18"/>
              </w:rPr>
            </w:pPr>
            <w:r>
              <w:rPr>
                <w:spacing w:val="-2"/>
                <w:sz w:val="18"/>
              </w:rPr>
              <w:t>-1413.747</w:t>
            </w:r>
          </w:p>
        </w:tc>
        <w:tc>
          <w:tcPr>
            <w:tcW w:w="1441"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83"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62"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86"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833" w:type="dxa"/>
            <w:tcBorders>
              <w:top w:val="double" w:sz="6" w:space="0" w:color="000000"/>
              <w:bottom w:val="double" w:sz="6" w:space="0" w:color="000000"/>
            </w:tcBorders>
          </w:tcPr>
          <w:p>
            <w:pPr>
              <w:pStyle w:val="TableParagraph"/>
              <w:spacing w:line="240" w:lineRule="auto" w:before="0"/>
              <w:rPr>
                <w:rFonts w:ascii="Times New Roman"/>
                <w:sz w:val="18"/>
              </w:rPr>
            </w:pPr>
          </w:p>
        </w:tc>
      </w:tr>
      <w:tr>
        <w:trPr>
          <w:trHeight w:val="328" w:hRule="atLeast"/>
        </w:trPr>
        <w:tc>
          <w:tcPr>
            <w:tcW w:w="14149" w:type="dxa"/>
            <w:gridSpan w:val="9"/>
            <w:tcBorders>
              <w:top w:val="double" w:sz="6" w:space="0" w:color="000000"/>
            </w:tcBorders>
          </w:tcPr>
          <w:p>
            <w:pPr>
              <w:pStyle w:val="TableParagraph"/>
              <w:spacing w:before="109"/>
              <w:rPr>
                <w:sz w:val="18"/>
              </w:rPr>
            </w:pPr>
            <w:r>
              <w:rPr>
                <w:sz w:val="18"/>
              </w:rPr>
              <w:t>Normalized</w:t>
            </w:r>
            <w:r>
              <w:rPr>
                <w:spacing w:val="-11"/>
                <w:sz w:val="18"/>
              </w:rPr>
              <w:t> </w:t>
            </w:r>
            <w:r>
              <w:rPr>
                <w:sz w:val="18"/>
              </w:rPr>
              <w:t>cointegrating</w:t>
            </w:r>
            <w:r>
              <w:rPr>
                <w:spacing w:val="-12"/>
                <w:sz w:val="18"/>
              </w:rPr>
              <w:t> </w:t>
            </w:r>
            <w:r>
              <w:rPr>
                <w:sz w:val="18"/>
              </w:rPr>
              <w:t>coefficients</w:t>
            </w:r>
            <w:r>
              <w:rPr>
                <w:spacing w:val="-12"/>
                <w:sz w:val="18"/>
              </w:rPr>
              <w:t> </w:t>
            </w:r>
            <w:r>
              <w:rPr>
                <w:sz w:val="18"/>
              </w:rPr>
              <w:t>(standard</w:t>
            </w:r>
            <w:r>
              <w:rPr>
                <w:spacing w:val="-10"/>
                <w:sz w:val="18"/>
              </w:rPr>
              <w:t> </w:t>
            </w:r>
            <w:r>
              <w:rPr>
                <w:sz w:val="18"/>
              </w:rPr>
              <w:t>error</w:t>
            </w:r>
            <w:r>
              <w:rPr>
                <w:spacing w:val="-13"/>
                <w:sz w:val="18"/>
              </w:rPr>
              <w:t> </w:t>
            </w:r>
            <w:r>
              <w:rPr>
                <w:sz w:val="18"/>
              </w:rPr>
              <w:t>in</w:t>
            </w:r>
            <w:r>
              <w:rPr>
                <w:spacing w:val="-12"/>
                <w:sz w:val="18"/>
              </w:rPr>
              <w:t> </w:t>
            </w:r>
            <w:r>
              <w:rPr>
                <w:spacing w:val="-2"/>
                <w:sz w:val="18"/>
              </w:rPr>
              <w:t>parentheses)</w:t>
            </w:r>
          </w:p>
        </w:tc>
      </w:tr>
      <w:tr>
        <w:trPr>
          <w:trHeight w:val="224" w:hRule="atLeast"/>
        </w:trPr>
        <w:tc>
          <w:tcPr>
            <w:tcW w:w="1467" w:type="dxa"/>
          </w:tcPr>
          <w:p>
            <w:pPr>
              <w:pStyle w:val="TableParagraph"/>
              <w:spacing w:line="198" w:lineRule="exact"/>
              <w:ind w:right="81"/>
              <w:jc w:val="center"/>
              <w:rPr>
                <w:sz w:val="18"/>
              </w:rPr>
            </w:pPr>
            <w:r>
              <w:rPr>
                <w:spacing w:val="-4"/>
                <w:sz w:val="18"/>
              </w:rPr>
              <w:t>RGDP</w:t>
            </w:r>
          </w:p>
        </w:tc>
        <w:tc>
          <w:tcPr>
            <w:tcW w:w="1266" w:type="dxa"/>
          </w:tcPr>
          <w:p>
            <w:pPr>
              <w:pStyle w:val="TableParagraph"/>
              <w:spacing w:line="198" w:lineRule="exact"/>
              <w:ind w:left="38" w:right="47"/>
              <w:jc w:val="center"/>
              <w:rPr>
                <w:sz w:val="18"/>
              </w:rPr>
            </w:pPr>
            <w:r>
              <w:rPr>
                <w:spacing w:val="-5"/>
                <w:sz w:val="18"/>
              </w:rPr>
              <w:t>FDI</w:t>
            </w:r>
          </w:p>
        </w:tc>
        <w:tc>
          <w:tcPr>
            <w:tcW w:w="1561" w:type="dxa"/>
          </w:tcPr>
          <w:p>
            <w:pPr>
              <w:pStyle w:val="TableParagraph"/>
              <w:spacing w:line="198" w:lineRule="exact"/>
              <w:ind w:left="48" w:right="52"/>
              <w:jc w:val="center"/>
              <w:rPr>
                <w:sz w:val="18"/>
              </w:rPr>
            </w:pPr>
            <w:r>
              <w:rPr>
                <w:spacing w:val="-5"/>
                <w:sz w:val="18"/>
              </w:rPr>
              <w:t>FPI</w:t>
            </w:r>
          </w:p>
        </w:tc>
        <w:tc>
          <w:tcPr>
            <w:tcW w:w="1350" w:type="dxa"/>
          </w:tcPr>
          <w:p>
            <w:pPr>
              <w:pStyle w:val="TableParagraph"/>
              <w:spacing w:line="198" w:lineRule="exact"/>
              <w:ind w:right="74"/>
              <w:jc w:val="center"/>
              <w:rPr>
                <w:sz w:val="18"/>
              </w:rPr>
            </w:pPr>
            <w:r>
              <w:rPr>
                <w:spacing w:val="-5"/>
                <w:sz w:val="18"/>
              </w:rPr>
              <w:t>TOP</w:t>
            </w:r>
          </w:p>
        </w:tc>
        <w:tc>
          <w:tcPr>
            <w:tcW w:w="1441" w:type="dxa"/>
          </w:tcPr>
          <w:p>
            <w:pPr>
              <w:pStyle w:val="TableParagraph"/>
              <w:spacing w:line="198" w:lineRule="exact"/>
              <w:ind w:left="20" w:right="52"/>
              <w:jc w:val="center"/>
              <w:rPr>
                <w:sz w:val="18"/>
              </w:rPr>
            </w:pPr>
            <w:r>
              <w:rPr>
                <w:spacing w:val="-5"/>
                <w:sz w:val="18"/>
              </w:rPr>
              <w:t>REM</w:t>
            </w:r>
          </w:p>
        </w:tc>
        <w:tc>
          <w:tcPr>
            <w:tcW w:w="1383" w:type="dxa"/>
          </w:tcPr>
          <w:p>
            <w:pPr>
              <w:pStyle w:val="TableParagraph"/>
              <w:spacing w:line="198" w:lineRule="exact"/>
              <w:ind w:left="29" w:right="48"/>
              <w:jc w:val="center"/>
              <w:rPr>
                <w:sz w:val="18"/>
              </w:rPr>
            </w:pPr>
            <w:r>
              <w:rPr>
                <w:spacing w:val="-5"/>
                <w:sz w:val="18"/>
              </w:rPr>
              <w:t>ODA</w:t>
            </w:r>
          </w:p>
        </w:tc>
        <w:tc>
          <w:tcPr>
            <w:tcW w:w="1462" w:type="dxa"/>
          </w:tcPr>
          <w:p>
            <w:pPr>
              <w:pStyle w:val="TableParagraph"/>
              <w:spacing w:line="198" w:lineRule="exact"/>
              <w:ind w:left="21" w:right="48"/>
              <w:jc w:val="center"/>
              <w:rPr>
                <w:sz w:val="18"/>
              </w:rPr>
            </w:pPr>
            <w:r>
              <w:rPr>
                <w:spacing w:val="-2"/>
                <w:sz w:val="18"/>
              </w:rPr>
              <w:t>CPS_GDP</w:t>
            </w:r>
          </w:p>
        </w:tc>
        <w:tc>
          <w:tcPr>
            <w:tcW w:w="1386" w:type="dxa"/>
          </w:tcPr>
          <w:p>
            <w:pPr>
              <w:pStyle w:val="TableParagraph"/>
              <w:spacing w:line="198" w:lineRule="exact"/>
              <w:ind w:left="6" w:right="47"/>
              <w:jc w:val="center"/>
              <w:rPr>
                <w:sz w:val="18"/>
              </w:rPr>
            </w:pPr>
            <w:r>
              <w:rPr>
                <w:spacing w:val="-5"/>
                <w:sz w:val="18"/>
              </w:rPr>
              <w:t>INT</w:t>
            </w:r>
          </w:p>
        </w:tc>
        <w:tc>
          <w:tcPr>
            <w:tcW w:w="2833" w:type="dxa"/>
          </w:tcPr>
          <w:p>
            <w:pPr>
              <w:pStyle w:val="TableParagraph"/>
              <w:spacing w:line="198" w:lineRule="exact"/>
              <w:ind w:right="1424"/>
              <w:jc w:val="center"/>
              <w:rPr>
                <w:sz w:val="18"/>
              </w:rPr>
            </w:pPr>
            <w:r>
              <w:rPr>
                <w:spacing w:val="-4"/>
                <w:sz w:val="18"/>
              </w:rPr>
              <w:t>EXCH</w:t>
            </w:r>
          </w:p>
        </w:tc>
      </w:tr>
      <w:tr>
        <w:trPr>
          <w:trHeight w:val="224" w:hRule="atLeast"/>
        </w:trPr>
        <w:tc>
          <w:tcPr>
            <w:tcW w:w="1467" w:type="dxa"/>
          </w:tcPr>
          <w:p>
            <w:pPr>
              <w:pStyle w:val="TableParagraph"/>
              <w:spacing w:before="5"/>
              <w:ind w:left="56" w:right="81"/>
              <w:jc w:val="center"/>
              <w:rPr>
                <w:sz w:val="18"/>
              </w:rPr>
            </w:pPr>
            <w:r>
              <w:rPr>
                <w:spacing w:val="-2"/>
                <w:sz w:val="18"/>
              </w:rPr>
              <w:t>1.000000</w:t>
            </w:r>
          </w:p>
        </w:tc>
        <w:tc>
          <w:tcPr>
            <w:tcW w:w="1266" w:type="dxa"/>
          </w:tcPr>
          <w:p>
            <w:pPr>
              <w:pStyle w:val="TableParagraph"/>
              <w:spacing w:before="5"/>
              <w:ind w:left="47" w:right="10"/>
              <w:jc w:val="center"/>
              <w:rPr>
                <w:sz w:val="18"/>
              </w:rPr>
            </w:pPr>
            <w:r>
              <w:rPr>
                <w:spacing w:val="-2"/>
                <w:sz w:val="18"/>
              </w:rPr>
              <w:t>0.000000</w:t>
            </w:r>
          </w:p>
        </w:tc>
        <w:tc>
          <w:tcPr>
            <w:tcW w:w="1561" w:type="dxa"/>
          </w:tcPr>
          <w:p>
            <w:pPr>
              <w:pStyle w:val="TableParagraph"/>
              <w:spacing w:before="5"/>
              <w:ind w:left="51" w:right="4"/>
              <w:jc w:val="center"/>
              <w:rPr>
                <w:sz w:val="18"/>
              </w:rPr>
            </w:pPr>
            <w:r>
              <w:rPr>
                <w:spacing w:val="-2"/>
                <w:sz w:val="18"/>
              </w:rPr>
              <w:t>0.000000</w:t>
            </w:r>
          </w:p>
        </w:tc>
        <w:tc>
          <w:tcPr>
            <w:tcW w:w="1350" w:type="dxa"/>
          </w:tcPr>
          <w:p>
            <w:pPr>
              <w:pStyle w:val="TableParagraph"/>
              <w:spacing w:before="5"/>
              <w:ind w:left="1" w:right="74"/>
              <w:jc w:val="center"/>
              <w:rPr>
                <w:sz w:val="18"/>
              </w:rPr>
            </w:pPr>
            <w:r>
              <w:rPr>
                <w:spacing w:val="-2"/>
                <w:sz w:val="18"/>
              </w:rPr>
              <w:t>-50.91245</w:t>
            </w:r>
          </w:p>
        </w:tc>
        <w:tc>
          <w:tcPr>
            <w:tcW w:w="1441" w:type="dxa"/>
          </w:tcPr>
          <w:p>
            <w:pPr>
              <w:pStyle w:val="TableParagraph"/>
              <w:spacing w:before="5"/>
              <w:ind w:left="52" w:right="32"/>
              <w:jc w:val="center"/>
              <w:rPr>
                <w:sz w:val="18"/>
              </w:rPr>
            </w:pPr>
            <w:r>
              <w:rPr>
                <w:spacing w:val="-2"/>
                <w:sz w:val="18"/>
              </w:rPr>
              <w:t>6.258042</w:t>
            </w:r>
          </w:p>
        </w:tc>
        <w:tc>
          <w:tcPr>
            <w:tcW w:w="1383" w:type="dxa"/>
          </w:tcPr>
          <w:p>
            <w:pPr>
              <w:pStyle w:val="TableParagraph"/>
              <w:spacing w:before="5"/>
              <w:ind w:left="48" w:right="19"/>
              <w:jc w:val="center"/>
              <w:rPr>
                <w:sz w:val="18"/>
              </w:rPr>
            </w:pPr>
            <w:r>
              <w:rPr>
                <w:spacing w:val="-2"/>
                <w:sz w:val="18"/>
              </w:rPr>
              <w:t>1.326852</w:t>
            </w:r>
          </w:p>
        </w:tc>
        <w:tc>
          <w:tcPr>
            <w:tcW w:w="1462" w:type="dxa"/>
          </w:tcPr>
          <w:p>
            <w:pPr>
              <w:pStyle w:val="TableParagraph"/>
              <w:spacing w:before="5"/>
              <w:ind w:left="21" w:right="48"/>
              <w:jc w:val="center"/>
              <w:rPr>
                <w:sz w:val="18"/>
              </w:rPr>
            </w:pPr>
            <w:r>
              <w:rPr>
                <w:spacing w:val="-2"/>
                <w:sz w:val="18"/>
              </w:rPr>
              <w:t>-2121.241</w:t>
            </w:r>
          </w:p>
        </w:tc>
        <w:tc>
          <w:tcPr>
            <w:tcW w:w="1386" w:type="dxa"/>
          </w:tcPr>
          <w:p>
            <w:pPr>
              <w:pStyle w:val="TableParagraph"/>
              <w:spacing w:before="5"/>
              <w:ind w:left="47" w:right="41"/>
              <w:jc w:val="center"/>
              <w:rPr>
                <w:sz w:val="18"/>
              </w:rPr>
            </w:pPr>
            <w:r>
              <w:rPr>
                <w:spacing w:val="-2"/>
                <w:sz w:val="18"/>
              </w:rPr>
              <w:t>325.6093</w:t>
            </w:r>
          </w:p>
        </w:tc>
        <w:tc>
          <w:tcPr>
            <w:tcW w:w="2833" w:type="dxa"/>
          </w:tcPr>
          <w:p>
            <w:pPr>
              <w:pStyle w:val="TableParagraph"/>
              <w:spacing w:before="5"/>
              <w:ind w:right="1424"/>
              <w:jc w:val="center"/>
              <w:rPr>
                <w:sz w:val="18"/>
              </w:rPr>
            </w:pPr>
            <w:r>
              <w:rPr>
                <w:spacing w:val="-2"/>
                <w:sz w:val="18"/>
              </w:rPr>
              <w:t>-235.3220</w:t>
            </w: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ind w:left="52" w:right="74"/>
              <w:jc w:val="center"/>
              <w:rPr>
                <w:sz w:val="18"/>
              </w:rPr>
            </w:pPr>
            <w:r>
              <w:rPr>
                <w:spacing w:val="-2"/>
                <w:sz w:val="18"/>
              </w:rPr>
              <w:t>(47.3486)</w:t>
            </w:r>
          </w:p>
        </w:tc>
        <w:tc>
          <w:tcPr>
            <w:tcW w:w="1441" w:type="dxa"/>
          </w:tcPr>
          <w:p>
            <w:pPr>
              <w:pStyle w:val="TableParagraph"/>
              <w:ind w:left="52" w:right="32"/>
              <w:jc w:val="center"/>
              <w:rPr>
                <w:sz w:val="18"/>
              </w:rPr>
            </w:pPr>
            <w:r>
              <w:rPr>
                <w:spacing w:val="-2"/>
                <w:sz w:val="18"/>
              </w:rPr>
              <w:t>(2.99413)</w:t>
            </w:r>
          </w:p>
        </w:tc>
        <w:tc>
          <w:tcPr>
            <w:tcW w:w="1383" w:type="dxa"/>
          </w:tcPr>
          <w:p>
            <w:pPr>
              <w:pStyle w:val="TableParagraph"/>
              <w:ind w:left="48" w:right="19"/>
              <w:jc w:val="center"/>
              <w:rPr>
                <w:sz w:val="18"/>
              </w:rPr>
            </w:pPr>
            <w:r>
              <w:rPr>
                <w:spacing w:val="-2"/>
                <w:sz w:val="18"/>
              </w:rPr>
              <w:t>(0.17431)</w:t>
            </w:r>
          </w:p>
        </w:tc>
        <w:tc>
          <w:tcPr>
            <w:tcW w:w="1462" w:type="dxa"/>
          </w:tcPr>
          <w:p>
            <w:pPr>
              <w:pStyle w:val="TableParagraph"/>
              <w:ind w:left="48" w:right="27"/>
              <w:jc w:val="center"/>
              <w:rPr>
                <w:sz w:val="18"/>
              </w:rPr>
            </w:pPr>
            <w:r>
              <w:rPr>
                <w:spacing w:val="-2"/>
                <w:sz w:val="18"/>
              </w:rPr>
              <w:t>(142.162)</w:t>
            </w:r>
          </w:p>
        </w:tc>
        <w:tc>
          <w:tcPr>
            <w:tcW w:w="1386" w:type="dxa"/>
          </w:tcPr>
          <w:p>
            <w:pPr>
              <w:pStyle w:val="TableParagraph"/>
              <w:ind w:left="47" w:right="41"/>
              <w:jc w:val="center"/>
              <w:rPr>
                <w:sz w:val="18"/>
              </w:rPr>
            </w:pPr>
            <w:r>
              <w:rPr>
                <w:spacing w:val="-2"/>
                <w:sz w:val="18"/>
              </w:rPr>
              <w:t>(133.609)</w:t>
            </w:r>
          </w:p>
        </w:tc>
        <w:tc>
          <w:tcPr>
            <w:tcW w:w="2833" w:type="dxa"/>
          </w:tcPr>
          <w:p>
            <w:pPr>
              <w:pStyle w:val="TableParagraph"/>
              <w:ind w:left="51" w:right="1424"/>
              <w:jc w:val="center"/>
              <w:rPr>
                <w:sz w:val="18"/>
              </w:rPr>
            </w:pPr>
            <w:r>
              <w:rPr>
                <w:spacing w:val="-2"/>
                <w:sz w:val="18"/>
              </w:rPr>
              <w:t>(18.9955)</w:t>
            </w:r>
          </w:p>
        </w:tc>
      </w:tr>
      <w:tr>
        <w:trPr>
          <w:trHeight w:val="225" w:hRule="atLeast"/>
        </w:trPr>
        <w:tc>
          <w:tcPr>
            <w:tcW w:w="1467" w:type="dxa"/>
          </w:tcPr>
          <w:p>
            <w:pPr>
              <w:pStyle w:val="TableParagraph"/>
              <w:ind w:left="56" w:right="81"/>
              <w:jc w:val="center"/>
              <w:rPr>
                <w:sz w:val="18"/>
              </w:rPr>
            </w:pPr>
            <w:r>
              <w:rPr>
                <w:spacing w:val="-2"/>
                <w:sz w:val="18"/>
              </w:rPr>
              <w:t>0.000000</w:t>
            </w:r>
          </w:p>
        </w:tc>
        <w:tc>
          <w:tcPr>
            <w:tcW w:w="1266" w:type="dxa"/>
          </w:tcPr>
          <w:p>
            <w:pPr>
              <w:pStyle w:val="TableParagraph"/>
              <w:ind w:left="47" w:right="10"/>
              <w:jc w:val="center"/>
              <w:rPr>
                <w:sz w:val="18"/>
              </w:rPr>
            </w:pPr>
            <w:r>
              <w:rPr>
                <w:spacing w:val="-2"/>
                <w:sz w:val="18"/>
              </w:rPr>
              <w:t>1.000000</w:t>
            </w:r>
          </w:p>
        </w:tc>
        <w:tc>
          <w:tcPr>
            <w:tcW w:w="1561" w:type="dxa"/>
          </w:tcPr>
          <w:p>
            <w:pPr>
              <w:pStyle w:val="TableParagraph"/>
              <w:ind w:left="51" w:right="4"/>
              <w:jc w:val="center"/>
              <w:rPr>
                <w:sz w:val="18"/>
              </w:rPr>
            </w:pPr>
            <w:r>
              <w:rPr>
                <w:spacing w:val="-2"/>
                <w:sz w:val="18"/>
              </w:rPr>
              <w:t>0.000000</w:t>
            </w:r>
          </w:p>
        </w:tc>
        <w:tc>
          <w:tcPr>
            <w:tcW w:w="1350" w:type="dxa"/>
          </w:tcPr>
          <w:p>
            <w:pPr>
              <w:pStyle w:val="TableParagraph"/>
              <w:ind w:left="1" w:right="74"/>
              <w:jc w:val="center"/>
              <w:rPr>
                <w:sz w:val="18"/>
              </w:rPr>
            </w:pPr>
            <w:r>
              <w:rPr>
                <w:spacing w:val="-2"/>
                <w:sz w:val="18"/>
              </w:rPr>
              <w:t>-39.85141</w:t>
            </w:r>
          </w:p>
        </w:tc>
        <w:tc>
          <w:tcPr>
            <w:tcW w:w="1441" w:type="dxa"/>
          </w:tcPr>
          <w:p>
            <w:pPr>
              <w:pStyle w:val="TableParagraph"/>
              <w:ind w:left="20" w:right="48"/>
              <w:jc w:val="center"/>
              <w:rPr>
                <w:sz w:val="18"/>
              </w:rPr>
            </w:pPr>
            <w:r>
              <w:rPr>
                <w:spacing w:val="-2"/>
                <w:sz w:val="18"/>
              </w:rPr>
              <w:t>-1.533633</w:t>
            </w:r>
          </w:p>
        </w:tc>
        <w:tc>
          <w:tcPr>
            <w:tcW w:w="1383" w:type="dxa"/>
          </w:tcPr>
          <w:p>
            <w:pPr>
              <w:pStyle w:val="TableParagraph"/>
              <w:ind w:left="48" w:right="19"/>
              <w:jc w:val="center"/>
              <w:rPr>
                <w:sz w:val="18"/>
              </w:rPr>
            </w:pPr>
            <w:r>
              <w:rPr>
                <w:spacing w:val="-2"/>
                <w:sz w:val="18"/>
              </w:rPr>
              <w:t>1.091513</w:t>
            </w:r>
          </w:p>
        </w:tc>
        <w:tc>
          <w:tcPr>
            <w:tcW w:w="1462" w:type="dxa"/>
          </w:tcPr>
          <w:p>
            <w:pPr>
              <w:pStyle w:val="TableParagraph"/>
              <w:ind w:left="21" w:right="48"/>
              <w:jc w:val="center"/>
              <w:rPr>
                <w:sz w:val="18"/>
              </w:rPr>
            </w:pPr>
            <w:r>
              <w:rPr>
                <w:spacing w:val="-2"/>
                <w:sz w:val="18"/>
              </w:rPr>
              <w:t>-393.8989</w:t>
            </w:r>
          </w:p>
        </w:tc>
        <w:tc>
          <w:tcPr>
            <w:tcW w:w="1386" w:type="dxa"/>
          </w:tcPr>
          <w:p>
            <w:pPr>
              <w:pStyle w:val="TableParagraph"/>
              <w:ind w:left="47" w:right="41"/>
              <w:jc w:val="center"/>
              <w:rPr>
                <w:sz w:val="18"/>
              </w:rPr>
            </w:pPr>
            <w:r>
              <w:rPr>
                <w:spacing w:val="-2"/>
                <w:sz w:val="18"/>
              </w:rPr>
              <w:t>67.73025</w:t>
            </w:r>
          </w:p>
        </w:tc>
        <w:tc>
          <w:tcPr>
            <w:tcW w:w="2833" w:type="dxa"/>
          </w:tcPr>
          <w:p>
            <w:pPr>
              <w:pStyle w:val="TableParagraph"/>
              <w:ind w:right="1424"/>
              <w:jc w:val="center"/>
              <w:rPr>
                <w:sz w:val="18"/>
              </w:rPr>
            </w:pPr>
            <w:r>
              <w:rPr>
                <w:spacing w:val="-2"/>
                <w:sz w:val="18"/>
              </w:rPr>
              <w:t>-51.83596</w:t>
            </w: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198" w:lineRule="exact"/>
              <w:ind w:left="52" w:right="74"/>
              <w:jc w:val="center"/>
              <w:rPr>
                <w:sz w:val="18"/>
              </w:rPr>
            </w:pPr>
            <w:r>
              <w:rPr>
                <w:spacing w:val="-2"/>
                <w:sz w:val="18"/>
              </w:rPr>
              <w:t>(24.4846)</w:t>
            </w:r>
          </w:p>
        </w:tc>
        <w:tc>
          <w:tcPr>
            <w:tcW w:w="1441" w:type="dxa"/>
          </w:tcPr>
          <w:p>
            <w:pPr>
              <w:pStyle w:val="TableParagraph"/>
              <w:spacing w:line="198" w:lineRule="exact"/>
              <w:ind w:left="52" w:right="32"/>
              <w:jc w:val="center"/>
              <w:rPr>
                <w:sz w:val="18"/>
              </w:rPr>
            </w:pPr>
            <w:r>
              <w:rPr>
                <w:spacing w:val="-2"/>
                <w:sz w:val="18"/>
              </w:rPr>
              <w:t>(1.54831)</w:t>
            </w:r>
          </w:p>
        </w:tc>
        <w:tc>
          <w:tcPr>
            <w:tcW w:w="1383" w:type="dxa"/>
          </w:tcPr>
          <w:p>
            <w:pPr>
              <w:pStyle w:val="TableParagraph"/>
              <w:spacing w:line="198" w:lineRule="exact"/>
              <w:ind w:left="48" w:right="19"/>
              <w:jc w:val="center"/>
              <w:rPr>
                <w:sz w:val="18"/>
              </w:rPr>
            </w:pPr>
            <w:r>
              <w:rPr>
                <w:spacing w:val="-2"/>
                <w:sz w:val="18"/>
              </w:rPr>
              <w:t>(0.09014)</w:t>
            </w:r>
          </w:p>
        </w:tc>
        <w:tc>
          <w:tcPr>
            <w:tcW w:w="1462" w:type="dxa"/>
          </w:tcPr>
          <w:p>
            <w:pPr>
              <w:pStyle w:val="TableParagraph"/>
              <w:spacing w:line="198" w:lineRule="exact"/>
              <w:ind w:left="48" w:right="27"/>
              <w:jc w:val="center"/>
              <w:rPr>
                <w:sz w:val="18"/>
              </w:rPr>
            </w:pPr>
            <w:r>
              <w:rPr>
                <w:spacing w:val="-2"/>
                <w:sz w:val="18"/>
              </w:rPr>
              <w:t>(73.5139)</w:t>
            </w:r>
          </w:p>
        </w:tc>
        <w:tc>
          <w:tcPr>
            <w:tcW w:w="1386" w:type="dxa"/>
          </w:tcPr>
          <w:p>
            <w:pPr>
              <w:pStyle w:val="TableParagraph"/>
              <w:spacing w:line="198" w:lineRule="exact"/>
              <w:ind w:left="47" w:right="41"/>
              <w:jc w:val="center"/>
              <w:rPr>
                <w:sz w:val="18"/>
              </w:rPr>
            </w:pPr>
            <w:r>
              <w:rPr>
                <w:spacing w:val="-2"/>
                <w:sz w:val="18"/>
              </w:rPr>
              <w:t>(69.0911)</w:t>
            </w:r>
          </w:p>
        </w:tc>
        <w:tc>
          <w:tcPr>
            <w:tcW w:w="2833" w:type="dxa"/>
          </w:tcPr>
          <w:p>
            <w:pPr>
              <w:pStyle w:val="TableParagraph"/>
              <w:spacing w:line="198" w:lineRule="exact"/>
              <w:ind w:left="51" w:right="1424"/>
              <w:jc w:val="center"/>
              <w:rPr>
                <w:sz w:val="18"/>
              </w:rPr>
            </w:pPr>
            <w:r>
              <w:rPr>
                <w:spacing w:val="-2"/>
                <w:sz w:val="18"/>
              </w:rPr>
              <w:t>(9.82287)</w:t>
            </w:r>
          </w:p>
        </w:tc>
      </w:tr>
      <w:tr>
        <w:trPr>
          <w:trHeight w:val="224" w:hRule="atLeast"/>
        </w:trPr>
        <w:tc>
          <w:tcPr>
            <w:tcW w:w="1467" w:type="dxa"/>
          </w:tcPr>
          <w:p>
            <w:pPr>
              <w:pStyle w:val="TableParagraph"/>
              <w:spacing w:before="5"/>
              <w:ind w:left="56" w:right="81"/>
              <w:jc w:val="center"/>
              <w:rPr>
                <w:sz w:val="18"/>
              </w:rPr>
            </w:pPr>
            <w:r>
              <w:rPr>
                <w:spacing w:val="-2"/>
                <w:sz w:val="18"/>
              </w:rPr>
              <w:t>0.000000</w:t>
            </w:r>
          </w:p>
        </w:tc>
        <w:tc>
          <w:tcPr>
            <w:tcW w:w="1266" w:type="dxa"/>
          </w:tcPr>
          <w:p>
            <w:pPr>
              <w:pStyle w:val="TableParagraph"/>
              <w:spacing w:before="5"/>
              <w:ind w:left="47" w:right="10"/>
              <w:jc w:val="center"/>
              <w:rPr>
                <w:sz w:val="18"/>
              </w:rPr>
            </w:pPr>
            <w:r>
              <w:rPr>
                <w:spacing w:val="-2"/>
                <w:sz w:val="18"/>
              </w:rPr>
              <w:t>0.000000</w:t>
            </w:r>
          </w:p>
        </w:tc>
        <w:tc>
          <w:tcPr>
            <w:tcW w:w="1561" w:type="dxa"/>
          </w:tcPr>
          <w:p>
            <w:pPr>
              <w:pStyle w:val="TableParagraph"/>
              <w:spacing w:before="5"/>
              <w:ind w:left="51" w:right="4"/>
              <w:jc w:val="center"/>
              <w:rPr>
                <w:sz w:val="18"/>
              </w:rPr>
            </w:pPr>
            <w:r>
              <w:rPr>
                <w:spacing w:val="-2"/>
                <w:sz w:val="18"/>
              </w:rPr>
              <w:t>1.000000</w:t>
            </w:r>
          </w:p>
        </w:tc>
        <w:tc>
          <w:tcPr>
            <w:tcW w:w="1350" w:type="dxa"/>
          </w:tcPr>
          <w:p>
            <w:pPr>
              <w:pStyle w:val="TableParagraph"/>
              <w:spacing w:before="5"/>
              <w:ind w:left="51" w:right="74"/>
              <w:jc w:val="center"/>
              <w:rPr>
                <w:sz w:val="18"/>
              </w:rPr>
            </w:pPr>
            <w:r>
              <w:rPr>
                <w:spacing w:val="-2"/>
                <w:sz w:val="18"/>
              </w:rPr>
              <w:t>0.330094</w:t>
            </w:r>
          </w:p>
        </w:tc>
        <w:tc>
          <w:tcPr>
            <w:tcW w:w="1441" w:type="dxa"/>
          </w:tcPr>
          <w:p>
            <w:pPr>
              <w:pStyle w:val="TableParagraph"/>
              <w:spacing w:before="5"/>
              <w:ind w:left="20" w:right="48"/>
              <w:jc w:val="center"/>
              <w:rPr>
                <w:sz w:val="18"/>
              </w:rPr>
            </w:pPr>
            <w:r>
              <w:rPr>
                <w:spacing w:val="-2"/>
                <w:sz w:val="18"/>
              </w:rPr>
              <w:t>-0.008190</w:t>
            </w:r>
          </w:p>
        </w:tc>
        <w:tc>
          <w:tcPr>
            <w:tcW w:w="1383" w:type="dxa"/>
          </w:tcPr>
          <w:p>
            <w:pPr>
              <w:pStyle w:val="TableParagraph"/>
              <w:spacing w:before="5"/>
              <w:ind w:left="48" w:right="19"/>
              <w:jc w:val="center"/>
              <w:rPr>
                <w:sz w:val="18"/>
              </w:rPr>
            </w:pPr>
            <w:r>
              <w:rPr>
                <w:spacing w:val="-2"/>
                <w:sz w:val="18"/>
              </w:rPr>
              <w:t>0.007970</w:t>
            </w:r>
          </w:p>
        </w:tc>
        <w:tc>
          <w:tcPr>
            <w:tcW w:w="1462" w:type="dxa"/>
          </w:tcPr>
          <w:p>
            <w:pPr>
              <w:pStyle w:val="TableParagraph"/>
              <w:spacing w:before="5"/>
              <w:ind w:left="21" w:right="48"/>
              <w:jc w:val="center"/>
              <w:rPr>
                <w:sz w:val="18"/>
              </w:rPr>
            </w:pPr>
            <w:r>
              <w:rPr>
                <w:spacing w:val="-2"/>
                <w:sz w:val="18"/>
              </w:rPr>
              <w:t>-3.451440</w:t>
            </w:r>
          </w:p>
        </w:tc>
        <w:tc>
          <w:tcPr>
            <w:tcW w:w="1386" w:type="dxa"/>
          </w:tcPr>
          <w:p>
            <w:pPr>
              <w:pStyle w:val="TableParagraph"/>
              <w:spacing w:before="5"/>
              <w:ind w:left="47" w:right="41"/>
              <w:jc w:val="center"/>
              <w:rPr>
                <w:sz w:val="18"/>
              </w:rPr>
            </w:pPr>
            <w:r>
              <w:rPr>
                <w:spacing w:val="-2"/>
                <w:sz w:val="18"/>
              </w:rPr>
              <w:t>1.408870</w:t>
            </w:r>
          </w:p>
        </w:tc>
        <w:tc>
          <w:tcPr>
            <w:tcW w:w="2833" w:type="dxa"/>
          </w:tcPr>
          <w:p>
            <w:pPr>
              <w:pStyle w:val="TableParagraph"/>
              <w:spacing w:before="5"/>
              <w:ind w:right="1424"/>
              <w:jc w:val="center"/>
              <w:rPr>
                <w:sz w:val="18"/>
              </w:rPr>
            </w:pPr>
            <w:r>
              <w:rPr>
                <w:spacing w:val="-2"/>
                <w:sz w:val="18"/>
              </w:rPr>
              <w:t>-1.255412</w:t>
            </w:r>
          </w:p>
        </w:tc>
      </w:tr>
      <w:tr>
        <w:trPr>
          <w:trHeight w:val="338" w:hRule="atLeast"/>
        </w:trPr>
        <w:tc>
          <w:tcPr>
            <w:tcW w:w="1467" w:type="dxa"/>
          </w:tcPr>
          <w:p>
            <w:pPr>
              <w:pStyle w:val="TableParagraph"/>
              <w:spacing w:line="240" w:lineRule="auto" w:before="0"/>
              <w:rPr>
                <w:rFonts w:ascii="Times New Roman"/>
                <w:sz w:val="18"/>
              </w:rPr>
            </w:pPr>
          </w:p>
        </w:tc>
        <w:tc>
          <w:tcPr>
            <w:tcW w:w="1266" w:type="dxa"/>
          </w:tcPr>
          <w:p>
            <w:pPr>
              <w:pStyle w:val="TableParagraph"/>
              <w:spacing w:line="240" w:lineRule="auto" w:before="0"/>
              <w:rPr>
                <w:rFonts w:ascii="Times New Roman"/>
                <w:sz w:val="18"/>
              </w:rPr>
            </w:pPr>
          </w:p>
        </w:tc>
        <w:tc>
          <w:tcPr>
            <w:tcW w:w="1561" w:type="dxa"/>
          </w:tcPr>
          <w:p>
            <w:pPr>
              <w:pStyle w:val="TableParagraph"/>
              <w:spacing w:line="240" w:lineRule="auto" w:before="0"/>
              <w:rPr>
                <w:rFonts w:ascii="Times New Roman"/>
                <w:sz w:val="18"/>
              </w:rPr>
            </w:pPr>
          </w:p>
        </w:tc>
        <w:tc>
          <w:tcPr>
            <w:tcW w:w="1350" w:type="dxa"/>
          </w:tcPr>
          <w:p>
            <w:pPr>
              <w:pStyle w:val="TableParagraph"/>
              <w:spacing w:line="240" w:lineRule="auto"/>
              <w:ind w:left="52" w:right="74"/>
              <w:jc w:val="center"/>
              <w:rPr>
                <w:sz w:val="18"/>
              </w:rPr>
            </w:pPr>
            <w:r>
              <w:rPr>
                <w:spacing w:val="-2"/>
                <w:sz w:val="18"/>
              </w:rPr>
              <w:t>(0.11415)</w:t>
            </w:r>
          </w:p>
        </w:tc>
        <w:tc>
          <w:tcPr>
            <w:tcW w:w="1441" w:type="dxa"/>
          </w:tcPr>
          <w:p>
            <w:pPr>
              <w:pStyle w:val="TableParagraph"/>
              <w:spacing w:line="240" w:lineRule="auto"/>
              <w:ind w:left="52" w:right="32"/>
              <w:jc w:val="center"/>
              <w:rPr>
                <w:sz w:val="18"/>
              </w:rPr>
            </w:pPr>
            <w:r>
              <w:rPr>
                <w:spacing w:val="-2"/>
                <w:sz w:val="18"/>
              </w:rPr>
              <w:t>(0.00722)</w:t>
            </w:r>
          </w:p>
        </w:tc>
        <w:tc>
          <w:tcPr>
            <w:tcW w:w="1383" w:type="dxa"/>
          </w:tcPr>
          <w:p>
            <w:pPr>
              <w:pStyle w:val="TableParagraph"/>
              <w:spacing w:line="240" w:lineRule="auto"/>
              <w:ind w:left="48" w:right="19"/>
              <w:jc w:val="center"/>
              <w:rPr>
                <w:sz w:val="18"/>
              </w:rPr>
            </w:pPr>
            <w:r>
              <w:rPr>
                <w:spacing w:val="-2"/>
                <w:sz w:val="18"/>
              </w:rPr>
              <w:t>(0.00042)</w:t>
            </w:r>
          </w:p>
        </w:tc>
        <w:tc>
          <w:tcPr>
            <w:tcW w:w="1462" w:type="dxa"/>
          </w:tcPr>
          <w:p>
            <w:pPr>
              <w:pStyle w:val="TableParagraph"/>
              <w:spacing w:line="240" w:lineRule="auto"/>
              <w:ind w:left="48" w:right="27"/>
              <w:jc w:val="center"/>
              <w:rPr>
                <w:sz w:val="18"/>
              </w:rPr>
            </w:pPr>
            <w:r>
              <w:rPr>
                <w:spacing w:val="-2"/>
                <w:sz w:val="18"/>
              </w:rPr>
              <w:t>(0.34272)</w:t>
            </w:r>
          </w:p>
        </w:tc>
        <w:tc>
          <w:tcPr>
            <w:tcW w:w="1386" w:type="dxa"/>
          </w:tcPr>
          <w:p>
            <w:pPr>
              <w:pStyle w:val="TableParagraph"/>
              <w:spacing w:line="240" w:lineRule="auto"/>
              <w:ind w:left="47" w:right="41"/>
              <w:jc w:val="center"/>
              <w:rPr>
                <w:sz w:val="18"/>
              </w:rPr>
            </w:pPr>
            <w:r>
              <w:rPr>
                <w:spacing w:val="-2"/>
                <w:sz w:val="18"/>
              </w:rPr>
              <w:t>(0.32210)</w:t>
            </w:r>
          </w:p>
        </w:tc>
        <w:tc>
          <w:tcPr>
            <w:tcW w:w="2833" w:type="dxa"/>
          </w:tcPr>
          <w:p>
            <w:pPr>
              <w:pStyle w:val="TableParagraph"/>
              <w:spacing w:line="240" w:lineRule="auto"/>
              <w:ind w:left="51" w:right="1424"/>
              <w:jc w:val="center"/>
              <w:rPr>
                <w:sz w:val="18"/>
              </w:rPr>
            </w:pPr>
            <w:r>
              <w:rPr>
                <w:spacing w:val="-2"/>
                <w:sz w:val="18"/>
              </w:rPr>
              <w:t>(0.04579)</w:t>
            </w:r>
          </w:p>
        </w:tc>
      </w:tr>
      <w:tr>
        <w:trPr>
          <w:trHeight w:val="337" w:hRule="atLeast"/>
        </w:trPr>
        <w:tc>
          <w:tcPr>
            <w:tcW w:w="5644" w:type="dxa"/>
            <w:gridSpan w:val="4"/>
          </w:tcPr>
          <w:p>
            <w:pPr>
              <w:pStyle w:val="TableParagraph"/>
              <w:spacing w:line="198" w:lineRule="exact" w:before="119"/>
              <w:rPr>
                <w:sz w:val="18"/>
              </w:rPr>
            </w:pPr>
            <w:r>
              <w:rPr>
                <w:sz w:val="18"/>
              </w:rPr>
              <w:t>Adjustment</w:t>
            </w:r>
            <w:r>
              <w:rPr>
                <w:spacing w:val="-4"/>
                <w:sz w:val="18"/>
              </w:rPr>
              <w:t> </w:t>
            </w:r>
            <w:r>
              <w:rPr>
                <w:sz w:val="18"/>
              </w:rPr>
              <w:t>coefficients</w:t>
            </w:r>
            <w:r>
              <w:rPr>
                <w:spacing w:val="-1"/>
                <w:sz w:val="18"/>
              </w:rPr>
              <w:t> </w:t>
            </w:r>
            <w:r>
              <w:rPr>
                <w:sz w:val="18"/>
              </w:rPr>
              <w:t>(standard</w:t>
            </w:r>
            <w:r>
              <w:rPr>
                <w:spacing w:val="-4"/>
                <w:sz w:val="18"/>
              </w:rPr>
              <w:t> </w:t>
            </w:r>
            <w:r>
              <w:rPr>
                <w:sz w:val="18"/>
              </w:rPr>
              <w:t>error</w:t>
            </w:r>
            <w:r>
              <w:rPr>
                <w:spacing w:val="-7"/>
                <w:sz w:val="18"/>
              </w:rPr>
              <w:t> </w:t>
            </w:r>
            <w:r>
              <w:rPr>
                <w:sz w:val="18"/>
              </w:rPr>
              <w:t>in</w:t>
            </w:r>
            <w:r>
              <w:rPr>
                <w:spacing w:val="-5"/>
                <w:sz w:val="18"/>
              </w:rPr>
              <w:t> </w:t>
            </w:r>
            <w:r>
              <w:rPr>
                <w:spacing w:val="-2"/>
                <w:sz w:val="18"/>
              </w:rPr>
              <w:t>parentheses)</w:t>
            </w:r>
          </w:p>
        </w:tc>
        <w:tc>
          <w:tcPr>
            <w:tcW w:w="1441" w:type="dxa"/>
          </w:tcPr>
          <w:p>
            <w:pPr>
              <w:pStyle w:val="TableParagraph"/>
              <w:spacing w:line="240" w:lineRule="auto" w:before="0"/>
              <w:rPr>
                <w:rFonts w:ascii="Times New Roman"/>
                <w:sz w:val="18"/>
              </w:rPr>
            </w:pPr>
          </w:p>
        </w:tc>
        <w:tc>
          <w:tcPr>
            <w:tcW w:w="1383" w:type="dxa"/>
          </w:tcPr>
          <w:p>
            <w:pPr>
              <w:pStyle w:val="TableParagraph"/>
              <w:spacing w:line="240" w:lineRule="auto" w:before="0"/>
              <w:rPr>
                <w:rFonts w:ascii="Times New Roman"/>
                <w:sz w:val="18"/>
              </w:rPr>
            </w:pPr>
          </w:p>
        </w:tc>
        <w:tc>
          <w:tcPr>
            <w:tcW w:w="1462" w:type="dxa"/>
          </w:tcPr>
          <w:p>
            <w:pPr>
              <w:pStyle w:val="TableParagraph"/>
              <w:spacing w:line="240" w:lineRule="auto" w:before="0"/>
              <w:rPr>
                <w:rFonts w:ascii="Times New Roman"/>
                <w:sz w:val="18"/>
              </w:rPr>
            </w:pPr>
          </w:p>
        </w:tc>
        <w:tc>
          <w:tcPr>
            <w:tcW w:w="1386" w:type="dxa"/>
          </w:tcPr>
          <w:p>
            <w:pPr>
              <w:pStyle w:val="TableParagraph"/>
              <w:spacing w:line="240" w:lineRule="auto" w:before="0"/>
              <w:rPr>
                <w:rFonts w:ascii="Times New Roman"/>
                <w:sz w:val="18"/>
              </w:rPr>
            </w:pPr>
          </w:p>
        </w:tc>
        <w:tc>
          <w:tcPr>
            <w:tcW w:w="2833" w:type="dxa"/>
          </w:tcPr>
          <w:p>
            <w:pPr>
              <w:pStyle w:val="TableParagraph"/>
              <w:spacing w:line="240" w:lineRule="auto" w:before="0"/>
              <w:rPr>
                <w:rFonts w:ascii="Times New Roman"/>
                <w:sz w:val="18"/>
              </w:rPr>
            </w:pPr>
          </w:p>
        </w:tc>
      </w:tr>
      <w:tr>
        <w:trPr>
          <w:trHeight w:val="224" w:hRule="atLeast"/>
        </w:trPr>
        <w:tc>
          <w:tcPr>
            <w:tcW w:w="1467" w:type="dxa"/>
          </w:tcPr>
          <w:p>
            <w:pPr>
              <w:pStyle w:val="TableParagraph"/>
              <w:spacing w:before="5"/>
              <w:ind w:right="81"/>
              <w:jc w:val="center"/>
              <w:rPr>
                <w:sz w:val="18"/>
              </w:rPr>
            </w:pPr>
            <w:r>
              <w:rPr>
                <w:spacing w:val="-2"/>
                <w:sz w:val="18"/>
              </w:rPr>
              <w:t>D(RGDP)</w:t>
            </w:r>
          </w:p>
        </w:tc>
        <w:tc>
          <w:tcPr>
            <w:tcW w:w="1266" w:type="dxa"/>
          </w:tcPr>
          <w:p>
            <w:pPr>
              <w:pStyle w:val="TableParagraph"/>
              <w:spacing w:before="5"/>
              <w:ind w:left="38" w:right="48"/>
              <w:jc w:val="center"/>
              <w:rPr>
                <w:sz w:val="18"/>
              </w:rPr>
            </w:pPr>
            <w:r>
              <w:rPr>
                <w:spacing w:val="-2"/>
                <w:sz w:val="18"/>
              </w:rPr>
              <w:t>-0.135309</w:t>
            </w:r>
          </w:p>
        </w:tc>
        <w:tc>
          <w:tcPr>
            <w:tcW w:w="1561" w:type="dxa"/>
          </w:tcPr>
          <w:p>
            <w:pPr>
              <w:pStyle w:val="TableParagraph"/>
              <w:spacing w:before="5"/>
              <w:ind w:left="48" w:right="48"/>
              <w:jc w:val="center"/>
              <w:rPr>
                <w:sz w:val="18"/>
              </w:rPr>
            </w:pPr>
            <w:r>
              <w:rPr>
                <w:spacing w:val="-2"/>
                <w:sz w:val="18"/>
              </w:rPr>
              <w:t>-0.160478</w:t>
            </w:r>
          </w:p>
        </w:tc>
        <w:tc>
          <w:tcPr>
            <w:tcW w:w="1350" w:type="dxa"/>
          </w:tcPr>
          <w:p>
            <w:pPr>
              <w:pStyle w:val="TableParagraph"/>
              <w:spacing w:before="5"/>
              <w:ind w:left="51" w:right="74"/>
              <w:jc w:val="center"/>
              <w:rPr>
                <w:sz w:val="18"/>
              </w:rPr>
            </w:pPr>
            <w:r>
              <w:rPr>
                <w:spacing w:val="-2"/>
                <w:sz w:val="18"/>
              </w:rPr>
              <w:t>41.92001</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(0.05623)</w:t>
            </w:r>
          </w:p>
        </w:tc>
        <w:tc>
          <w:tcPr>
            <w:tcW w:w="1561" w:type="dxa"/>
          </w:tcPr>
          <w:p>
            <w:pPr>
              <w:pStyle w:val="TableParagraph"/>
              <w:ind w:left="52" w:right="4"/>
              <w:jc w:val="center"/>
              <w:rPr>
                <w:sz w:val="18"/>
              </w:rPr>
            </w:pPr>
            <w:r>
              <w:rPr>
                <w:spacing w:val="-2"/>
                <w:sz w:val="18"/>
              </w:rPr>
              <w:t>(0.08657)</w:t>
            </w:r>
          </w:p>
        </w:tc>
        <w:tc>
          <w:tcPr>
            <w:tcW w:w="1350" w:type="dxa"/>
          </w:tcPr>
          <w:p>
            <w:pPr>
              <w:pStyle w:val="TableParagraph"/>
              <w:ind w:left="52" w:right="74"/>
              <w:jc w:val="center"/>
              <w:rPr>
                <w:sz w:val="18"/>
              </w:rPr>
            </w:pPr>
            <w:r>
              <w:rPr>
                <w:spacing w:val="-2"/>
                <w:sz w:val="18"/>
              </w:rPr>
              <w:t>(22.0006)</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2" w:right="81"/>
              <w:jc w:val="center"/>
              <w:rPr>
                <w:sz w:val="18"/>
              </w:rPr>
            </w:pPr>
            <w:r>
              <w:rPr>
                <w:spacing w:val="-2"/>
                <w:sz w:val="18"/>
              </w:rPr>
              <w:t>D(FDI)</w:t>
            </w:r>
          </w:p>
        </w:tc>
        <w:tc>
          <w:tcPr>
            <w:tcW w:w="1266" w:type="dxa"/>
          </w:tcPr>
          <w:p>
            <w:pPr>
              <w:pStyle w:val="TableParagraph"/>
              <w:ind w:left="47" w:right="10"/>
              <w:jc w:val="center"/>
              <w:rPr>
                <w:sz w:val="18"/>
              </w:rPr>
            </w:pPr>
            <w:r>
              <w:rPr>
                <w:spacing w:val="-2"/>
                <w:sz w:val="18"/>
              </w:rPr>
              <w:t>0.003694</w:t>
            </w:r>
          </w:p>
        </w:tc>
        <w:tc>
          <w:tcPr>
            <w:tcW w:w="1561" w:type="dxa"/>
          </w:tcPr>
          <w:p>
            <w:pPr>
              <w:pStyle w:val="TableParagraph"/>
              <w:ind w:left="48" w:right="48"/>
              <w:jc w:val="center"/>
              <w:rPr>
                <w:sz w:val="18"/>
              </w:rPr>
            </w:pPr>
            <w:r>
              <w:rPr>
                <w:spacing w:val="-2"/>
                <w:sz w:val="18"/>
              </w:rPr>
              <w:t>-0.071418</w:t>
            </w:r>
          </w:p>
        </w:tc>
        <w:tc>
          <w:tcPr>
            <w:tcW w:w="1350" w:type="dxa"/>
          </w:tcPr>
          <w:p>
            <w:pPr>
              <w:pStyle w:val="TableParagraph"/>
              <w:ind w:left="51" w:right="74"/>
              <w:jc w:val="center"/>
              <w:rPr>
                <w:sz w:val="18"/>
              </w:rPr>
            </w:pPr>
            <w:r>
              <w:rPr>
                <w:spacing w:val="-2"/>
                <w:sz w:val="18"/>
              </w:rPr>
              <w:t>1.904099</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198" w:lineRule="exact"/>
              <w:ind w:left="48" w:right="10"/>
              <w:jc w:val="center"/>
              <w:rPr>
                <w:sz w:val="18"/>
              </w:rPr>
            </w:pPr>
            <w:r>
              <w:rPr>
                <w:spacing w:val="-2"/>
                <w:sz w:val="18"/>
              </w:rPr>
              <w:t>(0.02464)</w:t>
            </w:r>
          </w:p>
        </w:tc>
        <w:tc>
          <w:tcPr>
            <w:tcW w:w="1561" w:type="dxa"/>
          </w:tcPr>
          <w:p>
            <w:pPr>
              <w:pStyle w:val="TableParagraph"/>
              <w:spacing w:line="198" w:lineRule="exact"/>
              <w:ind w:left="52" w:right="4"/>
              <w:jc w:val="center"/>
              <w:rPr>
                <w:sz w:val="18"/>
              </w:rPr>
            </w:pPr>
            <w:r>
              <w:rPr>
                <w:spacing w:val="-2"/>
                <w:sz w:val="18"/>
              </w:rPr>
              <w:t>(0.03794)</w:t>
            </w:r>
          </w:p>
        </w:tc>
        <w:tc>
          <w:tcPr>
            <w:tcW w:w="1350" w:type="dxa"/>
          </w:tcPr>
          <w:p>
            <w:pPr>
              <w:pStyle w:val="TableParagraph"/>
              <w:spacing w:line="198" w:lineRule="exact"/>
              <w:ind w:left="52" w:right="74"/>
              <w:jc w:val="center"/>
              <w:rPr>
                <w:sz w:val="18"/>
              </w:rPr>
            </w:pPr>
            <w:r>
              <w:rPr>
                <w:spacing w:val="-2"/>
                <w:sz w:val="18"/>
              </w:rPr>
              <w:t>(9.64234)</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before="5"/>
              <w:ind w:left="2" w:right="81"/>
              <w:jc w:val="center"/>
              <w:rPr>
                <w:sz w:val="18"/>
              </w:rPr>
            </w:pPr>
            <w:r>
              <w:rPr>
                <w:spacing w:val="-2"/>
                <w:sz w:val="18"/>
              </w:rPr>
              <w:t>D(FPI)</w:t>
            </w:r>
          </w:p>
        </w:tc>
        <w:tc>
          <w:tcPr>
            <w:tcW w:w="1266" w:type="dxa"/>
          </w:tcPr>
          <w:p>
            <w:pPr>
              <w:pStyle w:val="TableParagraph"/>
              <w:spacing w:before="5"/>
              <w:ind w:left="47" w:right="10"/>
              <w:jc w:val="center"/>
              <w:rPr>
                <w:sz w:val="18"/>
              </w:rPr>
            </w:pPr>
            <w:r>
              <w:rPr>
                <w:spacing w:val="-2"/>
                <w:sz w:val="18"/>
              </w:rPr>
              <w:t>0.000936</w:t>
            </w:r>
          </w:p>
        </w:tc>
        <w:tc>
          <w:tcPr>
            <w:tcW w:w="1561" w:type="dxa"/>
          </w:tcPr>
          <w:p>
            <w:pPr>
              <w:pStyle w:val="TableParagraph"/>
              <w:spacing w:before="5"/>
              <w:ind w:left="51" w:right="4"/>
              <w:jc w:val="center"/>
              <w:rPr>
                <w:sz w:val="18"/>
              </w:rPr>
            </w:pPr>
            <w:r>
              <w:rPr>
                <w:spacing w:val="-2"/>
                <w:sz w:val="18"/>
              </w:rPr>
              <w:t>0.003978</w:t>
            </w:r>
          </w:p>
        </w:tc>
        <w:tc>
          <w:tcPr>
            <w:tcW w:w="1350" w:type="dxa"/>
          </w:tcPr>
          <w:p>
            <w:pPr>
              <w:pStyle w:val="TableParagraph"/>
              <w:spacing w:before="5"/>
              <w:ind w:left="1" w:right="74"/>
              <w:jc w:val="center"/>
              <w:rPr>
                <w:sz w:val="18"/>
              </w:rPr>
            </w:pPr>
            <w:r>
              <w:rPr>
                <w:spacing w:val="-2"/>
                <w:sz w:val="18"/>
              </w:rPr>
              <w:t>-1.093001</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(0.00084)</w:t>
            </w:r>
          </w:p>
        </w:tc>
        <w:tc>
          <w:tcPr>
            <w:tcW w:w="1561" w:type="dxa"/>
          </w:tcPr>
          <w:p>
            <w:pPr>
              <w:pStyle w:val="TableParagraph"/>
              <w:ind w:left="52" w:right="4"/>
              <w:jc w:val="center"/>
              <w:rPr>
                <w:sz w:val="18"/>
              </w:rPr>
            </w:pPr>
            <w:r>
              <w:rPr>
                <w:spacing w:val="-2"/>
                <w:sz w:val="18"/>
              </w:rPr>
              <w:t>(0.00129)</w:t>
            </w:r>
          </w:p>
        </w:tc>
        <w:tc>
          <w:tcPr>
            <w:tcW w:w="1350" w:type="dxa"/>
          </w:tcPr>
          <w:p>
            <w:pPr>
              <w:pStyle w:val="TableParagraph"/>
              <w:ind w:left="52" w:right="74"/>
              <w:jc w:val="center"/>
              <w:rPr>
                <w:sz w:val="18"/>
              </w:rPr>
            </w:pPr>
            <w:r>
              <w:rPr>
                <w:spacing w:val="-2"/>
                <w:sz w:val="18"/>
              </w:rPr>
              <w:t>(0.32817)</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5" w:right="81"/>
              <w:jc w:val="center"/>
              <w:rPr>
                <w:sz w:val="18"/>
              </w:rPr>
            </w:pPr>
            <w:r>
              <w:rPr>
                <w:spacing w:val="-2"/>
                <w:sz w:val="18"/>
              </w:rPr>
              <w:t>D(TOP)</w:t>
            </w:r>
          </w:p>
        </w:tc>
        <w:tc>
          <w:tcPr>
            <w:tcW w:w="1266" w:type="dxa"/>
          </w:tcPr>
          <w:p>
            <w:pPr>
              <w:pStyle w:val="TableParagraph"/>
              <w:ind w:left="38" w:right="48"/>
              <w:jc w:val="center"/>
              <w:rPr>
                <w:sz w:val="18"/>
              </w:rPr>
            </w:pPr>
            <w:r>
              <w:rPr>
                <w:spacing w:val="-2"/>
                <w:sz w:val="18"/>
              </w:rPr>
              <w:t>-0.000637</w:t>
            </w:r>
          </w:p>
        </w:tc>
        <w:tc>
          <w:tcPr>
            <w:tcW w:w="1561" w:type="dxa"/>
          </w:tcPr>
          <w:p>
            <w:pPr>
              <w:pStyle w:val="TableParagraph"/>
              <w:ind w:left="51" w:right="4"/>
              <w:jc w:val="center"/>
              <w:rPr>
                <w:sz w:val="18"/>
              </w:rPr>
            </w:pPr>
            <w:r>
              <w:rPr>
                <w:spacing w:val="-2"/>
                <w:sz w:val="18"/>
              </w:rPr>
              <w:t>0.000173</w:t>
            </w:r>
          </w:p>
        </w:tc>
        <w:tc>
          <w:tcPr>
            <w:tcW w:w="1350" w:type="dxa"/>
          </w:tcPr>
          <w:p>
            <w:pPr>
              <w:pStyle w:val="TableParagraph"/>
              <w:ind w:left="51" w:right="74"/>
              <w:jc w:val="center"/>
              <w:rPr>
                <w:sz w:val="18"/>
              </w:rPr>
            </w:pPr>
            <w:r>
              <w:rPr>
                <w:spacing w:val="-2"/>
                <w:sz w:val="18"/>
              </w:rPr>
              <w:t>0.175546</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198" w:lineRule="exact"/>
              <w:ind w:left="48" w:right="10"/>
              <w:jc w:val="center"/>
              <w:rPr>
                <w:sz w:val="18"/>
              </w:rPr>
            </w:pPr>
            <w:r>
              <w:rPr>
                <w:spacing w:val="-2"/>
                <w:sz w:val="18"/>
              </w:rPr>
              <w:t>(0.00055)</w:t>
            </w:r>
          </w:p>
        </w:tc>
        <w:tc>
          <w:tcPr>
            <w:tcW w:w="1561" w:type="dxa"/>
          </w:tcPr>
          <w:p>
            <w:pPr>
              <w:pStyle w:val="TableParagraph"/>
              <w:spacing w:line="198" w:lineRule="exact"/>
              <w:ind w:left="52" w:right="4"/>
              <w:jc w:val="center"/>
              <w:rPr>
                <w:sz w:val="18"/>
              </w:rPr>
            </w:pPr>
            <w:r>
              <w:rPr>
                <w:spacing w:val="-2"/>
                <w:sz w:val="18"/>
              </w:rPr>
              <w:t>(0.00085)</w:t>
            </w:r>
          </w:p>
        </w:tc>
        <w:tc>
          <w:tcPr>
            <w:tcW w:w="1350" w:type="dxa"/>
          </w:tcPr>
          <w:p>
            <w:pPr>
              <w:pStyle w:val="TableParagraph"/>
              <w:spacing w:line="198" w:lineRule="exact"/>
              <w:ind w:left="52" w:right="74"/>
              <w:jc w:val="center"/>
              <w:rPr>
                <w:sz w:val="18"/>
              </w:rPr>
            </w:pPr>
            <w:r>
              <w:rPr>
                <w:spacing w:val="-2"/>
                <w:sz w:val="18"/>
              </w:rPr>
              <w:t>(0.21587)</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before="5"/>
              <w:ind w:left="2" w:right="81"/>
              <w:jc w:val="center"/>
              <w:rPr>
                <w:sz w:val="18"/>
              </w:rPr>
            </w:pPr>
            <w:r>
              <w:rPr>
                <w:spacing w:val="-2"/>
                <w:sz w:val="18"/>
              </w:rPr>
              <w:t>D(REM)</w:t>
            </w:r>
          </w:p>
        </w:tc>
        <w:tc>
          <w:tcPr>
            <w:tcW w:w="1266" w:type="dxa"/>
          </w:tcPr>
          <w:p>
            <w:pPr>
              <w:pStyle w:val="TableParagraph"/>
              <w:spacing w:before="5"/>
              <w:ind w:left="38" w:right="48"/>
              <w:jc w:val="center"/>
              <w:rPr>
                <w:sz w:val="18"/>
              </w:rPr>
            </w:pPr>
            <w:r>
              <w:rPr>
                <w:spacing w:val="-2"/>
                <w:sz w:val="18"/>
              </w:rPr>
              <w:t>-0.020221</w:t>
            </w:r>
          </w:p>
        </w:tc>
        <w:tc>
          <w:tcPr>
            <w:tcW w:w="1561" w:type="dxa"/>
          </w:tcPr>
          <w:p>
            <w:pPr>
              <w:pStyle w:val="TableParagraph"/>
              <w:spacing w:before="5"/>
              <w:ind w:left="51" w:right="4"/>
              <w:jc w:val="center"/>
              <w:rPr>
                <w:sz w:val="18"/>
              </w:rPr>
            </w:pPr>
            <w:r>
              <w:rPr>
                <w:spacing w:val="-2"/>
                <w:sz w:val="18"/>
              </w:rPr>
              <w:t>0.037286</w:t>
            </w:r>
          </w:p>
        </w:tc>
        <w:tc>
          <w:tcPr>
            <w:tcW w:w="1350" w:type="dxa"/>
          </w:tcPr>
          <w:p>
            <w:pPr>
              <w:pStyle w:val="TableParagraph"/>
              <w:spacing w:before="5"/>
              <w:ind w:left="51" w:right="74"/>
              <w:jc w:val="center"/>
              <w:rPr>
                <w:sz w:val="18"/>
              </w:rPr>
            </w:pPr>
            <w:r>
              <w:rPr>
                <w:spacing w:val="-2"/>
                <w:sz w:val="18"/>
              </w:rPr>
              <w:t>2.002309</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(0.01906)</w:t>
            </w:r>
          </w:p>
        </w:tc>
        <w:tc>
          <w:tcPr>
            <w:tcW w:w="1561" w:type="dxa"/>
          </w:tcPr>
          <w:p>
            <w:pPr>
              <w:pStyle w:val="TableParagraph"/>
              <w:ind w:left="52" w:right="4"/>
              <w:jc w:val="center"/>
              <w:rPr>
                <w:sz w:val="18"/>
              </w:rPr>
            </w:pPr>
            <w:r>
              <w:rPr>
                <w:spacing w:val="-2"/>
                <w:sz w:val="18"/>
              </w:rPr>
              <w:t>(0.02935)</w:t>
            </w:r>
          </w:p>
        </w:tc>
        <w:tc>
          <w:tcPr>
            <w:tcW w:w="1350" w:type="dxa"/>
          </w:tcPr>
          <w:p>
            <w:pPr>
              <w:pStyle w:val="TableParagraph"/>
              <w:ind w:left="52" w:right="74"/>
              <w:jc w:val="center"/>
              <w:rPr>
                <w:sz w:val="18"/>
              </w:rPr>
            </w:pPr>
            <w:r>
              <w:rPr>
                <w:spacing w:val="-2"/>
                <w:sz w:val="18"/>
              </w:rPr>
              <w:t>(7.45890)</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right="81"/>
              <w:jc w:val="center"/>
              <w:rPr>
                <w:sz w:val="18"/>
              </w:rPr>
            </w:pPr>
            <w:r>
              <w:rPr>
                <w:spacing w:val="-2"/>
                <w:sz w:val="18"/>
              </w:rPr>
              <w:t>D(ODA)</w:t>
            </w:r>
          </w:p>
        </w:tc>
        <w:tc>
          <w:tcPr>
            <w:tcW w:w="1266" w:type="dxa"/>
          </w:tcPr>
          <w:p>
            <w:pPr>
              <w:pStyle w:val="TableParagraph"/>
              <w:ind w:left="47" w:right="10"/>
              <w:jc w:val="center"/>
              <w:rPr>
                <w:sz w:val="18"/>
              </w:rPr>
            </w:pPr>
            <w:r>
              <w:rPr>
                <w:spacing w:val="-2"/>
                <w:sz w:val="18"/>
              </w:rPr>
              <w:t>0.429043</w:t>
            </w:r>
          </w:p>
        </w:tc>
        <w:tc>
          <w:tcPr>
            <w:tcW w:w="1561" w:type="dxa"/>
          </w:tcPr>
          <w:p>
            <w:pPr>
              <w:pStyle w:val="TableParagraph"/>
              <w:ind w:left="48" w:right="48"/>
              <w:jc w:val="center"/>
              <w:rPr>
                <w:sz w:val="18"/>
              </w:rPr>
            </w:pPr>
            <w:r>
              <w:rPr>
                <w:spacing w:val="-2"/>
                <w:sz w:val="18"/>
              </w:rPr>
              <w:t>-0.481763</w:t>
            </w:r>
          </w:p>
        </w:tc>
        <w:tc>
          <w:tcPr>
            <w:tcW w:w="1350" w:type="dxa"/>
          </w:tcPr>
          <w:p>
            <w:pPr>
              <w:pStyle w:val="TableParagraph"/>
              <w:ind w:left="1" w:right="74"/>
              <w:jc w:val="center"/>
              <w:rPr>
                <w:sz w:val="18"/>
              </w:rPr>
            </w:pPr>
            <w:r>
              <w:rPr>
                <w:spacing w:val="-2"/>
                <w:sz w:val="18"/>
              </w:rPr>
              <w:t>-115.5846</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198" w:lineRule="exact"/>
              <w:ind w:left="48" w:right="10"/>
              <w:jc w:val="center"/>
              <w:rPr>
                <w:sz w:val="18"/>
              </w:rPr>
            </w:pPr>
            <w:r>
              <w:rPr>
                <w:spacing w:val="-2"/>
                <w:sz w:val="18"/>
              </w:rPr>
              <w:t>(0.15352)</w:t>
            </w:r>
          </w:p>
        </w:tc>
        <w:tc>
          <w:tcPr>
            <w:tcW w:w="1561" w:type="dxa"/>
          </w:tcPr>
          <w:p>
            <w:pPr>
              <w:pStyle w:val="TableParagraph"/>
              <w:spacing w:line="198" w:lineRule="exact"/>
              <w:ind w:left="52" w:right="4"/>
              <w:jc w:val="center"/>
              <w:rPr>
                <w:sz w:val="18"/>
              </w:rPr>
            </w:pPr>
            <w:r>
              <w:rPr>
                <w:spacing w:val="-2"/>
                <w:sz w:val="18"/>
              </w:rPr>
              <w:t>(0.23636)</w:t>
            </w:r>
          </w:p>
        </w:tc>
        <w:tc>
          <w:tcPr>
            <w:tcW w:w="1350" w:type="dxa"/>
          </w:tcPr>
          <w:p>
            <w:pPr>
              <w:pStyle w:val="TableParagraph"/>
              <w:spacing w:line="198" w:lineRule="exact"/>
              <w:ind w:left="52" w:right="74"/>
              <w:jc w:val="center"/>
              <w:rPr>
                <w:sz w:val="18"/>
              </w:rPr>
            </w:pPr>
            <w:r>
              <w:rPr>
                <w:spacing w:val="-2"/>
                <w:sz w:val="18"/>
              </w:rPr>
              <w:t>(60.0658)</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before="5"/>
              <w:ind w:right="81"/>
              <w:jc w:val="center"/>
              <w:rPr>
                <w:sz w:val="18"/>
              </w:rPr>
            </w:pPr>
            <w:r>
              <w:rPr>
                <w:spacing w:val="-2"/>
                <w:sz w:val="18"/>
              </w:rPr>
              <w:t>D(CPS_GDP)</w:t>
            </w:r>
          </w:p>
        </w:tc>
        <w:tc>
          <w:tcPr>
            <w:tcW w:w="1266" w:type="dxa"/>
          </w:tcPr>
          <w:p>
            <w:pPr>
              <w:pStyle w:val="TableParagraph"/>
              <w:spacing w:before="5"/>
              <w:ind w:left="47" w:right="10"/>
              <w:jc w:val="center"/>
              <w:rPr>
                <w:sz w:val="18"/>
              </w:rPr>
            </w:pPr>
            <w:r>
              <w:rPr>
                <w:spacing w:val="-2"/>
                <w:sz w:val="18"/>
              </w:rPr>
              <w:t>0.000317</w:t>
            </w:r>
          </w:p>
        </w:tc>
        <w:tc>
          <w:tcPr>
            <w:tcW w:w="1561" w:type="dxa"/>
          </w:tcPr>
          <w:p>
            <w:pPr>
              <w:pStyle w:val="TableParagraph"/>
              <w:spacing w:before="5"/>
              <w:ind w:left="48" w:right="48"/>
              <w:jc w:val="center"/>
              <w:rPr>
                <w:sz w:val="18"/>
              </w:rPr>
            </w:pPr>
            <w:r>
              <w:rPr>
                <w:spacing w:val="-2"/>
                <w:sz w:val="18"/>
              </w:rPr>
              <w:t>-0.000747</w:t>
            </w:r>
          </w:p>
        </w:tc>
        <w:tc>
          <w:tcPr>
            <w:tcW w:w="1350" w:type="dxa"/>
          </w:tcPr>
          <w:p>
            <w:pPr>
              <w:pStyle w:val="TableParagraph"/>
              <w:spacing w:before="5"/>
              <w:ind w:left="51" w:right="74"/>
              <w:jc w:val="center"/>
              <w:rPr>
                <w:sz w:val="18"/>
              </w:rPr>
            </w:pPr>
            <w:r>
              <w:rPr>
                <w:spacing w:val="-2"/>
                <w:sz w:val="18"/>
              </w:rPr>
              <w:t>0.020463</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(0.00016)</w:t>
            </w:r>
          </w:p>
        </w:tc>
        <w:tc>
          <w:tcPr>
            <w:tcW w:w="1561" w:type="dxa"/>
          </w:tcPr>
          <w:p>
            <w:pPr>
              <w:pStyle w:val="TableParagraph"/>
              <w:ind w:left="52" w:right="4"/>
              <w:jc w:val="center"/>
              <w:rPr>
                <w:sz w:val="18"/>
              </w:rPr>
            </w:pPr>
            <w:r>
              <w:rPr>
                <w:spacing w:val="-2"/>
                <w:sz w:val="18"/>
              </w:rPr>
              <w:t>(0.00025)</w:t>
            </w:r>
          </w:p>
        </w:tc>
        <w:tc>
          <w:tcPr>
            <w:tcW w:w="1350" w:type="dxa"/>
          </w:tcPr>
          <w:p>
            <w:pPr>
              <w:pStyle w:val="TableParagraph"/>
              <w:ind w:left="52" w:right="74"/>
              <w:jc w:val="center"/>
              <w:rPr>
                <w:sz w:val="18"/>
              </w:rPr>
            </w:pPr>
            <w:r>
              <w:rPr>
                <w:spacing w:val="-2"/>
                <w:sz w:val="18"/>
              </w:rPr>
              <w:t>(0.06347)</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2" w:right="81"/>
              <w:jc w:val="center"/>
              <w:rPr>
                <w:sz w:val="18"/>
              </w:rPr>
            </w:pPr>
            <w:r>
              <w:rPr>
                <w:spacing w:val="-2"/>
                <w:sz w:val="18"/>
              </w:rPr>
              <w:t>D(INT)</w:t>
            </w:r>
          </w:p>
        </w:tc>
        <w:tc>
          <w:tcPr>
            <w:tcW w:w="1266" w:type="dxa"/>
          </w:tcPr>
          <w:p>
            <w:pPr>
              <w:pStyle w:val="TableParagraph"/>
              <w:ind w:left="38" w:right="48"/>
              <w:jc w:val="center"/>
              <w:rPr>
                <w:sz w:val="18"/>
              </w:rPr>
            </w:pPr>
            <w:r>
              <w:rPr>
                <w:spacing w:val="-2"/>
                <w:sz w:val="18"/>
              </w:rPr>
              <w:t>-0.000396</w:t>
            </w:r>
          </w:p>
        </w:tc>
        <w:tc>
          <w:tcPr>
            <w:tcW w:w="1561" w:type="dxa"/>
          </w:tcPr>
          <w:p>
            <w:pPr>
              <w:pStyle w:val="TableParagraph"/>
              <w:ind w:left="48" w:right="48"/>
              <w:jc w:val="center"/>
              <w:rPr>
                <w:sz w:val="18"/>
              </w:rPr>
            </w:pPr>
            <w:r>
              <w:rPr>
                <w:spacing w:val="-2"/>
                <w:sz w:val="18"/>
              </w:rPr>
              <w:t>-0.000264</w:t>
            </w:r>
          </w:p>
        </w:tc>
        <w:tc>
          <w:tcPr>
            <w:tcW w:w="1350" w:type="dxa"/>
          </w:tcPr>
          <w:p>
            <w:pPr>
              <w:pStyle w:val="TableParagraph"/>
              <w:ind w:left="51" w:right="74"/>
              <w:jc w:val="center"/>
              <w:rPr>
                <w:sz w:val="18"/>
              </w:rPr>
            </w:pPr>
            <w:r>
              <w:rPr>
                <w:spacing w:val="-2"/>
                <w:sz w:val="18"/>
              </w:rPr>
              <w:t>0.154749</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198" w:lineRule="exact"/>
              <w:ind w:left="48" w:right="10"/>
              <w:jc w:val="center"/>
              <w:rPr>
                <w:sz w:val="18"/>
              </w:rPr>
            </w:pPr>
            <w:r>
              <w:rPr>
                <w:spacing w:val="-2"/>
                <w:sz w:val="18"/>
              </w:rPr>
              <w:t>(0.00034)</w:t>
            </w:r>
          </w:p>
        </w:tc>
        <w:tc>
          <w:tcPr>
            <w:tcW w:w="1561" w:type="dxa"/>
          </w:tcPr>
          <w:p>
            <w:pPr>
              <w:pStyle w:val="TableParagraph"/>
              <w:spacing w:line="198" w:lineRule="exact"/>
              <w:ind w:left="52" w:right="4"/>
              <w:jc w:val="center"/>
              <w:rPr>
                <w:sz w:val="18"/>
              </w:rPr>
            </w:pPr>
            <w:r>
              <w:rPr>
                <w:spacing w:val="-2"/>
                <w:sz w:val="18"/>
              </w:rPr>
              <w:t>(0.00053)</w:t>
            </w:r>
          </w:p>
        </w:tc>
        <w:tc>
          <w:tcPr>
            <w:tcW w:w="1350" w:type="dxa"/>
          </w:tcPr>
          <w:p>
            <w:pPr>
              <w:pStyle w:val="TableParagraph"/>
              <w:spacing w:line="198" w:lineRule="exact"/>
              <w:ind w:left="52" w:right="74"/>
              <w:jc w:val="center"/>
              <w:rPr>
                <w:sz w:val="18"/>
              </w:rPr>
            </w:pPr>
            <w:r>
              <w:rPr>
                <w:spacing w:val="-2"/>
                <w:sz w:val="18"/>
              </w:rPr>
              <w:t>(0.13380)</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before="5"/>
              <w:ind w:right="81"/>
              <w:jc w:val="center"/>
              <w:rPr>
                <w:sz w:val="18"/>
              </w:rPr>
            </w:pPr>
            <w:r>
              <w:rPr>
                <w:spacing w:val="-2"/>
                <w:sz w:val="18"/>
              </w:rPr>
              <w:t>D(EXCH)</w:t>
            </w:r>
          </w:p>
        </w:tc>
        <w:tc>
          <w:tcPr>
            <w:tcW w:w="1266" w:type="dxa"/>
          </w:tcPr>
          <w:p>
            <w:pPr>
              <w:pStyle w:val="TableParagraph"/>
              <w:spacing w:before="5"/>
              <w:ind w:left="38" w:right="47"/>
              <w:jc w:val="center"/>
              <w:rPr>
                <w:sz w:val="18"/>
              </w:rPr>
            </w:pPr>
            <w:r>
              <w:rPr>
                <w:spacing w:val="-2"/>
                <w:sz w:val="18"/>
              </w:rPr>
              <w:t>-8.20E-</w:t>
            </w:r>
            <w:r>
              <w:rPr>
                <w:spacing w:val="-5"/>
                <w:sz w:val="18"/>
              </w:rPr>
              <w:t>05</w:t>
            </w:r>
          </w:p>
        </w:tc>
        <w:tc>
          <w:tcPr>
            <w:tcW w:w="1561" w:type="dxa"/>
          </w:tcPr>
          <w:p>
            <w:pPr>
              <w:pStyle w:val="TableParagraph"/>
              <w:spacing w:before="5"/>
              <w:ind w:left="48" w:right="48"/>
              <w:jc w:val="center"/>
              <w:rPr>
                <w:sz w:val="18"/>
              </w:rPr>
            </w:pPr>
            <w:r>
              <w:rPr>
                <w:spacing w:val="-2"/>
                <w:sz w:val="18"/>
              </w:rPr>
              <w:t>-0.004848</w:t>
            </w:r>
          </w:p>
        </w:tc>
        <w:tc>
          <w:tcPr>
            <w:tcW w:w="1350" w:type="dxa"/>
          </w:tcPr>
          <w:p>
            <w:pPr>
              <w:pStyle w:val="TableParagraph"/>
              <w:spacing w:before="5"/>
              <w:ind w:left="51" w:right="74"/>
              <w:jc w:val="center"/>
              <w:rPr>
                <w:sz w:val="18"/>
              </w:rPr>
            </w:pPr>
            <w:r>
              <w:rPr>
                <w:spacing w:val="-2"/>
                <w:sz w:val="18"/>
              </w:rPr>
              <w:t>0.336784</w:t>
            </w:r>
          </w:p>
        </w:tc>
        <w:tc>
          <w:tcPr>
            <w:tcW w:w="1441" w:type="dxa"/>
          </w:tcPr>
          <w:p>
            <w:pPr>
              <w:pStyle w:val="TableParagraph"/>
              <w:spacing w:line="240" w:lineRule="auto" w:before="0"/>
              <w:rPr>
                <w:rFonts w:ascii="Times New Roman"/>
                <w:sz w:val="16"/>
              </w:rPr>
            </w:pPr>
          </w:p>
        </w:tc>
        <w:tc>
          <w:tcPr>
            <w:tcW w:w="1383" w:type="dxa"/>
          </w:tcPr>
          <w:p>
            <w:pPr>
              <w:pStyle w:val="TableParagraph"/>
              <w:spacing w:line="240" w:lineRule="auto" w:before="0"/>
              <w:rPr>
                <w:rFonts w:ascii="Times New Roman"/>
                <w:sz w:val="16"/>
              </w:rPr>
            </w:pPr>
          </w:p>
        </w:tc>
        <w:tc>
          <w:tcPr>
            <w:tcW w:w="1462" w:type="dxa"/>
          </w:tcPr>
          <w:p>
            <w:pPr>
              <w:pStyle w:val="TableParagraph"/>
              <w:spacing w:line="240" w:lineRule="auto" w:before="0"/>
              <w:rPr>
                <w:rFonts w:ascii="Times New Roman"/>
                <w:sz w:val="16"/>
              </w:rPr>
            </w:pPr>
          </w:p>
        </w:tc>
        <w:tc>
          <w:tcPr>
            <w:tcW w:w="1386" w:type="dxa"/>
          </w:tcPr>
          <w:p>
            <w:pPr>
              <w:pStyle w:val="TableParagraph"/>
              <w:spacing w:line="240" w:lineRule="auto" w:before="0"/>
              <w:rPr>
                <w:rFonts w:ascii="Times New Roman"/>
                <w:sz w:val="16"/>
              </w:rPr>
            </w:pPr>
          </w:p>
        </w:tc>
        <w:tc>
          <w:tcPr>
            <w:tcW w:w="2833" w:type="dxa"/>
          </w:tcPr>
          <w:p>
            <w:pPr>
              <w:pStyle w:val="TableParagraph"/>
              <w:spacing w:line="240" w:lineRule="auto" w:before="0"/>
              <w:rPr>
                <w:rFonts w:ascii="Times New Roman"/>
                <w:sz w:val="16"/>
              </w:rPr>
            </w:pPr>
          </w:p>
        </w:tc>
      </w:tr>
      <w:tr>
        <w:trPr>
          <w:trHeight w:val="303" w:hRule="atLeast"/>
        </w:trPr>
        <w:tc>
          <w:tcPr>
            <w:tcW w:w="1467" w:type="dxa"/>
            <w:tcBorders>
              <w:bottom w:val="double" w:sz="6" w:space="0" w:color="000000"/>
            </w:tcBorders>
          </w:tcPr>
          <w:p>
            <w:pPr>
              <w:pStyle w:val="TableParagraph"/>
              <w:spacing w:line="240" w:lineRule="auto" w:before="0"/>
              <w:rPr>
                <w:rFonts w:ascii="Times New Roman"/>
                <w:sz w:val="18"/>
              </w:rPr>
            </w:pPr>
          </w:p>
        </w:tc>
        <w:tc>
          <w:tcPr>
            <w:tcW w:w="1266" w:type="dxa"/>
            <w:tcBorders>
              <w:bottom w:val="double" w:sz="6" w:space="0" w:color="000000"/>
            </w:tcBorders>
          </w:tcPr>
          <w:p>
            <w:pPr>
              <w:pStyle w:val="TableParagraph"/>
              <w:spacing w:line="240" w:lineRule="auto"/>
              <w:ind w:left="48" w:right="10"/>
              <w:jc w:val="center"/>
              <w:rPr>
                <w:sz w:val="18"/>
              </w:rPr>
            </w:pPr>
            <w:r>
              <w:rPr>
                <w:spacing w:val="-2"/>
                <w:sz w:val="18"/>
              </w:rPr>
              <w:t>(0.00122)</w:t>
            </w:r>
          </w:p>
        </w:tc>
        <w:tc>
          <w:tcPr>
            <w:tcW w:w="1561" w:type="dxa"/>
            <w:tcBorders>
              <w:bottom w:val="double" w:sz="6" w:space="0" w:color="000000"/>
            </w:tcBorders>
          </w:tcPr>
          <w:p>
            <w:pPr>
              <w:pStyle w:val="TableParagraph"/>
              <w:spacing w:line="240" w:lineRule="auto"/>
              <w:ind w:left="52" w:right="4"/>
              <w:jc w:val="center"/>
              <w:rPr>
                <w:sz w:val="18"/>
              </w:rPr>
            </w:pPr>
            <w:r>
              <w:rPr>
                <w:spacing w:val="-2"/>
                <w:sz w:val="18"/>
              </w:rPr>
              <w:t>(0.00189)</w:t>
            </w:r>
          </w:p>
        </w:tc>
        <w:tc>
          <w:tcPr>
            <w:tcW w:w="1350" w:type="dxa"/>
            <w:tcBorders>
              <w:bottom w:val="double" w:sz="6" w:space="0" w:color="000000"/>
            </w:tcBorders>
          </w:tcPr>
          <w:p>
            <w:pPr>
              <w:pStyle w:val="TableParagraph"/>
              <w:spacing w:line="240" w:lineRule="auto"/>
              <w:ind w:left="52" w:right="74"/>
              <w:jc w:val="center"/>
              <w:rPr>
                <w:sz w:val="18"/>
              </w:rPr>
            </w:pPr>
            <w:r>
              <w:rPr>
                <w:spacing w:val="-2"/>
                <w:sz w:val="18"/>
              </w:rPr>
              <w:t>(0.47922)</w:t>
            </w:r>
          </w:p>
        </w:tc>
        <w:tc>
          <w:tcPr>
            <w:tcW w:w="1441" w:type="dxa"/>
            <w:tcBorders>
              <w:bottom w:val="double" w:sz="6" w:space="0" w:color="000000"/>
            </w:tcBorders>
          </w:tcPr>
          <w:p>
            <w:pPr>
              <w:pStyle w:val="TableParagraph"/>
              <w:spacing w:line="240" w:lineRule="auto" w:before="0"/>
              <w:rPr>
                <w:rFonts w:ascii="Times New Roman"/>
                <w:sz w:val="18"/>
              </w:rPr>
            </w:pPr>
          </w:p>
        </w:tc>
        <w:tc>
          <w:tcPr>
            <w:tcW w:w="1383" w:type="dxa"/>
            <w:tcBorders>
              <w:bottom w:val="double" w:sz="6" w:space="0" w:color="000000"/>
            </w:tcBorders>
          </w:tcPr>
          <w:p>
            <w:pPr>
              <w:pStyle w:val="TableParagraph"/>
              <w:spacing w:line="240" w:lineRule="auto" w:before="0"/>
              <w:rPr>
                <w:rFonts w:ascii="Times New Roman"/>
                <w:sz w:val="18"/>
              </w:rPr>
            </w:pPr>
          </w:p>
        </w:tc>
        <w:tc>
          <w:tcPr>
            <w:tcW w:w="1462" w:type="dxa"/>
            <w:tcBorders>
              <w:bottom w:val="double" w:sz="6" w:space="0" w:color="000000"/>
            </w:tcBorders>
          </w:tcPr>
          <w:p>
            <w:pPr>
              <w:pStyle w:val="TableParagraph"/>
              <w:spacing w:line="240" w:lineRule="auto" w:before="0"/>
              <w:rPr>
                <w:rFonts w:ascii="Times New Roman"/>
                <w:sz w:val="18"/>
              </w:rPr>
            </w:pPr>
          </w:p>
        </w:tc>
        <w:tc>
          <w:tcPr>
            <w:tcW w:w="1386" w:type="dxa"/>
            <w:tcBorders>
              <w:bottom w:val="double" w:sz="6" w:space="0" w:color="000000"/>
            </w:tcBorders>
          </w:tcPr>
          <w:p>
            <w:pPr>
              <w:pStyle w:val="TableParagraph"/>
              <w:spacing w:line="240" w:lineRule="auto" w:before="0"/>
              <w:rPr>
                <w:rFonts w:ascii="Times New Roman"/>
                <w:sz w:val="18"/>
              </w:rPr>
            </w:pPr>
          </w:p>
        </w:tc>
        <w:tc>
          <w:tcPr>
            <w:tcW w:w="2833" w:type="dxa"/>
            <w:tcBorders>
              <w:bottom w:val="double" w:sz="6" w:space="0" w:color="000000"/>
            </w:tcBorders>
          </w:tcPr>
          <w:p>
            <w:pPr>
              <w:pStyle w:val="TableParagraph"/>
              <w:spacing w:line="240" w:lineRule="auto" w:before="0"/>
              <w:rPr>
                <w:rFonts w:ascii="Times New Roman"/>
                <w:sz w:val="18"/>
              </w:rPr>
            </w:pPr>
          </w:p>
        </w:tc>
      </w:tr>
    </w:tbl>
    <w:p>
      <w:pPr>
        <w:spacing w:after="0" w:line="240" w:lineRule="auto"/>
        <w:rPr>
          <w:rFonts w:ascii="Times New Roman"/>
          <w:sz w:val="18"/>
        </w:rPr>
        <w:sectPr>
          <w:pgSz w:w="15840" w:h="12240" w:orient="landscape"/>
          <w:pgMar w:header="0" w:footer="1012" w:top="1380" w:bottom="1200" w:left="1340" w:right="120"/>
        </w:sectPr>
      </w:pPr>
    </w:p>
    <w:p>
      <w:pPr>
        <w:pStyle w:val="BodyText"/>
        <w:spacing w:before="4"/>
        <w:ind w:left="0"/>
        <w:rPr>
          <w:b/>
          <w:sz w:val="7"/>
        </w:rPr>
      </w:pP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7"/>
        <w:gridCol w:w="1266"/>
        <w:gridCol w:w="1561"/>
        <w:gridCol w:w="1350"/>
        <w:gridCol w:w="1418"/>
        <w:gridCol w:w="1406"/>
        <w:gridCol w:w="1439"/>
        <w:gridCol w:w="1409"/>
        <w:gridCol w:w="2834"/>
      </w:tblGrid>
      <w:tr>
        <w:trPr>
          <w:trHeight w:val="289" w:hRule="atLeast"/>
        </w:trPr>
        <w:tc>
          <w:tcPr>
            <w:tcW w:w="2733" w:type="dxa"/>
            <w:gridSpan w:val="2"/>
            <w:tcBorders>
              <w:bottom w:val="double" w:sz="6" w:space="0" w:color="000000"/>
            </w:tcBorders>
          </w:tcPr>
          <w:p>
            <w:pPr>
              <w:pStyle w:val="TableParagraph"/>
              <w:spacing w:line="201" w:lineRule="exact" w:before="0"/>
              <w:rPr>
                <w:sz w:val="18"/>
              </w:rPr>
            </w:pPr>
            <w:r>
              <w:rPr>
                <w:sz w:val="18"/>
              </w:rPr>
              <w:t>4</w:t>
            </w:r>
            <w:r>
              <w:rPr>
                <w:spacing w:val="-5"/>
                <w:sz w:val="18"/>
              </w:rPr>
              <w:t> </w:t>
            </w:r>
            <w:r>
              <w:rPr>
                <w:sz w:val="18"/>
              </w:rPr>
              <w:t>Cointegrating</w:t>
            </w:r>
            <w:r>
              <w:rPr>
                <w:spacing w:val="-5"/>
                <w:sz w:val="18"/>
              </w:rPr>
              <w:t> </w:t>
            </w:r>
            <w:r>
              <w:rPr>
                <w:spacing w:val="-2"/>
                <w:sz w:val="18"/>
              </w:rPr>
              <w:t>Equation(s):</w:t>
            </w:r>
          </w:p>
        </w:tc>
        <w:tc>
          <w:tcPr>
            <w:tcW w:w="1561" w:type="dxa"/>
            <w:tcBorders>
              <w:bottom w:val="double" w:sz="6" w:space="0" w:color="000000"/>
            </w:tcBorders>
          </w:tcPr>
          <w:p>
            <w:pPr>
              <w:pStyle w:val="TableParagraph"/>
              <w:spacing w:line="201" w:lineRule="exact" w:before="0"/>
              <w:ind w:left="48" w:right="51"/>
              <w:jc w:val="center"/>
              <w:rPr>
                <w:sz w:val="18"/>
              </w:rPr>
            </w:pPr>
            <w:r>
              <w:rPr>
                <w:sz w:val="18"/>
              </w:rPr>
              <w:t>Log</w:t>
            </w:r>
            <w:r>
              <w:rPr>
                <w:spacing w:val="-3"/>
                <w:sz w:val="18"/>
              </w:rPr>
              <w:t> </w:t>
            </w:r>
            <w:r>
              <w:rPr>
                <w:spacing w:val="-2"/>
                <w:sz w:val="18"/>
              </w:rPr>
              <w:t>likelihood</w:t>
            </w:r>
          </w:p>
        </w:tc>
        <w:tc>
          <w:tcPr>
            <w:tcW w:w="1350" w:type="dxa"/>
            <w:tcBorders>
              <w:bottom w:val="double" w:sz="6" w:space="0" w:color="000000"/>
            </w:tcBorders>
          </w:tcPr>
          <w:p>
            <w:pPr>
              <w:pStyle w:val="TableParagraph"/>
              <w:spacing w:line="201" w:lineRule="exact" w:before="0"/>
              <w:ind w:right="74"/>
              <w:jc w:val="center"/>
              <w:rPr>
                <w:sz w:val="18"/>
              </w:rPr>
            </w:pPr>
            <w:r>
              <w:rPr>
                <w:spacing w:val="-2"/>
                <w:sz w:val="18"/>
              </w:rPr>
              <w:t>-1396.476</w:t>
            </w:r>
          </w:p>
        </w:tc>
        <w:tc>
          <w:tcPr>
            <w:tcW w:w="1418" w:type="dxa"/>
            <w:tcBorders>
              <w:bottom w:val="double" w:sz="6" w:space="0" w:color="000000"/>
            </w:tcBorders>
          </w:tcPr>
          <w:p>
            <w:pPr>
              <w:pStyle w:val="TableParagraph"/>
              <w:spacing w:line="240" w:lineRule="auto" w:before="0"/>
              <w:rPr>
                <w:rFonts w:ascii="Times New Roman"/>
                <w:sz w:val="18"/>
              </w:rPr>
            </w:pPr>
          </w:p>
        </w:tc>
        <w:tc>
          <w:tcPr>
            <w:tcW w:w="1406" w:type="dxa"/>
            <w:tcBorders>
              <w:bottom w:val="double" w:sz="6" w:space="0" w:color="000000"/>
            </w:tcBorders>
          </w:tcPr>
          <w:p>
            <w:pPr>
              <w:pStyle w:val="TableParagraph"/>
              <w:spacing w:line="240" w:lineRule="auto" w:before="0"/>
              <w:rPr>
                <w:rFonts w:ascii="Times New Roman"/>
                <w:sz w:val="18"/>
              </w:rPr>
            </w:pPr>
          </w:p>
        </w:tc>
        <w:tc>
          <w:tcPr>
            <w:tcW w:w="1439" w:type="dxa"/>
            <w:tcBorders>
              <w:bottom w:val="double" w:sz="6" w:space="0" w:color="000000"/>
            </w:tcBorders>
          </w:tcPr>
          <w:p>
            <w:pPr>
              <w:pStyle w:val="TableParagraph"/>
              <w:spacing w:line="240" w:lineRule="auto" w:before="0"/>
              <w:rPr>
                <w:rFonts w:ascii="Times New Roman"/>
                <w:sz w:val="18"/>
              </w:rPr>
            </w:pPr>
          </w:p>
        </w:tc>
        <w:tc>
          <w:tcPr>
            <w:tcW w:w="1409" w:type="dxa"/>
            <w:tcBorders>
              <w:bottom w:val="double" w:sz="6" w:space="0" w:color="000000"/>
            </w:tcBorders>
          </w:tcPr>
          <w:p>
            <w:pPr>
              <w:pStyle w:val="TableParagraph"/>
              <w:spacing w:line="240" w:lineRule="auto" w:before="0"/>
              <w:rPr>
                <w:rFonts w:ascii="Times New Roman"/>
                <w:sz w:val="18"/>
              </w:rPr>
            </w:pPr>
          </w:p>
        </w:tc>
        <w:tc>
          <w:tcPr>
            <w:tcW w:w="2834" w:type="dxa"/>
            <w:tcBorders>
              <w:bottom w:val="double" w:sz="6" w:space="0" w:color="000000"/>
            </w:tcBorders>
          </w:tcPr>
          <w:p>
            <w:pPr>
              <w:pStyle w:val="TableParagraph"/>
              <w:spacing w:line="240" w:lineRule="auto" w:before="0"/>
              <w:rPr>
                <w:rFonts w:ascii="Times New Roman"/>
                <w:sz w:val="18"/>
              </w:rPr>
            </w:pPr>
          </w:p>
        </w:tc>
      </w:tr>
      <w:tr>
        <w:trPr>
          <w:trHeight w:val="327" w:hRule="atLeast"/>
        </w:trPr>
        <w:tc>
          <w:tcPr>
            <w:tcW w:w="14150" w:type="dxa"/>
            <w:gridSpan w:val="9"/>
            <w:tcBorders>
              <w:top w:val="double" w:sz="6" w:space="0" w:color="000000"/>
            </w:tcBorders>
          </w:tcPr>
          <w:p>
            <w:pPr>
              <w:pStyle w:val="TableParagraph"/>
              <w:spacing w:before="108"/>
              <w:rPr>
                <w:sz w:val="18"/>
              </w:rPr>
            </w:pPr>
            <w:r>
              <w:rPr>
                <w:sz w:val="18"/>
              </w:rPr>
              <w:t>Normalized</w:t>
            </w:r>
            <w:r>
              <w:rPr>
                <w:spacing w:val="-11"/>
                <w:sz w:val="18"/>
              </w:rPr>
              <w:t> </w:t>
            </w:r>
            <w:r>
              <w:rPr>
                <w:sz w:val="18"/>
              </w:rPr>
              <w:t>cointegrating</w:t>
            </w:r>
            <w:r>
              <w:rPr>
                <w:spacing w:val="-12"/>
                <w:sz w:val="18"/>
              </w:rPr>
              <w:t> </w:t>
            </w:r>
            <w:r>
              <w:rPr>
                <w:sz w:val="18"/>
              </w:rPr>
              <w:t>coefficients</w:t>
            </w:r>
            <w:r>
              <w:rPr>
                <w:spacing w:val="-12"/>
                <w:sz w:val="18"/>
              </w:rPr>
              <w:t> </w:t>
            </w:r>
            <w:r>
              <w:rPr>
                <w:sz w:val="18"/>
              </w:rPr>
              <w:t>(standard</w:t>
            </w:r>
            <w:r>
              <w:rPr>
                <w:spacing w:val="-10"/>
                <w:sz w:val="18"/>
              </w:rPr>
              <w:t> </w:t>
            </w:r>
            <w:r>
              <w:rPr>
                <w:sz w:val="18"/>
              </w:rPr>
              <w:t>error</w:t>
            </w:r>
            <w:r>
              <w:rPr>
                <w:spacing w:val="-13"/>
                <w:sz w:val="18"/>
              </w:rPr>
              <w:t> </w:t>
            </w:r>
            <w:r>
              <w:rPr>
                <w:sz w:val="18"/>
              </w:rPr>
              <w:t>in</w:t>
            </w:r>
            <w:r>
              <w:rPr>
                <w:spacing w:val="-12"/>
                <w:sz w:val="18"/>
              </w:rPr>
              <w:t> </w:t>
            </w:r>
            <w:r>
              <w:rPr>
                <w:spacing w:val="-2"/>
                <w:sz w:val="18"/>
              </w:rPr>
              <w:t>parentheses)</w:t>
            </w:r>
          </w:p>
        </w:tc>
      </w:tr>
      <w:tr>
        <w:trPr>
          <w:trHeight w:val="225" w:hRule="atLeast"/>
        </w:trPr>
        <w:tc>
          <w:tcPr>
            <w:tcW w:w="1467" w:type="dxa"/>
          </w:tcPr>
          <w:p>
            <w:pPr>
              <w:pStyle w:val="TableParagraph"/>
              <w:ind w:right="81"/>
              <w:jc w:val="center"/>
              <w:rPr>
                <w:sz w:val="18"/>
              </w:rPr>
            </w:pPr>
            <w:r>
              <w:rPr>
                <w:spacing w:val="-4"/>
                <w:sz w:val="18"/>
              </w:rPr>
              <w:t>RGDP</w:t>
            </w:r>
          </w:p>
        </w:tc>
        <w:tc>
          <w:tcPr>
            <w:tcW w:w="1266" w:type="dxa"/>
          </w:tcPr>
          <w:p>
            <w:pPr>
              <w:pStyle w:val="TableParagraph"/>
              <w:ind w:left="38" w:right="47"/>
              <w:jc w:val="center"/>
              <w:rPr>
                <w:sz w:val="18"/>
              </w:rPr>
            </w:pPr>
            <w:r>
              <w:rPr/>
              <mc:AlternateContent>
                <mc:Choice Requires="wps">
                  <w:drawing>
                    <wp:anchor distT="0" distB="0" distL="0" distR="0" allowOverlap="1" layoutInCell="1" locked="0" behindDoc="1" simplePos="0" relativeHeight="478142464">
                      <wp:simplePos x="0" y="0"/>
                      <wp:positionH relativeFrom="column">
                        <wp:posOffset>227431</wp:posOffset>
                      </wp:positionH>
                      <wp:positionV relativeFrom="paragraph">
                        <wp:posOffset>-296394</wp:posOffset>
                      </wp:positionV>
                      <wp:extent cx="5505450" cy="5661025"/>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5505450" cy="5661025"/>
                                <a:chExt cx="5505450" cy="5661025"/>
                              </a:xfrm>
                            </wpg:grpSpPr>
                            <wps:wsp>
                              <wps:cNvPr id="287" name="Graphic 287"/>
                              <wps:cNvSpPr/>
                              <wps:spPr>
                                <a:xfrm>
                                  <a:off x="0" y="0"/>
                                  <a:ext cx="5505450" cy="5661025"/>
                                </a:xfrm>
                                <a:custGeom>
                                  <a:avLst/>
                                  <a:gdLst/>
                                  <a:ahLst/>
                                  <a:cxnLst/>
                                  <a:rect l="l" t="t" r="r" b="b"/>
                                  <a:pathLst>
                                    <a:path w="5505450" h="5661025">
                                      <a:moveTo>
                                        <a:pt x="677037" y="5536984"/>
                                      </a:moveTo>
                                      <a:lnTo>
                                        <a:pt x="123825" y="4983861"/>
                                      </a:lnTo>
                                      <a:lnTo>
                                        <a:pt x="0" y="5107686"/>
                                      </a:lnTo>
                                      <a:lnTo>
                                        <a:pt x="553212" y="5660809"/>
                                      </a:lnTo>
                                      <a:lnTo>
                                        <a:pt x="677037" y="5536984"/>
                                      </a:lnTo>
                                      <a:close/>
                                    </a:path>
                                    <a:path w="5505450" h="5661025">
                                      <a:moveTo>
                                        <a:pt x="1052703" y="5107749"/>
                                      </a:moveTo>
                                      <a:lnTo>
                                        <a:pt x="1049020" y="5055489"/>
                                      </a:lnTo>
                                      <a:lnTo>
                                        <a:pt x="1033995" y="4999825"/>
                                      </a:lnTo>
                                      <a:lnTo>
                                        <a:pt x="1007364" y="4944618"/>
                                      </a:lnTo>
                                      <a:lnTo>
                                        <a:pt x="970749" y="4891671"/>
                                      </a:lnTo>
                                      <a:lnTo>
                                        <a:pt x="925957" y="4841367"/>
                                      </a:lnTo>
                                      <a:lnTo>
                                        <a:pt x="596138" y="4511548"/>
                                      </a:lnTo>
                                      <a:lnTo>
                                        <a:pt x="472821" y="4634865"/>
                                      </a:lnTo>
                                      <a:lnTo>
                                        <a:pt x="810387" y="4972558"/>
                                      </a:lnTo>
                                      <a:lnTo>
                                        <a:pt x="830897" y="4995367"/>
                                      </a:lnTo>
                                      <a:lnTo>
                                        <a:pt x="846543" y="5017833"/>
                                      </a:lnTo>
                                      <a:lnTo>
                                        <a:pt x="857389" y="5039931"/>
                                      </a:lnTo>
                                      <a:lnTo>
                                        <a:pt x="863473" y="5061585"/>
                                      </a:lnTo>
                                      <a:lnTo>
                                        <a:pt x="864425" y="5082425"/>
                                      </a:lnTo>
                                      <a:lnTo>
                                        <a:pt x="860488" y="5101869"/>
                                      </a:lnTo>
                                      <a:lnTo>
                                        <a:pt x="838073" y="5136515"/>
                                      </a:lnTo>
                                      <a:lnTo>
                                        <a:pt x="803160" y="5159083"/>
                                      </a:lnTo>
                                      <a:lnTo>
                                        <a:pt x="783615" y="5162867"/>
                                      </a:lnTo>
                                      <a:lnTo>
                                        <a:pt x="762635" y="5161534"/>
                                      </a:lnTo>
                                      <a:lnTo>
                                        <a:pt x="718566" y="5144859"/>
                                      </a:lnTo>
                                      <a:lnTo>
                                        <a:pt x="673735" y="5109210"/>
                                      </a:lnTo>
                                      <a:lnTo>
                                        <a:pt x="336169" y="4771517"/>
                                      </a:lnTo>
                                      <a:lnTo>
                                        <a:pt x="212725" y="4894834"/>
                                      </a:lnTo>
                                      <a:lnTo>
                                        <a:pt x="542544" y="5224653"/>
                                      </a:lnTo>
                                      <a:lnTo>
                                        <a:pt x="589292" y="5265547"/>
                                      </a:lnTo>
                                      <a:lnTo>
                                        <a:pt x="647573" y="5306822"/>
                                      </a:lnTo>
                                      <a:lnTo>
                                        <a:pt x="690054" y="5328818"/>
                                      </a:lnTo>
                                      <a:lnTo>
                                        <a:pt x="737870" y="5344033"/>
                                      </a:lnTo>
                                      <a:lnTo>
                                        <a:pt x="785342" y="5351424"/>
                                      </a:lnTo>
                                      <a:lnTo>
                                        <a:pt x="807173" y="5351526"/>
                                      </a:lnTo>
                                      <a:lnTo>
                                        <a:pt x="827786" y="5349367"/>
                                      </a:lnTo>
                                      <a:lnTo>
                                        <a:pt x="867879" y="5337492"/>
                                      </a:lnTo>
                                      <a:lnTo>
                                        <a:pt x="908177" y="5314188"/>
                                      </a:lnTo>
                                      <a:lnTo>
                                        <a:pt x="945210" y="5284952"/>
                                      </a:lnTo>
                                      <a:lnTo>
                                        <a:pt x="977011" y="5255895"/>
                                      </a:lnTo>
                                      <a:lnTo>
                                        <a:pt x="1019365" y="5204485"/>
                                      </a:lnTo>
                                      <a:lnTo>
                                        <a:pt x="1045337" y="5151247"/>
                                      </a:lnTo>
                                      <a:lnTo>
                                        <a:pt x="1050340" y="5130609"/>
                                      </a:lnTo>
                                      <a:lnTo>
                                        <a:pt x="1052703" y="5107749"/>
                                      </a:lnTo>
                                      <a:close/>
                                    </a:path>
                                    <a:path w="5505450" h="5661025">
                                      <a:moveTo>
                                        <a:pt x="1514906" y="4610379"/>
                                      </a:moveTo>
                                      <a:lnTo>
                                        <a:pt x="1510944" y="4569625"/>
                                      </a:lnTo>
                                      <a:lnTo>
                                        <a:pt x="1500924" y="4528058"/>
                                      </a:lnTo>
                                      <a:lnTo>
                                        <a:pt x="1484630" y="4485640"/>
                                      </a:lnTo>
                                      <a:lnTo>
                                        <a:pt x="1466799" y="4451121"/>
                                      </a:lnTo>
                                      <a:lnTo>
                                        <a:pt x="1444396" y="4415548"/>
                                      </a:lnTo>
                                      <a:lnTo>
                                        <a:pt x="1417332" y="4378972"/>
                                      </a:lnTo>
                                      <a:lnTo>
                                        <a:pt x="1385658" y="4341507"/>
                                      </a:lnTo>
                                      <a:lnTo>
                                        <a:pt x="1374343" y="4329595"/>
                                      </a:lnTo>
                                      <a:lnTo>
                                        <a:pt x="1349248" y="4303141"/>
                                      </a:lnTo>
                                      <a:lnTo>
                                        <a:pt x="1334071" y="4289018"/>
                                      </a:lnTo>
                                      <a:lnTo>
                                        <a:pt x="1334071" y="4602658"/>
                                      </a:lnTo>
                                      <a:lnTo>
                                        <a:pt x="1330960" y="4628210"/>
                                      </a:lnTo>
                                      <a:lnTo>
                                        <a:pt x="1304544" y="4672584"/>
                                      </a:lnTo>
                                      <a:lnTo>
                                        <a:pt x="1260627" y="4698276"/>
                                      </a:lnTo>
                                      <a:lnTo>
                                        <a:pt x="1234922" y="4701095"/>
                                      </a:lnTo>
                                      <a:lnTo>
                                        <a:pt x="1206627" y="4697095"/>
                                      </a:lnTo>
                                      <a:lnTo>
                                        <a:pt x="1141310" y="4665548"/>
                                      </a:lnTo>
                                      <a:lnTo>
                                        <a:pt x="1103998" y="4636846"/>
                                      </a:lnTo>
                                      <a:lnTo>
                                        <a:pt x="1063625" y="4599305"/>
                                      </a:lnTo>
                                      <a:lnTo>
                                        <a:pt x="1025956" y="4558728"/>
                                      </a:lnTo>
                                      <a:lnTo>
                                        <a:pt x="997077" y="4521200"/>
                                      </a:lnTo>
                                      <a:lnTo>
                                        <a:pt x="976858" y="4486834"/>
                                      </a:lnTo>
                                      <a:lnTo>
                                        <a:pt x="961186" y="4427385"/>
                                      </a:lnTo>
                                      <a:lnTo>
                                        <a:pt x="963891" y="4401807"/>
                                      </a:lnTo>
                                      <a:lnTo>
                                        <a:pt x="988695" y="4358894"/>
                                      </a:lnTo>
                                      <a:lnTo>
                                        <a:pt x="1032675" y="4332884"/>
                                      </a:lnTo>
                                      <a:lnTo>
                                        <a:pt x="1058392" y="4329595"/>
                                      </a:lnTo>
                                      <a:lnTo>
                                        <a:pt x="1086523" y="4332884"/>
                                      </a:lnTo>
                                      <a:lnTo>
                                        <a:pt x="1150073" y="4362755"/>
                                      </a:lnTo>
                                      <a:lnTo>
                                        <a:pt x="1185532" y="4389602"/>
                                      </a:lnTo>
                                      <a:lnTo>
                                        <a:pt x="1223391" y="4424553"/>
                                      </a:lnTo>
                                      <a:lnTo>
                                        <a:pt x="1264805" y="4468812"/>
                                      </a:lnTo>
                                      <a:lnTo>
                                        <a:pt x="1296377" y="4508716"/>
                                      </a:lnTo>
                                      <a:lnTo>
                                        <a:pt x="1318183" y="4544161"/>
                                      </a:lnTo>
                                      <a:lnTo>
                                        <a:pt x="1334071" y="4602658"/>
                                      </a:lnTo>
                                      <a:lnTo>
                                        <a:pt x="1334071" y="4289018"/>
                                      </a:lnTo>
                                      <a:lnTo>
                                        <a:pt x="1304861" y="4261828"/>
                                      </a:lnTo>
                                      <a:lnTo>
                                        <a:pt x="1260741" y="4226865"/>
                                      </a:lnTo>
                                      <a:lnTo>
                                        <a:pt x="1216926" y="4198201"/>
                                      </a:lnTo>
                                      <a:lnTo>
                                        <a:pt x="1173403" y="4175760"/>
                                      </a:lnTo>
                                      <a:lnTo>
                                        <a:pt x="1130211" y="4159504"/>
                                      </a:lnTo>
                                      <a:lnTo>
                                        <a:pt x="1087374" y="4149344"/>
                                      </a:lnTo>
                                      <a:lnTo>
                                        <a:pt x="1037336" y="4145813"/>
                                      </a:lnTo>
                                      <a:lnTo>
                                        <a:pt x="989520" y="4152163"/>
                                      </a:lnTo>
                                      <a:lnTo>
                                        <a:pt x="943940" y="4168292"/>
                                      </a:lnTo>
                                      <a:lnTo>
                                        <a:pt x="900595" y="4194073"/>
                                      </a:lnTo>
                                      <a:lnTo>
                                        <a:pt x="859536" y="4229354"/>
                                      </a:lnTo>
                                      <a:lnTo>
                                        <a:pt x="825195" y="4269638"/>
                                      </a:lnTo>
                                      <a:lnTo>
                                        <a:pt x="800277" y="4312539"/>
                                      </a:lnTo>
                                      <a:lnTo>
                                        <a:pt x="784872" y="4358056"/>
                                      </a:lnTo>
                                      <a:lnTo>
                                        <a:pt x="779068" y="4406112"/>
                                      </a:lnTo>
                                      <a:lnTo>
                                        <a:pt x="782955" y="4456684"/>
                                      </a:lnTo>
                                      <a:lnTo>
                                        <a:pt x="793432" y="4500080"/>
                                      </a:lnTo>
                                      <a:lnTo>
                                        <a:pt x="810082" y="4543882"/>
                                      </a:lnTo>
                                      <a:lnTo>
                                        <a:pt x="832942" y="4588040"/>
                                      </a:lnTo>
                                      <a:lnTo>
                                        <a:pt x="862076" y="4632515"/>
                                      </a:lnTo>
                                      <a:lnTo>
                                        <a:pt x="897547" y="4677270"/>
                                      </a:lnTo>
                                      <a:lnTo>
                                        <a:pt x="939419" y="4722241"/>
                                      </a:lnTo>
                                      <a:lnTo>
                                        <a:pt x="977925" y="4758525"/>
                                      </a:lnTo>
                                      <a:lnTo>
                                        <a:pt x="1016152" y="4789995"/>
                                      </a:lnTo>
                                      <a:lnTo>
                                        <a:pt x="1054023" y="4816703"/>
                                      </a:lnTo>
                                      <a:lnTo>
                                        <a:pt x="1091463" y="4838725"/>
                                      </a:lnTo>
                                      <a:lnTo>
                                        <a:pt x="1128395" y="4856099"/>
                                      </a:lnTo>
                                      <a:lnTo>
                                        <a:pt x="1173149" y="4871567"/>
                                      </a:lnTo>
                                      <a:lnTo>
                                        <a:pt x="1215809" y="4880241"/>
                                      </a:lnTo>
                                      <a:lnTo>
                                        <a:pt x="1256347" y="4882426"/>
                                      </a:lnTo>
                                      <a:lnTo>
                                        <a:pt x="1294765" y="4878451"/>
                                      </a:lnTo>
                                      <a:lnTo>
                                        <a:pt x="1331455" y="4868176"/>
                                      </a:lnTo>
                                      <a:lnTo>
                                        <a:pt x="1367294" y="4850955"/>
                                      </a:lnTo>
                                      <a:lnTo>
                                        <a:pt x="1402295" y="4826990"/>
                                      </a:lnTo>
                                      <a:lnTo>
                                        <a:pt x="1436497" y="4796409"/>
                                      </a:lnTo>
                                      <a:lnTo>
                                        <a:pt x="1466329" y="4762271"/>
                                      </a:lnTo>
                                      <a:lnTo>
                                        <a:pt x="1489113" y="4726533"/>
                                      </a:lnTo>
                                      <a:lnTo>
                                        <a:pt x="1504734" y="4689221"/>
                                      </a:lnTo>
                                      <a:lnTo>
                                        <a:pt x="1513078" y="4650359"/>
                                      </a:lnTo>
                                      <a:lnTo>
                                        <a:pt x="1514906" y="4610379"/>
                                      </a:lnTo>
                                      <a:close/>
                                    </a:path>
                                    <a:path w="5505450" h="5661025">
                                      <a:moveTo>
                                        <a:pt x="1687068" y="4242308"/>
                                      </a:moveTo>
                                      <a:lnTo>
                                        <a:pt x="1568323" y="4123436"/>
                                      </a:lnTo>
                                      <a:lnTo>
                                        <a:pt x="1406906" y="4284980"/>
                                      </a:lnTo>
                                      <a:lnTo>
                                        <a:pt x="1525651" y="4403725"/>
                                      </a:lnTo>
                                      <a:lnTo>
                                        <a:pt x="1687068" y="4242308"/>
                                      </a:lnTo>
                                      <a:close/>
                                    </a:path>
                                    <a:path w="5505450" h="5661025">
                                      <a:moveTo>
                                        <a:pt x="2011426" y="4202557"/>
                                      </a:moveTo>
                                      <a:lnTo>
                                        <a:pt x="1458214" y="3649345"/>
                                      </a:lnTo>
                                      <a:lnTo>
                                        <a:pt x="1334389" y="3773170"/>
                                      </a:lnTo>
                                      <a:lnTo>
                                        <a:pt x="1887601" y="4326382"/>
                                      </a:lnTo>
                                      <a:lnTo>
                                        <a:pt x="2011426" y="4202557"/>
                                      </a:lnTo>
                                      <a:close/>
                                    </a:path>
                                    <a:path w="5505450" h="5661025">
                                      <a:moveTo>
                                        <a:pt x="2223643" y="3990340"/>
                                      </a:moveTo>
                                      <a:lnTo>
                                        <a:pt x="2018411" y="3784981"/>
                                      </a:lnTo>
                                      <a:lnTo>
                                        <a:pt x="2086102" y="3717290"/>
                                      </a:lnTo>
                                      <a:lnTo>
                                        <a:pt x="2118220" y="3679304"/>
                                      </a:lnTo>
                                      <a:lnTo>
                                        <a:pt x="2121700" y="3672967"/>
                                      </a:lnTo>
                                      <a:lnTo>
                                        <a:pt x="2139683" y="3640201"/>
                                      </a:lnTo>
                                      <a:lnTo>
                                        <a:pt x="2150389" y="3600069"/>
                                      </a:lnTo>
                                      <a:lnTo>
                                        <a:pt x="2150237" y="3558921"/>
                                      </a:lnTo>
                                      <a:lnTo>
                                        <a:pt x="2140077" y="3517239"/>
                                      </a:lnTo>
                                      <a:lnTo>
                                        <a:pt x="2125307" y="3484930"/>
                                      </a:lnTo>
                                      <a:lnTo>
                                        <a:pt x="2120976" y="3475444"/>
                                      </a:lnTo>
                                      <a:lnTo>
                                        <a:pt x="2092845" y="3433572"/>
                                      </a:lnTo>
                                      <a:lnTo>
                                        <a:pt x="2055622" y="3391662"/>
                                      </a:lnTo>
                                      <a:lnTo>
                                        <a:pt x="2015096" y="3355416"/>
                                      </a:lnTo>
                                      <a:lnTo>
                                        <a:pt x="1975065" y="3328060"/>
                                      </a:lnTo>
                                      <a:lnTo>
                                        <a:pt x="1969516" y="3325444"/>
                                      </a:lnTo>
                                      <a:lnTo>
                                        <a:pt x="1969516" y="3575050"/>
                                      </a:lnTo>
                                      <a:lnTo>
                                        <a:pt x="1968728" y="3591293"/>
                                      </a:lnTo>
                                      <a:lnTo>
                                        <a:pt x="1962873" y="3607993"/>
                                      </a:lnTo>
                                      <a:lnTo>
                                        <a:pt x="1952117" y="3625151"/>
                                      </a:lnTo>
                                      <a:lnTo>
                                        <a:pt x="1936623" y="3642741"/>
                                      </a:lnTo>
                                      <a:lnTo>
                                        <a:pt x="1906397" y="3672967"/>
                                      </a:lnTo>
                                      <a:lnTo>
                                        <a:pt x="1782953" y="3549523"/>
                                      </a:lnTo>
                                      <a:lnTo>
                                        <a:pt x="1818132" y="3514344"/>
                                      </a:lnTo>
                                      <a:lnTo>
                                        <a:pt x="1835251" y="3499459"/>
                                      </a:lnTo>
                                      <a:lnTo>
                                        <a:pt x="1851812" y="3489668"/>
                                      </a:lnTo>
                                      <a:lnTo>
                                        <a:pt x="1867852" y="3484930"/>
                                      </a:lnTo>
                                      <a:lnTo>
                                        <a:pt x="1883410" y="3485261"/>
                                      </a:lnTo>
                                      <a:lnTo>
                                        <a:pt x="1926856" y="3505149"/>
                                      </a:lnTo>
                                      <a:lnTo>
                                        <a:pt x="1960791" y="3544824"/>
                                      </a:lnTo>
                                      <a:lnTo>
                                        <a:pt x="1969516" y="3575050"/>
                                      </a:lnTo>
                                      <a:lnTo>
                                        <a:pt x="1969516" y="3325444"/>
                                      </a:lnTo>
                                      <a:lnTo>
                                        <a:pt x="1935568" y="3309391"/>
                                      </a:lnTo>
                                      <a:lnTo>
                                        <a:pt x="1896618" y="3299206"/>
                                      </a:lnTo>
                                      <a:lnTo>
                                        <a:pt x="1858467" y="3298609"/>
                                      </a:lnTo>
                                      <a:lnTo>
                                        <a:pt x="1821599" y="3307956"/>
                                      </a:lnTo>
                                      <a:lnTo>
                                        <a:pt x="1786039" y="3327095"/>
                                      </a:lnTo>
                                      <a:lnTo>
                                        <a:pt x="1751838" y="3355848"/>
                                      </a:lnTo>
                                      <a:lnTo>
                                        <a:pt x="1546352" y="3561207"/>
                                      </a:lnTo>
                                      <a:lnTo>
                                        <a:pt x="2099564" y="4114419"/>
                                      </a:lnTo>
                                      <a:lnTo>
                                        <a:pt x="2223643" y="3990340"/>
                                      </a:lnTo>
                                      <a:close/>
                                    </a:path>
                                    <a:path w="5505450" h="5661025">
                                      <a:moveTo>
                                        <a:pt x="2725166" y="3488817"/>
                                      </a:moveTo>
                                      <a:lnTo>
                                        <a:pt x="2308479" y="3072257"/>
                                      </a:lnTo>
                                      <a:lnTo>
                                        <a:pt x="2434590" y="2946146"/>
                                      </a:lnTo>
                                      <a:lnTo>
                                        <a:pt x="2298065" y="2809621"/>
                                      </a:lnTo>
                                      <a:lnTo>
                                        <a:pt x="1922399" y="3185287"/>
                                      </a:lnTo>
                                      <a:lnTo>
                                        <a:pt x="2058924" y="3321812"/>
                                      </a:lnTo>
                                      <a:lnTo>
                                        <a:pt x="2184908" y="3195828"/>
                                      </a:lnTo>
                                      <a:lnTo>
                                        <a:pt x="2601595" y="3612388"/>
                                      </a:lnTo>
                                      <a:lnTo>
                                        <a:pt x="2725166" y="3488817"/>
                                      </a:lnTo>
                                      <a:close/>
                                    </a:path>
                                    <a:path w="5505450" h="5661025">
                                      <a:moveTo>
                                        <a:pt x="3128645" y="3085338"/>
                                      </a:moveTo>
                                      <a:lnTo>
                                        <a:pt x="2712085" y="2668651"/>
                                      </a:lnTo>
                                      <a:lnTo>
                                        <a:pt x="2838069" y="2542667"/>
                                      </a:lnTo>
                                      <a:lnTo>
                                        <a:pt x="2701544" y="2406142"/>
                                      </a:lnTo>
                                      <a:lnTo>
                                        <a:pt x="2325878" y="2781808"/>
                                      </a:lnTo>
                                      <a:lnTo>
                                        <a:pt x="2462530" y="2918333"/>
                                      </a:lnTo>
                                      <a:lnTo>
                                        <a:pt x="2588514" y="2792349"/>
                                      </a:lnTo>
                                      <a:lnTo>
                                        <a:pt x="3005074" y="3208909"/>
                                      </a:lnTo>
                                      <a:lnTo>
                                        <a:pt x="3128645" y="3085338"/>
                                      </a:lnTo>
                                      <a:close/>
                                    </a:path>
                                    <a:path w="5505450" h="5661025">
                                      <a:moveTo>
                                        <a:pt x="3594430" y="2530856"/>
                                      </a:moveTo>
                                      <a:lnTo>
                                        <a:pt x="3590506" y="2490063"/>
                                      </a:lnTo>
                                      <a:lnTo>
                                        <a:pt x="3580536" y="2448458"/>
                                      </a:lnTo>
                                      <a:lnTo>
                                        <a:pt x="3564255" y="2406015"/>
                                      </a:lnTo>
                                      <a:lnTo>
                                        <a:pt x="3546360" y="2371560"/>
                                      </a:lnTo>
                                      <a:lnTo>
                                        <a:pt x="3523919" y="2336038"/>
                                      </a:lnTo>
                                      <a:lnTo>
                                        <a:pt x="3496805" y="2299449"/>
                                      </a:lnTo>
                                      <a:lnTo>
                                        <a:pt x="3465157" y="2262073"/>
                                      </a:lnTo>
                                      <a:lnTo>
                                        <a:pt x="3453765" y="2250097"/>
                                      </a:lnTo>
                                      <a:lnTo>
                                        <a:pt x="3428746" y="2223770"/>
                                      </a:lnTo>
                                      <a:lnTo>
                                        <a:pt x="3413569" y="2209635"/>
                                      </a:lnTo>
                                      <a:lnTo>
                                        <a:pt x="3413569" y="2523134"/>
                                      </a:lnTo>
                                      <a:lnTo>
                                        <a:pt x="3410432" y="2548661"/>
                                      </a:lnTo>
                                      <a:lnTo>
                                        <a:pt x="3383915" y="2593086"/>
                                      </a:lnTo>
                                      <a:lnTo>
                                        <a:pt x="3340176" y="2618714"/>
                                      </a:lnTo>
                                      <a:lnTo>
                                        <a:pt x="3314522" y="2621483"/>
                                      </a:lnTo>
                                      <a:lnTo>
                                        <a:pt x="3286252" y="2617470"/>
                                      </a:lnTo>
                                      <a:lnTo>
                                        <a:pt x="3220936" y="2585936"/>
                                      </a:lnTo>
                                      <a:lnTo>
                                        <a:pt x="3183623" y="2557272"/>
                                      </a:lnTo>
                                      <a:lnTo>
                                        <a:pt x="3143250" y="2519807"/>
                                      </a:lnTo>
                                      <a:lnTo>
                                        <a:pt x="3105505" y="2479154"/>
                                      </a:lnTo>
                                      <a:lnTo>
                                        <a:pt x="3076600" y="2441600"/>
                                      </a:lnTo>
                                      <a:lnTo>
                                        <a:pt x="3056407" y="2407208"/>
                                      </a:lnTo>
                                      <a:lnTo>
                                        <a:pt x="3040786" y="2347785"/>
                                      </a:lnTo>
                                      <a:lnTo>
                                        <a:pt x="3043453" y="2322245"/>
                                      </a:lnTo>
                                      <a:lnTo>
                                        <a:pt x="3068193" y="2279396"/>
                                      </a:lnTo>
                                      <a:lnTo>
                                        <a:pt x="3112173" y="2253386"/>
                                      </a:lnTo>
                                      <a:lnTo>
                                        <a:pt x="3137890" y="2250097"/>
                                      </a:lnTo>
                                      <a:lnTo>
                                        <a:pt x="3166021" y="2253386"/>
                                      </a:lnTo>
                                      <a:lnTo>
                                        <a:pt x="3229521" y="2283256"/>
                                      </a:lnTo>
                                      <a:lnTo>
                                        <a:pt x="3265005" y="2310104"/>
                                      </a:lnTo>
                                      <a:lnTo>
                                        <a:pt x="3302889" y="2345055"/>
                                      </a:lnTo>
                                      <a:lnTo>
                                        <a:pt x="3344329" y="2389289"/>
                                      </a:lnTo>
                                      <a:lnTo>
                                        <a:pt x="3375926" y="2429167"/>
                                      </a:lnTo>
                                      <a:lnTo>
                                        <a:pt x="3397732" y="2464612"/>
                                      </a:lnTo>
                                      <a:lnTo>
                                        <a:pt x="3413569" y="2523134"/>
                                      </a:lnTo>
                                      <a:lnTo>
                                        <a:pt x="3413569" y="2209635"/>
                                      </a:lnTo>
                                      <a:lnTo>
                                        <a:pt x="3384359" y="2182406"/>
                                      </a:lnTo>
                                      <a:lnTo>
                                        <a:pt x="3340239" y="2147405"/>
                                      </a:lnTo>
                                      <a:lnTo>
                                        <a:pt x="3296424" y="2118715"/>
                                      </a:lnTo>
                                      <a:lnTo>
                                        <a:pt x="3252901" y="2096274"/>
                                      </a:lnTo>
                                      <a:lnTo>
                                        <a:pt x="3209709" y="2080006"/>
                                      </a:lnTo>
                                      <a:lnTo>
                                        <a:pt x="3166872" y="2069846"/>
                                      </a:lnTo>
                                      <a:lnTo>
                                        <a:pt x="3116834" y="2066315"/>
                                      </a:lnTo>
                                      <a:lnTo>
                                        <a:pt x="3069018" y="2072665"/>
                                      </a:lnTo>
                                      <a:lnTo>
                                        <a:pt x="3023438" y="2088769"/>
                                      </a:lnTo>
                                      <a:lnTo>
                                        <a:pt x="2980093" y="2114512"/>
                                      </a:lnTo>
                                      <a:lnTo>
                                        <a:pt x="2939034" y="2149729"/>
                                      </a:lnTo>
                                      <a:lnTo>
                                        <a:pt x="2904744" y="2190026"/>
                                      </a:lnTo>
                                      <a:lnTo>
                                        <a:pt x="2879839" y="2232964"/>
                                      </a:lnTo>
                                      <a:lnTo>
                                        <a:pt x="2864434" y="2278507"/>
                                      </a:lnTo>
                                      <a:lnTo>
                                        <a:pt x="2858643" y="2326602"/>
                                      </a:lnTo>
                                      <a:lnTo>
                                        <a:pt x="2862580" y="2377186"/>
                                      </a:lnTo>
                                      <a:lnTo>
                                        <a:pt x="2873006" y="2420582"/>
                                      </a:lnTo>
                                      <a:lnTo>
                                        <a:pt x="2889618" y="2464346"/>
                                      </a:lnTo>
                                      <a:lnTo>
                                        <a:pt x="2912453" y="2508478"/>
                                      </a:lnTo>
                                      <a:lnTo>
                                        <a:pt x="2941574" y="2552928"/>
                                      </a:lnTo>
                                      <a:lnTo>
                                        <a:pt x="2977045" y="2597645"/>
                                      </a:lnTo>
                                      <a:lnTo>
                                        <a:pt x="3018917" y="2642616"/>
                                      </a:lnTo>
                                      <a:lnTo>
                                        <a:pt x="3057474" y="2678912"/>
                                      </a:lnTo>
                                      <a:lnTo>
                                        <a:pt x="3095714" y="2710408"/>
                                      </a:lnTo>
                                      <a:lnTo>
                                        <a:pt x="3133560" y="2737167"/>
                                      </a:lnTo>
                                      <a:lnTo>
                                        <a:pt x="3170974" y="2759214"/>
                                      </a:lnTo>
                                      <a:lnTo>
                                        <a:pt x="3207893" y="2776601"/>
                                      </a:lnTo>
                                      <a:lnTo>
                                        <a:pt x="3252711" y="2792006"/>
                                      </a:lnTo>
                                      <a:lnTo>
                                        <a:pt x="3295358" y="2800693"/>
                                      </a:lnTo>
                                      <a:lnTo>
                                        <a:pt x="3335871" y="2802915"/>
                                      </a:lnTo>
                                      <a:lnTo>
                                        <a:pt x="3374263" y="2798953"/>
                                      </a:lnTo>
                                      <a:lnTo>
                                        <a:pt x="3410978" y="2788602"/>
                                      </a:lnTo>
                                      <a:lnTo>
                                        <a:pt x="3446843" y="2771368"/>
                                      </a:lnTo>
                                      <a:lnTo>
                                        <a:pt x="3481844" y="2747416"/>
                                      </a:lnTo>
                                      <a:lnTo>
                                        <a:pt x="3515995" y="2716911"/>
                                      </a:lnTo>
                                      <a:lnTo>
                                        <a:pt x="3545852" y="2682722"/>
                                      </a:lnTo>
                                      <a:lnTo>
                                        <a:pt x="3568662" y="2646984"/>
                                      </a:lnTo>
                                      <a:lnTo>
                                        <a:pt x="3579342" y="2621483"/>
                                      </a:lnTo>
                                      <a:lnTo>
                                        <a:pt x="3584283" y="2609710"/>
                                      </a:lnTo>
                                      <a:lnTo>
                                        <a:pt x="3592576" y="2570861"/>
                                      </a:lnTo>
                                      <a:lnTo>
                                        <a:pt x="3594430" y="2530856"/>
                                      </a:lnTo>
                                      <a:close/>
                                    </a:path>
                                    <a:path w="5505450" h="5661025">
                                      <a:moveTo>
                                        <a:pt x="4237799" y="1898713"/>
                                      </a:moveTo>
                                      <a:lnTo>
                                        <a:pt x="4226814" y="1835531"/>
                                      </a:lnTo>
                                      <a:lnTo>
                                        <a:pt x="4199420" y="1767636"/>
                                      </a:lnTo>
                                      <a:lnTo>
                                        <a:pt x="4179786" y="1732191"/>
                                      </a:lnTo>
                                      <a:lnTo>
                                        <a:pt x="4155948" y="1695831"/>
                                      </a:lnTo>
                                      <a:lnTo>
                                        <a:pt x="4117517" y="1711452"/>
                                      </a:lnTo>
                                      <a:lnTo>
                                        <a:pt x="4002278" y="1758823"/>
                                      </a:lnTo>
                                      <a:lnTo>
                                        <a:pt x="4022331" y="1788236"/>
                                      </a:lnTo>
                                      <a:lnTo>
                                        <a:pt x="4037863" y="1815719"/>
                                      </a:lnTo>
                                      <a:lnTo>
                                        <a:pt x="4049064" y="1841309"/>
                                      </a:lnTo>
                                      <a:lnTo>
                                        <a:pt x="4056126" y="1864995"/>
                                      </a:lnTo>
                                      <a:lnTo>
                                        <a:pt x="4058107" y="1887347"/>
                                      </a:lnTo>
                                      <a:lnTo>
                                        <a:pt x="4054373" y="1908327"/>
                                      </a:lnTo>
                                      <a:lnTo>
                                        <a:pt x="4029964" y="1946402"/>
                                      </a:lnTo>
                                      <a:lnTo>
                                        <a:pt x="3988892" y="1970443"/>
                                      </a:lnTo>
                                      <a:lnTo>
                                        <a:pt x="3965079" y="1973021"/>
                                      </a:lnTo>
                                      <a:lnTo>
                                        <a:pt x="3939159" y="1969135"/>
                                      </a:lnTo>
                                      <a:lnTo>
                                        <a:pt x="3875684" y="1935657"/>
                                      </a:lnTo>
                                      <a:lnTo>
                                        <a:pt x="3836708" y="1904365"/>
                                      </a:lnTo>
                                      <a:lnTo>
                                        <a:pt x="3792982" y="1863217"/>
                                      </a:lnTo>
                                      <a:lnTo>
                                        <a:pt x="3759441" y="1827504"/>
                                      </a:lnTo>
                                      <a:lnTo>
                                        <a:pt x="3732936" y="1794510"/>
                                      </a:lnTo>
                                      <a:lnTo>
                                        <a:pt x="3700907" y="1737233"/>
                                      </a:lnTo>
                                      <a:lnTo>
                                        <a:pt x="3692626" y="1704390"/>
                                      </a:lnTo>
                                      <a:lnTo>
                                        <a:pt x="3692868" y="1674964"/>
                                      </a:lnTo>
                                      <a:lnTo>
                                        <a:pt x="3718560" y="1626108"/>
                                      </a:lnTo>
                                      <a:lnTo>
                                        <a:pt x="3762629" y="1603121"/>
                                      </a:lnTo>
                                      <a:lnTo>
                                        <a:pt x="3775773" y="1601851"/>
                                      </a:lnTo>
                                      <a:lnTo>
                                        <a:pt x="3789375" y="1602105"/>
                                      </a:lnTo>
                                      <a:lnTo>
                                        <a:pt x="3827894" y="1611642"/>
                                      </a:lnTo>
                                      <a:lnTo>
                                        <a:pt x="3867150" y="1632966"/>
                                      </a:lnTo>
                                      <a:lnTo>
                                        <a:pt x="3942588" y="1490218"/>
                                      </a:lnTo>
                                      <a:lnTo>
                                        <a:pt x="3889870" y="1461084"/>
                                      </a:lnTo>
                                      <a:lnTo>
                                        <a:pt x="3839959" y="1440662"/>
                                      </a:lnTo>
                                      <a:lnTo>
                                        <a:pt x="3792918" y="1428572"/>
                                      </a:lnTo>
                                      <a:lnTo>
                                        <a:pt x="3748786" y="1424432"/>
                                      </a:lnTo>
                                      <a:lnTo>
                                        <a:pt x="3706520" y="1429385"/>
                                      </a:lnTo>
                                      <a:lnTo>
                                        <a:pt x="3665626" y="1443939"/>
                                      </a:lnTo>
                                      <a:lnTo>
                                        <a:pt x="3626015" y="1467904"/>
                                      </a:lnTo>
                                      <a:lnTo>
                                        <a:pt x="3587623" y="1501140"/>
                                      </a:lnTo>
                                      <a:lnTo>
                                        <a:pt x="3553612" y="1540979"/>
                                      </a:lnTo>
                                      <a:lnTo>
                                        <a:pt x="3528949" y="1583207"/>
                                      </a:lnTo>
                                      <a:lnTo>
                                        <a:pt x="3513709" y="1627797"/>
                                      </a:lnTo>
                                      <a:lnTo>
                                        <a:pt x="3508006" y="1674749"/>
                                      </a:lnTo>
                                      <a:lnTo>
                                        <a:pt x="3511931" y="1724025"/>
                                      </a:lnTo>
                                      <a:lnTo>
                                        <a:pt x="3522535" y="1766570"/>
                                      </a:lnTo>
                                      <a:lnTo>
                                        <a:pt x="3539325" y="1809699"/>
                                      </a:lnTo>
                                      <a:lnTo>
                                        <a:pt x="3562375" y="1853438"/>
                                      </a:lnTo>
                                      <a:lnTo>
                                        <a:pt x="3591801" y="1897773"/>
                                      </a:lnTo>
                                      <a:lnTo>
                                        <a:pt x="3627704" y="1942693"/>
                                      </a:lnTo>
                                      <a:lnTo>
                                        <a:pt x="3670173" y="1988185"/>
                                      </a:lnTo>
                                      <a:lnTo>
                                        <a:pt x="3711130" y="2026716"/>
                                      </a:lnTo>
                                      <a:lnTo>
                                        <a:pt x="3751542" y="2059787"/>
                                      </a:lnTo>
                                      <a:lnTo>
                                        <a:pt x="3791394" y="2087511"/>
                                      </a:lnTo>
                                      <a:lnTo>
                                        <a:pt x="3830663" y="2110003"/>
                                      </a:lnTo>
                                      <a:lnTo>
                                        <a:pt x="3869309" y="2127377"/>
                                      </a:lnTo>
                                      <a:lnTo>
                                        <a:pt x="3915486" y="2142363"/>
                                      </a:lnTo>
                                      <a:lnTo>
                                        <a:pt x="3958183" y="2150580"/>
                                      </a:lnTo>
                                      <a:lnTo>
                                        <a:pt x="3997337" y="2152332"/>
                                      </a:lnTo>
                                      <a:lnTo>
                                        <a:pt x="4032885" y="2147951"/>
                                      </a:lnTo>
                                      <a:lnTo>
                                        <a:pt x="4099725" y="2120328"/>
                                      </a:lnTo>
                                      <a:lnTo>
                                        <a:pt x="4132694" y="2097024"/>
                                      </a:lnTo>
                                      <a:lnTo>
                                        <a:pt x="4165346" y="2067560"/>
                                      </a:lnTo>
                                      <a:lnTo>
                                        <a:pt x="4209059" y="2013115"/>
                                      </a:lnTo>
                                      <a:lnTo>
                                        <a:pt x="4232402" y="1957324"/>
                                      </a:lnTo>
                                      <a:lnTo>
                                        <a:pt x="4237025" y="1928583"/>
                                      </a:lnTo>
                                      <a:lnTo>
                                        <a:pt x="4237799" y="1898713"/>
                                      </a:lnTo>
                                      <a:close/>
                                    </a:path>
                                    <a:path w="5505450" h="5661025">
                                      <a:moveTo>
                                        <a:pt x="4680788" y="1444447"/>
                                      </a:moveTo>
                                      <a:lnTo>
                                        <a:pt x="4676864" y="1403692"/>
                                      </a:lnTo>
                                      <a:lnTo>
                                        <a:pt x="4666894" y="1362100"/>
                                      </a:lnTo>
                                      <a:lnTo>
                                        <a:pt x="4650613" y="1319657"/>
                                      </a:lnTo>
                                      <a:lnTo>
                                        <a:pt x="4632769" y="1285138"/>
                                      </a:lnTo>
                                      <a:lnTo>
                                        <a:pt x="4610341" y="1249578"/>
                                      </a:lnTo>
                                      <a:lnTo>
                                        <a:pt x="4583290" y="1213040"/>
                                      </a:lnTo>
                                      <a:lnTo>
                                        <a:pt x="4551591" y="1175588"/>
                                      </a:lnTo>
                                      <a:lnTo>
                                        <a:pt x="4515231" y="1137285"/>
                                      </a:lnTo>
                                      <a:lnTo>
                                        <a:pt x="4499927" y="1123035"/>
                                      </a:lnTo>
                                      <a:lnTo>
                                        <a:pt x="4499927" y="1436776"/>
                                      </a:lnTo>
                                      <a:lnTo>
                                        <a:pt x="4496816" y="1462278"/>
                                      </a:lnTo>
                                      <a:lnTo>
                                        <a:pt x="4470387" y="1506601"/>
                                      </a:lnTo>
                                      <a:lnTo>
                                        <a:pt x="4426597" y="1532293"/>
                                      </a:lnTo>
                                      <a:lnTo>
                                        <a:pt x="4400905" y="1535112"/>
                                      </a:lnTo>
                                      <a:lnTo>
                                        <a:pt x="4372610" y="1531112"/>
                                      </a:lnTo>
                                      <a:lnTo>
                                        <a:pt x="4307294" y="1499577"/>
                                      </a:lnTo>
                                      <a:lnTo>
                                        <a:pt x="4269981" y="1470914"/>
                                      </a:lnTo>
                                      <a:lnTo>
                                        <a:pt x="4229608" y="1433449"/>
                                      </a:lnTo>
                                      <a:lnTo>
                                        <a:pt x="4191863" y="1392796"/>
                                      </a:lnTo>
                                      <a:lnTo>
                                        <a:pt x="4162958" y="1355242"/>
                                      </a:lnTo>
                                      <a:lnTo>
                                        <a:pt x="4142765" y="1320850"/>
                                      </a:lnTo>
                                      <a:lnTo>
                                        <a:pt x="4127169" y="1261414"/>
                                      </a:lnTo>
                                      <a:lnTo>
                                        <a:pt x="4129862" y="1235837"/>
                                      </a:lnTo>
                                      <a:lnTo>
                                        <a:pt x="4154551" y="1193038"/>
                                      </a:lnTo>
                                      <a:lnTo>
                                        <a:pt x="4198556" y="1166964"/>
                                      </a:lnTo>
                                      <a:lnTo>
                                        <a:pt x="4224299" y="1163624"/>
                                      </a:lnTo>
                                      <a:lnTo>
                                        <a:pt x="4252468" y="1166876"/>
                                      </a:lnTo>
                                      <a:lnTo>
                                        <a:pt x="4316006" y="1196771"/>
                                      </a:lnTo>
                                      <a:lnTo>
                                        <a:pt x="4351490" y="1223619"/>
                                      </a:lnTo>
                                      <a:lnTo>
                                        <a:pt x="4389374" y="1258570"/>
                                      </a:lnTo>
                                      <a:lnTo>
                                        <a:pt x="4430788" y="1302829"/>
                                      </a:lnTo>
                                      <a:lnTo>
                                        <a:pt x="4462348" y="1342745"/>
                                      </a:lnTo>
                                      <a:lnTo>
                                        <a:pt x="4484116" y="1378229"/>
                                      </a:lnTo>
                                      <a:lnTo>
                                        <a:pt x="4499927" y="1436776"/>
                                      </a:lnTo>
                                      <a:lnTo>
                                        <a:pt x="4499927" y="1123035"/>
                                      </a:lnTo>
                                      <a:lnTo>
                                        <a:pt x="4470844" y="1095921"/>
                                      </a:lnTo>
                                      <a:lnTo>
                                        <a:pt x="4426724" y="1060919"/>
                                      </a:lnTo>
                                      <a:lnTo>
                                        <a:pt x="4382909" y="1032230"/>
                                      </a:lnTo>
                                      <a:lnTo>
                                        <a:pt x="4339387" y="1009789"/>
                                      </a:lnTo>
                                      <a:lnTo>
                                        <a:pt x="4296194" y="993521"/>
                                      </a:lnTo>
                                      <a:lnTo>
                                        <a:pt x="4253357" y="983361"/>
                                      </a:lnTo>
                                      <a:lnTo>
                                        <a:pt x="4203268" y="979881"/>
                                      </a:lnTo>
                                      <a:lnTo>
                                        <a:pt x="4155440" y="986269"/>
                                      </a:lnTo>
                                      <a:lnTo>
                                        <a:pt x="4109859" y="1002411"/>
                                      </a:lnTo>
                                      <a:lnTo>
                                        <a:pt x="4066502" y="1028153"/>
                                      </a:lnTo>
                                      <a:lnTo>
                                        <a:pt x="4025392" y="1063371"/>
                                      </a:lnTo>
                                      <a:lnTo>
                                        <a:pt x="3991102" y="1103668"/>
                                      </a:lnTo>
                                      <a:lnTo>
                                        <a:pt x="3966197" y="1146606"/>
                                      </a:lnTo>
                                      <a:lnTo>
                                        <a:pt x="3950792" y="1192149"/>
                                      </a:lnTo>
                                      <a:lnTo>
                                        <a:pt x="3945001" y="1240243"/>
                                      </a:lnTo>
                                      <a:lnTo>
                                        <a:pt x="3948938" y="1290828"/>
                                      </a:lnTo>
                                      <a:lnTo>
                                        <a:pt x="3959364" y="1334223"/>
                                      </a:lnTo>
                                      <a:lnTo>
                                        <a:pt x="3975976" y="1377988"/>
                                      </a:lnTo>
                                      <a:lnTo>
                                        <a:pt x="3998811" y="1422120"/>
                                      </a:lnTo>
                                      <a:lnTo>
                                        <a:pt x="4027932" y="1466570"/>
                                      </a:lnTo>
                                      <a:lnTo>
                                        <a:pt x="4063403" y="1511287"/>
                                      </a:lnTo>
                                      <a:lnTo>
                                        <a:pt x="4105275" y="1556258"/>
                                      </a:lnTo>
                                      <a:lnTo>
                                        <a:pt x="4143832" y="1592554"/>
                                      </a:lnTo>
                                      <a:lnTo>
                                        <a:pt x="4182072" y="1624050"/>
                                      </a:lnTo>
                                      <a:lnTo>
                                        <a:pt x="4219943" y="1650809"/>
                                      </a:lnTo>
                                      <a:lnTo>
                                        <a:pt x="4257395" y="1672856"/>
                                      </a:lnTo>
                                      <a:lnTo>
                                        <a:pt x="4294378" y="1690243"/>
                                      </a:lnTo>
                                      <a:lnTo>
                                        <a:pt x="4339133" y="1705635"/>
                                      </a:lnTo>
                                      <a:lnTo>
                                        <a:pt x="4381792" y="1714271"/>
                                      </a:lnTo>
                                      <a:lnTo>
                                        <a:pt x="4422330" y="1716443"/>
                                      </a:lnTo>
                                      <a:lnTo>
                                        <a:pt x="4460735" y="1712468"/>
                                      </a:lnTo>
                                      <a:lnTo>
                                        <a:pt x="4533227" y="1684972"/>
                                      </a:lnTo>
                                      <a:lnTo>
                                        <a:pt x="4568253" y="1661007"/>
                                      </a:lnTo>
                                      <a:lnTo>
                                        <a:pt x="4602480" y="1630426"/>
                                      </a:lnTo>
                                      <a:lnTo>
                                        <a:pt x="4632261" y="1596301"/>
                                      </a:lnTo>
                                      <a:lnTo>
                                        <a:pt x="4655032" y="1560601"/>
                                      </a:lnTo>
                                      <a:lnTo>
                                        <a:pt x="4670641" y="1523288"/>
                                      </a:lnTo>
                                      <a:lnTo>
                                        <a:pt x="4678934" y="1484376"/>
                                      </a:lnTo>
                                      <a:lnTo>
                                        <a:pt x="4680788" y="1444447"/>
                                      </a:lnTo>
                                      <a:close/>
                                    </a:path>
                                    <a:path w="5505450" h="5661025">
                                      <a:moveTo>
                                        <a:pt x="4986147" y="1227963"/>
                                      </a:moveTo>
                                      <a:lnTo>
                                        <a:pt x="4780788" y="1022604"/>
                                      </a:lnTo>
                                      <a:lnTo>
                                        <a:pt x="4848479" y="954913"/>
                                      </a:lnTo>
                                      <a:lnTo>
                                        <a:pt x="4880622" y="916901"/>
                                      </a:lnTo>
                                      <a:lnTo>
                                        <a:pt x="4884090" y="910590"/>
                                      </a:lnTo>
                                      <a:lnTo>
                                        <a:pt x="4902111" y="877760"/>
                                      </a:lnTo>
                                      <a:lnTo>
                                        <a:pt x="4912817" y="837577"/>
                                      </a:lnTo>
                                      <a:lnTo>
                                        <a:pt x="4912614" y="796417"/>
                                      </a:lnTo>
                                      <a:lnTo>
                                        <a:pt x="4902517" y="754748"/>
                                      </a:lnTo>
                                      <a:lnTo>
                                        <a:pt x="4883442" y="713003"/>
                                      </a:lnTo>
                                      <a:lnTo>
                                        <a:pt x="4855299" y="671169"/>
                                      </a:lnTo>
                                      <a:lnTo>
                                        <a:pt x="4817999" y="629285"/>
                                      </a:lnTo>
                                      <a:lnTo>
                                        <a:pt x="4777473" y="593026"/>
                                      </a:lnTo>
                                      <a:lnTo>
                                        <a:pt x="4737443" y="565632"/>
                                      </a:lnTo>
                                      <a:lnTo>
                                        <a:pt x="4731893" y="563016"/>
                                      </a:lnTo>
                                      <a:lnTo>
                                        <a:pt x="4731893" y="812673"/>
                                      </a:lnTo>
                                      <a:lnTo>
                                        <a:pt x="4731131" y="828903"/>
                                      </a:lnTo>
                                      <a:lnTo>
                                        <a:pt x="4725314" y="845553"/>
                                      </a:lnTo>
                                      <a:lnTo>
                                        <a:pt x="4714595" y="862672"/>
                                      </a:lnTo>
                                      <a:lnTo>
                                        <a:pt x="4699127" y="880237"/>
                                      </a:lnTo>
                                      <a:lnTo>
                                        <a:pt x="4668774" y="910590"/>
                                      </a:lnTo>
                                      <a:lnTo>
                                        <a:pt x="4545330" y="787146"/>
                                      </a:lnTo>
                                      <a:lnTo>
                                        <a:pt x="4580509" y="751967"/>
                                      </a:lnTo>
                                      <a:lnTo>
                                        <a:pt x="4597628" y="737082"/>
                                      </a:lnTo>
                                      <a:lnTo>
                                        <a:pt x="4614189" y="727290"/>
                                      </a:lnTo>
                                      <a:lnTo>
                                        <a:pt x="4630229" y="722553"/>
                                      </a:lnTo>
                                      <a:lnTo>
                                        <a:pt x="4645787" y="722884"/>
                                      </a:lnTo>
                                      <a:lnTo>
                                        <a:pt x="4689233" y="742772"/>
                                      </a:lnTo>
                                      <a:lnTo>
                                        <a:pt x="4723168" y="782447"/>
                                      </a:lnTo>
                                      <a:lnTo>
                                        <a:pt x="4731893" y="812673"/>
                                      </a:lnTo>
                                      <a:lnTo>
                                        <a:pt x="4731893" y="563016"/>
                                      </a:lnTo>
                                      <a:lnTo>
                                        <a:pt x="4697946" y="546963"/>
                                      </a:lnTo>
                                      <a:lnTo>
                                        <a:pt x="4658995" y="536829"/>
                                      </a:lnTo>
                                      <a:lnTo>
                                        <a:pt x="4620869" y="536219"/>
                                      </a:lnTo>
                                      <a:lnTo>
                                        <a:pt x="4584039" y="545515"/>
                                      </a:lnTo>
                                      <a:lnTo>
                                        <a:pt x="4548530" y="564603"/>
                                      </a:lnTo>
                                      <a:lnTo>
                                        <a:pt x="4514342" y="593344"/>
                                      </a:lnTo>
                                      <a:lnTo>
                                        <a:pt x="4308729" y="798830"/>
                                      </a:lnTo>
                                      <a:lnTo>
                                        <a:pt x="4861941" y="1352042"/>
                                      </a:lnTo>
                                      <a:lnTo>
                                        <a:pt x="4986147" y="1227963"/>
                                      </a:lnTo>
                                      <a:close/>
                                    </a:path>
                                    <a:path w="5505450" h="5661025">
                                      <a:moveTo>
                                        <a:pt x="5505323" y="708660"/>
                                      </a:moveTo>
                                      <a:lnTo>
                                        <a:pt x="5273548" y="477012"/>
                                      </a:lnTo>
                                      <a:lnTo>
                                        <a:pt x="5240020" y="381711"/>
                                      </a:lnTo>
                                      <a:lnTo>
                                        <a:pt x="5141201" y="95250"/>
                                      </a:lnTo>
                                      <a:lnTo>
                                        <a:pt x="5107686" y="0"/>
                                      </a:lnTo>
                                      <a:lnTo>
                                        <a:pt x="4971034" y="136652"/>
                                      </a:lnTo>
                                      <a:lnTo>
                                        <a:pt x="4988852" y="181178"/>
                                      </a:lnTo>
                                      <a:lnTo>
                                        <a:pt x="5041531" y="315112"/>
                                      </a:lnTo>
                                      <a:lnTo>
                                        <a:pt x="5077079" y="404241"/>
                                      </a:lnTo>
                                      <a:lnTo>
                                        <a:pt x="5032565" y="386359"/>
                                      </a:lnTo>
                                      <a:lnTo>
                                        <a:pt x="4898745" y="333527"/>
                                      </a:lnTo>
                                      <a:lnTo>
                                        <a:pt x="4809744" y="297942"/>
                                      </a:lnTo>
                                      <a:lnTo>
                                        <a:pt x="4672457" y="435229"/>
                                      </a:lnTo>
                                      <a:lnTo>
                                        <a:pt x="4767770" y="468693"/>
                                      </a:lnTo>
                                      <a:lnTo>
                                        <a:pt x="5054397" y="567385"/>
                                      </a:lnTo>
                                      <a:lnTo>
                                        <a:pt x="5149723" y="600837"/>
                                      </a:lnTo>
                                      <a:lnTo>
                                        <a:pt x="5381498" y="832485"/>
                                      </a:lnTo>
                                      <a:lnTo>
                                        <a:pt x="5505323" y="70866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7.907999pt;margin-top:-23.338112pt;width:433.5pt;height:445.75pt;mso-position-horizontal-relative:column;mso-position-vertical-relative:paragraph;z-index:-25174016" id="docshapegroup286" coordorigin="358,-467" coordsize="8670,8915">
                      <v:shape style="position:absolute;left:358;top:-467;width:8670;height:8915" id="docshape287" coordorigin="358,-467" coordsize="8670,8915" path="m1424,8253l553,7382,358,7577,1229,8448,1424,8253xm2016,7577l2015,7537,2010,7495,2001,7451,1987,7407,1968,7363,1945,7320,1917,7278,1887,7237,1853,7197,1816,7157,1297,6638,1103,6832,1634,7364,1667,7400,1691,7435,1708,7470,1718,7504,1719,7537,1713,7568,1699,7596,1678,7622,1652,7644,1623,7658,1592,7664,1559,7662,1525,7652,1490,7635,1455,7611,1419,7579,888,7047,693,7242,1213,7761,1247,7793,1286,7825,1330,7858,1378,7890,1410,7909,1445,7925,1482,7938,1520,7949,1559,7957,1595,7961,1629,7961,1662,7957,1693,7950,1725,7939,1757,7923,1788,7902,1819,7879,1847,7856,1873,7833,1897,7810,1933,7770,1963,7729,1987,7688,2004,7645,2012,7613,2016,7577xm2744,6794l2738,6729,2722,6664,2696,6597,2668,6543,2633,6487,2590,6429,2540,6370,2522,6351,2483,6310,2459,6288,2459,6782,2454,6822,2439,6859,2413,6892,2380,6917,2343,6932,2303,6937,2258,6930,2209,6912,2156,6881,2097,6835,2033,6776,1974,6712,1928,6653,1897,6599,1878,6550,1872,6505,1876,6465,1891,6429,1915,6398,1948,6372,1984,6357,2025,6351,2069,6357,2117,6374,2169,6404,2225,6446,2285,6501,2350,6571,2400,6634,2434,6689,2453,6738,2459,6782,2459,6288,2413,6245,2344,6190,2275,6145,2206,6109,2138,6084,2071,6068,1992,6062,1916,6072,1845,6097,1776,6138,1712,6194,1658,6257,1618,6325,1594,6396,1585,6472,1591,6552,1608,6620,1634,6689,1670,6758,1716,6829,1772,6899,1838,6970,1898,7027,1958,7077,2018,7119,2077,7153,2135,7181,2206,7205,2273,7219,2337,7222,2397,7216,2455,7200,2511,7173,2567,7135,2620,7087,2667,7033,2703,6977,2720,6937,2728,6918,2741,6857,2744,6794xm3015,6214l2828,6027,2574,6281,2761,6468,3015,6214xm3526,6151l2655,5280,2460,5475,3331,6346,3526,6151xm3860,5817l3537,5494,3643,5387,3694,5327,3699,5317,3728,5266,3745,5203,3744,5138,3728,5072,3705,5021,3698,5006,3654,4940,3595,4874,3532,4817,3469,4774,3460,4770,3460,5163,3459,5189,3449,5215,3432,5242,3408,5270,3360,5317,3166,5123,3221,5068,3248,5044,3274,5029,3300,5021,3324,5022,3348,5028,3371,5039,3393,5053,3414,5072,3432,5093,3446,5116,3455,5139,3460,5163,3460,4770,3406,4745,3345,4729,3285,4728,3227,4743,3171,4773,3117,4818,2793,5141,3665,6013,3860,5817xm4650,5027l3994,4371,4192,4173,3977,3958,3386,4549,3601,4764,3799,4566,4455,5222,4650,5027xm5285,4392l4629,3736,4828,3537,4613,3322,4021,3914,4236,4129,4435,3931,5091,4587,5285,4392xm6019,3519l6013,3455,5997,3389,5971,3322,5943,3268,5908,3212,5865,3154,5815,3096,5797,3077,5758,3035,5734,3013,5734,3507,5729,3547,5713,3584,5687,3617,5655,3642,5618,3657,5578,3662,5533,3655,5484,3637,5431,3606,5372,3560,5308,3501,5249,3437,5203,3378,5171,3324,5153,3275,5147,3231,5151,3190,5165,3154,5190,3123,5223,3097,5259,3082,5300,3077,5344,3082,5392,3099,5444,3129,5500,3171,5560,3226,5625,3296,5675,3359,5709,3415,5728,3463,5734,3507,5734,3013,5688,2970,5618,2915,5549,2870,5481,2834,5413,2809,5345,2793,5267,2787,5191,2797,5119,2823,5051,2863,4987,2919,4933,2982,4893,3050,4869,3121,4860,3197,4866,3277,4883,3345,4909,3414,4945,3484,4991,3554,5046,3624,5112,3695,5173,3752,5233,3802,5293,3844,5352,3878,5410,3906,5481,3930,5548,3944,5612,3947,5672,3941,5730,3925,5786,3898,5841,3860,5895,3812,5942,3758,5978,3702,5995,3662,6003,3643,6016,3582,6019,3519xm7032,2523l7027,2475,7015,2424,6996,2371,6971,2317,6941,2261,6903,2204,6842,2228,6661,2303,6693,2349,6717,2393,6735,2433,6746,2470,6749,2505,6743,2538,6728,2569,6705,2598,6674,2622,6640,2636,6602,2640,6562,2634,6515,2615,6462,2582,6400,2532,6331,2467,6279,2411,6237,2359,6206,2312,6186,2269,6173,2217,6174,2171,6187,2130,6214,2094,6229,2081,6246,2070,6264,2063,6284,2058,6304,2056,6326,2056,6348,2059,6371,2065,6386,2071,6404,2080,6425,2091,6448,2105,6567,1880,6484,1834,6405,1802,6331,1783,6262,1776,6195,1784,6131,1807,6068,1845,6008,1897,5954,1960,5916,2026,5892,2097,5883,2171,5889,2248,5905,2315,5932,2383,5968,2452,6015,2522,6071,2593,6138,2664,6202,2725,6266,2777,6329,2821,6391,2856,6452,2883,6524,2907,6592,2920,6653,2923,6709,2916,6762,2899,6814,2872,6866,2836,6918,2789,6956,2747,6987,2703,7009,2660,7023,2616,7031,2570,7032,2523xm7729,1808l7723,1744,7708,1678,7682,1611,7654,1557,7619,1501,7576,1444,7526,1385,7508,1366,7469,1324,7445,1302,7445,1796,7440,1836,7424,1873,7398,1906,7366,1931,7329,1946,7289,1951,7244,1944,7195,1926,7141,1895,7083,1850,7019,1791,6960,1727,6914,1667,6882,1613,6864,1564,6858,1520,6862,1479,6876,1444,6901,1412,6933,1386,6970,1371,7011,1366,7055,1371,7103,1388,7155,1418,7211,1460,7271,1515,7336,1585,7385,1648,7420,1704,7439,1752,7445,1796,7445,1302,7399,1259,7329,1204,7260,1159,7192,1123,7124,1098,7056,1082,6977,1076,6902,1086,6830,1112,6762,1152,6697,1208,6643,1271,6604,1339,6580,1411,6571,1486,6577,1566,6593,1634,6620,1703,6656,1773,6701,1843,6757,1913,6823,1984,6884,2041,6944,2091,7004,2133,7063,2168,7121,2195,7191,2219,7259,2233,7322,2236,7383,2230,7441,2214,7497,2187,7552,2149,7606,2101,7653,2047,7689,1991,7706,1951,7714,1932,7727,1871,7729,1808xm8210,1467l7887,1144,7994,1037,8044,977,8050,967,8078,916,8095,852,8095,787,8079,722,8056,671,8049,656,8004,590,7946,524,7882,467,7819,424,7810,420,7810,813,7809,839,7800,865,7783,892,7758,919,7711,967,7516,773,7572,717,7599,694,7625,679,7650,671,7674,672,7698,678,7721,689,7743,703,7764,721,7782,743,7796,765,7805,789,7810,813,7810,420,7757,395,7695,379,7635,378,7577,392,7521,422,7467,468,7144,791,8015,1662,8210,1467xm9028,649l8663,284,8610,134,8455,-317,8402,-467,8187,-252,8215,-181,8298,29,8354,170,8283,142,8073,58,7933,2,7716,219,7866,271,8318,427,8468,479,8833,844,9028,649xe" filled="true" fillcolor="#c0c0c0" stroked="false">
                        <v:path arrowok="t"/>
                        <v:fill opacity="32896f" type="solid"/>
                      </v:shape>
                      <w10:wrap type="none"/>
                    </v:group>
                  </w:pict>
                </mc:Fallback>
              </mc:AlternateContent>
            </w:r>
            <w:r>
              <w:rPr>
                <w:spacing w:val="-5"/>
                <w:sz w:val="18"/>
              </w:rPr>
              <w:t>FDI</w:t>
            </w:r>
          </w:p>
        </w:tc>
        <w:tc>
          <w:tcPr>
            <w:tcW w:w="1561" w:type="dxa"/>
          </w:tcPr>
          <w:p>
            <w:pPr>
              <w:pStyle w:val="TableParagraph"/>
              <w:ind w:left="48" w:right="52"/>
              <w:jc w:val="center"/>
              <w:rPr>
                <w:sz w:val="18"/>
              </w:rPr>
            </w:pPr>
            <w:r>
              <w:rPr>
                <w:spacing w:val="-5"/>
                <w:sz w:val="18"/>
              </w:rPr>
              <w:t>FPI</w:t>
            </w:r>
          </w:p>
        </w:tc>
        <w:tc>
          <w:tcPr>
            <w:tcW w:w="1350" w:type="dxa"/>
          </w:tcPr>
          <w:p>
            <w:pPr>
              <w:pStyle w:val="TableParagraph"/>
              <w:ind w:right="74"/>
              <w:jc w:val="center"/>
              <w:rPr>
                <w:sz w:val="18"/>
              </w:rPr>
            </w:pPr>
            <w:r>
              <w:rPr>
                <w:spacing w:val="-5"/>
                <w:sz w:val="18"/>
              </w:rPr>
              <w:t>TOP</w:t>
            </w:r>
          </w:p>
        </w:tc>
        <w:tc>
          <w:tcPr>
            <w:tcW w:w="1418" w:type="dxa"/>
          </w:tcPr>
          <w:p>
            <w:pPr>
              <w:pStyle w:val="TableParagraph"/>
              <w:ind w:left="43" w:right="52"/>
              <w:jc w:val="center"/>
              <w:rPr>
                <w:sz w:val="18"/>
              </w:rPr>
            </w:pPr>
            <w:r>
              <w:rPr>
                <w:spacing w:val="-5"/>
                <w:sz w:val="18"/>
              </w:rPr>
              <w:t>REM</w:t>
            </w:r>
          </w:p>
        </w:tc>
        <w:tc>
          <w:tcPr>
            <w:tcW w:w="1406" w:type="dxa"/>
          </w:tcPr>
          <w:p>
            <w:pPr>
              <w:pStyle w:val="TableParagraph"/>
              <w:ind w:left="103" w:right="102"/>
              <w:jc w:val="center"/>
              <w:rPr>
                <w:sz w:val="18"/>
              </w:rPr>
            </w:pPr>
            <w:r>
              <w:rPr>
                <w:spacing w:val="-5"/>
                <w:sz w:val="18"/>
              </w:rPr>
              <w:t>ODA</w:t>
            </w:r>
          </w:p>
        </w:tc>
        <w:tc>
          <w:tcPr>
            <w:tcW w:w="1439" w:type="dxa"/>
          </w:tcPr>
          <w:p>
            <w:pPr>
              <w:pStyle w:val="TableParagraph"/>
              <w:ind w:left="44" w:right="48"/>
              <w:jc w:val="center"/>
              <w:rPr>
                <w:sz w:val="18"/>
              </w:rPr>
            </w:pPr>
            <w:r>
              <w:rPr>
                <w:spacing w:val="-2"/>
                <w:sz w:val="18"/>
              </w:rPr>
              <w:t>CPS_GDP</w:t>
            </w:r>
          </w:p>
        </w:tc>
        <w:tc>
          <w:tcPr>
            <w:tcW w:w="1409" w:type="dxa"/>
          </w:tcPr>
          <w:p>
            <w:pPr>
              <w:pStyle w:val="TableParagraph"/>
              <w:ind w:left="56" w:right="74"/>
              <w:jc w:val="center"/>
              <w:rPr>
                <w:sz w:val="18"/>
              </w:rPr>
            </w:pPr>
            <w:r>
              <w:rPr>
                <w:spacing w:val="-5"/>
                <w:sz w:val="18"/>
              </w:rPr>
              <w:t>INT</w:t>
            </w:r>
          </w:p>
        </w:tc>
        <w:tc>
          <w:tcPr>
            <w:tcW w:w="2834" w:type="dxa"/>
          </w:tcPr>
          <w:p>
            <w:pPr>
              <w:pStyle w:val="TableParagraph"/>
              <w:ind w:right="1425"/>
              <w:jc w:val="center"/>
              <w:rPr>
                <w:sz w:val="18"/>
              </w:rPr>
            </w:pPr>
            <w:r>
              <w:rPr>
                <w:spacing w:val="-4"/>
                <w:sz w:val="18"/>
              </w:rPr>
              <w:t>EXCH</w:t>
            </w:r>
          </w:p>
        </w:tc>
      </w:tr>
      <w:tr>
        <w:trPr>
          <w:trHeight w:val="224" w:hRule="atLeast"/>
        </w:trPr>
        <w:tc>
          <w:tcPr>
            <w:tcW w:w="1467" w:type="dxa"/>
          </w:tcPr>
          <w:p>
            <w:pPr>
              <w:pStyle w:val="TableParagraph"/>
              <w:spacing w:line="198" w:lineRule="exact"/>
              <w:ind w:left="56" w:right="81"/>
              <w:jc w:val="center"/>
              <w:rPr>
                <w:sz w:val="18"/>
              </w:rPr>
            </w:pPr>
            <w:r>
              <w:rPr>
                <w:spacing w:val="-2"/>
                <w:sz w:val="18"/>
              </w:rPr>
              <w:t>1.000000</w:t>
            </w:r>
          </w:p>
        </w:tc>
        <w:tc>
          <w:tcPr>
            <w:tcW w:w="1266" w:type="dxa"/>
          </w:tcPr>
          <w:p>
            <w:pPr>
              <w:pStyle w:val="TableParagraph"/>
              <w:spacing w:line="198" w:lineRule="exact"/>
              <w:ind w:left="47" w:right="10"/>
              <w:jc w:val="center"/>
              <w:rPr>
                <w:sz w:val="18"/>
              </w:rPr>
            </w:pPr>
            <w:r>
              <w:rPr>
                <w:spacing w:val="-2"/>
                <w:sz w:val="18"/>
              </w:rPr>
              <w:t>0.000000</w:t>
            </w:r>
          </w:p>
        </w:tc>
        <w:tc>
          <w:tcPr>
            <w:tcW w:w="1561" w:type="dxa"/>
          </w:tcPr>
          <w:p>
            <w:pPr>
              <w:pStyle w:val="TableParagraph"/>
              <w:spacing w:line="198" w:lineRule="exact"/>
              <w:ind w:left="51" w:right="4"/>
              <w:jc w:val="center"/>
              <w:rPr>
                <w:sz w:val="18"/>
              </w:rPr>
            </w:pPr>
            <w:r>
              <w:rPr>
                <w:spacing w:val="-2"/>
                <w:sz w:val="18"/>
              </w:rPr>
              <w:t>0.000000</w:t>
            </w:r>
          </w:p>
        </w:tc>
        <w:tc>
          <w:tcPr>
            <w:tcW w:w="1350" w:type="dxa"/>
          </w:tcPr>
          <w:p>
            <w:pPr>
              <w:pStyle w:val="TableParagraph"/>
              <w:spacing w:line="198" w:lineRule="exact"/>
              <w:ind w:left="51" w:right="74"/>
              <w:jc w:val="center"/>
              <w:rPr>
                <w:sz w:val="18"/>
              </w:rPr>
            </w:pPr>
            <w:r>
              <w:rPr>
                <w:spacing w:val="-2"/>
                <w:sz w:val="18"/>
              </w:rPr>
              <w:t>0.000000</w:t>
            </w:r>
          </w:p>
        </w:tc>
        <w:tc>
          <w:tcPr>
            <w:tcW w:w="1418" w:type="dxa"/>
          </w:tcPr>
          <w:p>
            <w:pPr>
              <w:pStyle w:val="TableParagraph"/>
              <w:spacing w:line="198" w:lineRule="exact"/>
              <w:ind w:left="53" w:right="10"/>
              <w:jc w:val="center"/>
              <w:rPr>
                <w:sz w:val="18"/>
              </w:rPr>
            </w:pPr>
            <w:r>
              <w:rPr>
                <w:spacing w:val="-2"/>
                <w:sz w:val="18"/>
              </w:rPr>
              <w:t>20.35311</w:t>
            </w:r>
          </w:p>
        </w:tc>
        <w:tc>
          <w:tcPr>
            <w:tcW w:w="1406" w:type="dxa"/>
          </w:tcPr>
          <w:p>
            <w:pPr>
              <w:pStyle w:val="TableParagraph"/>
              <w:spacing w:line="198" w:lineRule="exact"/>
              <w:ind w:left="154" w:right="102"/>
              <w:jc w:val="center"/>
              <w:rPr>
                <w:sz w:val="18"/>
              </w:rPr>
            </w:pPr>
            <w:r>
              <w:rPr>
                <w:spacing w:val="-2"/>
                <w:sz w:val="18"/>
              </w:rPr>
              <w:t>1.331783</w:t>
            </w:r>
          </w:p>
        </w:tc>
        <w:tc>
          <w:tcPr>
            <w:tcW w:w="1439" w:type="dxa"/>
          </w:tcPr>
          <w:p>
            <w:pPr>
              <w:pStyle w:val="TableParagraph"/>
              <w:spacing w:line="198" w:lineRule="exact"/>
              <w:ind w:left="44" w:right="48"/>
              <w:jc w:val="center"/>
              <w:rPr>
                <w:sz w:val="18"/>
              </w:rPr>
            </w:pPr>
            <w:r>
              <w:rPr>
                <w:spacing w:val="-2"/>
                <w:sz w:val="18"/>
              </w:rPr>
              <w:t>-1405.386</w:t>
            </w:r>
          </w:p>
        </w:tc>
        <w:tc>
          <w:tcPr>
            <w:tcW w:w="1409" w:type="dxa"/>
          </w:tcPr>
          <w:p>
            <w:pPr>
              <w:pStyle w:val="TableParagraph"/>
              <w:spacing w:line="198" w:lineRule="exact"/>
              <w:ind w:left="56" w:right="27"/>
              <w:jc w:val="center"/>
              <w:rPr>
                <w:sz w:val="18"/>
              </w:rPr>
            </w:pPr>
            <w:r>
              <w:rPr>
                <w:spacing w:val="-2"/>
                <w:sz w:val="18"/>
              </w:rPr>
              <w:t>481.4998</w:t>
            </w:r>
          </w:p>
        </w:tc>
        <w:tc>
          <w:tcPr>
            <w:tcW w:w="2834" w:type="dxa"/>
          </w:tcPr>
          <w:p>
            <w:pPr>
              <w:pStyle w:val="TableParagraph"/>
              <w:spacing w:line="198" w:lineRule="exact"/>
              <w:ind w:right="1425"/>
              <w:jc w:val="center"/>
              <w:rPr>
                <w:sz w:val="18"/>
              </w:rPr>
            </w:pPr>
            <w:r>
              <w:rPr>
                <w:spacing w:val="-2"/>
                <w:sz w:val="18"/>
              </w:rPr>
              <w:t>-328.8889</w:t>
            </w: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before="5"/>
              <w:ind w:left="53" w:right="10"/>
              <w:jc w:val="center"/>
              <w:rPr>
                <w:sz w:val="18"/>
              </w:rPr>
            </w:pPr>
            <w:r>
              <w:rPr>
                <w:spacing w:val="-2"/>
                <w:sz w:val="18"/>
              </w:rPr>
              <w:t>(4.29767)</w:t>
            </w:r>
          </w:p>
        </w:tc>
        <w:tc>
          <w:tcPr>
            <w:tcW w:w="1406" w:type="dxa"/>
          </w:tcPr>
          <w:p>
            <w:pPr>
              <w:pStyle w:val="TableParagraph"/>
              <w:spacing w:before="5"/>
              <w:ind w:left="154" w:right="102"/>
              <w:jc w:val="center"/>
              <w:rPr>
                <w:sz w:val="18"/>
              </w:rPr>
            </w:pPr>
            <w:r>
              <w:rPr>
                <w:spacing w:val="-2"/>
                <w:sz w:val="18"/>
              </w:rPr>
              <w:t>(0.24972)</w:t>
            </w:r>
          </w:p>
        </w:tc>
        <w:tc>
          <w:tcPr>
            <w:tcW w:w="1439" w:type="dxa"/>
          </w:tcPr>
          <w:p>
            <w:pPr>
              <w:pStyle w:val="TableParagraph"/>
              <w:spacing w:before="5"/>
              <w:ind w:left="51" w:right="7"/>
              <w:jc w:val="center"/>
              <w:rPr>
                <w:sz w:val="18"/>
              </w:rPr>
            </w:pPr>
            <w:r>
              <w:rPr>
                <w:spacing w:val="-2"/>
                <w:sz w:val="18"/>
              </w:rPr>
              <w:t>(204.463)</w:t>
            </w:r>
          </w:p>
        </w:tc>
        <w:tc>
          <w:tcPr>
            <w:tcW w:w="1409" w:type="dxa"/>
          </w:tcPr>
          <w:p>
            <w:pPr>
              <w:pStyle w:val="TableParagraph"/>
              <w:spacing w:before="5"/>
              <w:ind w:left="56" w:right="27"/>
              <w:jc w:val="center"/>
              <w:rPr>
                <w:sz w:val="18"/>
              </w:rPr>
            </w:pPr>
            <w:r>
              <w:rPr>
                <w:spacing w:val="-2"/>
                <w:sz w:val="18"/>
              </w:rPr>
              <w:t>(169.946)</w:t>
            </w:r>
          </w:p>
        </w:tc>
        <w:tc>
          <w:tcPr>
            <w:tcW w:w="2834" w:type="dxa"/>
          </w:tcPr>
          <w:p>
            <w:pPr>
              <w:pStyle w:val="TableParagraph"/>
              <w:spacing w:before="5"/>
              <w:ind w:left="51" w:right="1425"/>
              <w:jc w:val="center"/>
              <w:rPr>
                <w:sz w:val="18"/>
              </w:rPr>
            </w:pPr>
            <w:r>
              <w:rPr>
                <w:spacing w:val="-2"/>
                <w:sz w:val="18"/>
              </w:rPr>
              <w:t>(27.2745)</w:t>
            </w:r>
          </w:p>
        </w:tc>
      </w:tr>
      <w:tr>
        <w:trPr>
          <w:trHeight w:val="225" w:hRule="atLeast"/>
        </w:trPr>
        <w:tc>
          <w:tcPr>
            <w:tcW w:w="1467" w:type="dxa"/>
          </w:tcPr>
          <w:p>
            <w:pPr>
              <w:pStyle w:val="TableParagraph"/>
              <w:ind w:left="56" w:right="81"/>
              <w:jc w:val="center"/>
              <w:rPr>
                <w:sz w:val="18"/>
              </w:rPr>
            </w:pPr>
            <w:r>
              <w:rPr>
                <w:spacing w:val="-2"/>
                <w:sz w:val="18"/>
              </w:rPr>
              <w:t>0.000000</w:t>
            </w:r>
          </w:p>
        </w:tc>
        <w:tc>
          <w:tcPr>
            <w:tcW w:w="1266" w:type="dxa"/>
          </w:tcPr>
          <w:p>
            <w:pPr>
              <w:pStyle w:val="TableParagraph"/>
              <w:ind w:left="47" w:right="10"/>
              <w:jc w:val="center"/>
              <w:rPr>
                <w:sz w:val="18"/>
              </w:rPr>
            </w:pPr>
            <w:r>
              <w:rPr>
                <w:spacing w:val="-2"/>
                <w:sz w:val="18"/>
              </w:rPr>
              <w:t>1.000000</w:t>
            </w:r>
          </w:p>
        </w:tc>
        <w:tc>
          <w:tcPr>
            <w:tcW w:w="1561" w:type="dxa"/>
          </w:tcPr>
          <w:p>
            <w:pPr>
              <w:pStyle w:val="TableParagraph"/>
              <w:ind w:left="51" w:right="4"/>
              <w:jc w:val="center"/>
              <w:rPr>
                <w:sz w:val="18"/>
              </w:rPr>
            </w:pPr>
            <w:r>
              <w:rPr>
                <w:spacing w:val="-2"/>
                <w:sz w:val="18"/>
              </w:rPr>
              <w:t>0.000000</w:t>
            </w:r>
          </w:p>
        </w:tc>
        <w:tc>
          <w:tcPr>
            <w:tcW w:w="1350" w:type="dxa"/>
          </w:tcPr>
          <w:p>
            <w:pPr>
              <w:pStyle w:val="TableParagraph"/>
              <w:ind w:left="51" w:right="74"/>
              <w:jc w:val="center"/>
              <w:rPr>
                <w:sz w:val="18"/>
              </w:rPr>
            </w:pPr>
            <w:r>
              <w:rPr>
                <w:spacing w:val="-2"/>
                <w:sz w:val="18"/>
              </w:rPr>
              <w:t>0.000000</w:t>
            </w:r>
          </w:p>
        </w:tc>
        <w:tc>
          <w:tcPr>
            <w:tcW w:w="1418" w:type="dxa"/>
          </w:tcPr>
          <w:p>
            <w:pPr>
              <w:pStyle w:val="TableParagraph"/>
              <w:ind w:left="53" w:right="10"/>
              <w:jc w:val="center"/>
              <w:rPr>
                <w:sz w:val="18"/>
              </w:rPr>
            </w:pPr>
            <w:r>
              <w:rPr>
                <w:spacing w:val="-2"/>
                <w:sz w:val="18"/>
              </w:rPr>
              <w:t>9.499194</w:t>
            </w:r>
          </w:p>
        </w:tc>
        <w:tc>
          <w:tcPr>
            <w:tcW w:w="1406" w:type="dxa"/>
          </w:tcPr>
          <w:p>
            <w:pPr>
              <w:pStyle w:val="TableParagraph"/>
              <w:ind w:left="154" w:right="102"/>
              <w:jc w:val="center"/>
              <w:rPr>
                <w:sz w:val="18"/>
              </w:rPr>
            </w:pPr>
            <w:r>
              <w:rPr>
                <w:spacing w:val="-2"/>
                <w:sz w:val="18"/>
              </w:rPr>
              <w:t>1.095372</w:t>
            </w:r>
          </w:p>
        </w:tc>
        <w:tc>
          <w:tcPr>
            <w:tcW w:w="1439" w:type="dxa"/>
          </w:tcPr>
          <w:p>
            <w:pPr>
              <w:pStyle w:val="TableParagraph"/>
              <w:ind w:left="50" w:right="7"/>
              <w:jc w:val="center"/>
              <w:rPr>
                <w:sz w:val="18"/>
              </w:rPr>
            </w:pPr>
            <w:r>
              <w:rPr>
                <w:spacing w:val="-2"/>
                <w:sz w:val="18"/>
              </w:rPr>
              <w:t>166.4321</w:t>
            </w:r>
          </w:p>
        </w:tc>
        <w:tc>
          <w:tcPr>
            <w:tcW w:w="1409" w:type="dxa"/>
          </w:tcPr>
          <w:p>
            <w:pPr>
              <w:pStyle w:val="TableParagraph"/>
              <w:ind w:left="56" w:right="27"/>
              <w:jc w:val="center"/>
              <w:rPr>
                <w:sz w:val="18"/>
              </w:rPr>
            </w:pPr>
            <w:r>
              <w:rPr>
                <w:spacing w:val="-2"/>
                <w:sz w:val="18"/>
              </w:rPr>
              <w:t>189.7526</w:t>
            </w:r>
          </w:p>
        </w:tc>
        <w:tc>
          <w:tcPr>
            <w:tcW w:w="2834" w:type="dxa"/>
          </w:tcPr>
          <w:p>
            <w:pPr>
              <w:pStyle w:val="TableParagraph"/>
              <w:ind w:right="1425"/>
              <w:jc w:val="center"/>
              <w:rPr>
                <w:sz w:val="18"/>
              </w:rPr>
            </w:pPr>
            <w:r>
              <w:rPr>
                <w:spacing w:val="-2"/>
                <w:sz w:val="18"/>
              </w:rPr>
              <w:t>-125.0749</w:t>
            </w: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ind w:left="53" w:right="10"/>
              <w:jc w:val="center"/>
              <w:rPr>
                <w:sz w:val="18"/>
              </w:rPr>
            </w:pPr>
            <w:r>
              <w:rPr>
                <w:spacing w:val="-2"/>
                <w:sz w:val="18"/>
              </w:rPr>
              <w:t>(2.94901)</w:t>
            </w:r>
          </w:p>
        </w:tc>
        <w:tc>
          <w:tcPr>
            <w:tcW w:w="1406" w:type="dxa"/>
          </w:tcPr>
          <w:p>
            <w:pPr>
              <w:pStyle w:val="TableParagraph"/>
              <w:ind w:left="154" w:right="102"/>
              <w:jc w:val="center"/>
              <w:rPr>
                <w:sz w:val="18"/>
              </w:rPr>
            </w:pPr>
            <w:r>
              <w:rPr>
                <w:spacing w:val="-2"/>
                <w:sz w:val="18"/>
              </w:rPr>
              <w:t>(0.17136)</w:t>
            </w:r>
          </w:p>
        </w:tc>
        <w:tc>
          <w:tcPr>
            <w:tcW w:w="1439" w:type="dxa"/>
          </w:tcPr>
          <w:p>
            <w:pPr>
              <w:pStyle w:val="TableParagraph"/>
              <w:ind w:left="51" w:right="7"/>
              <w:jc w:val="center"/>
              <w:rPr>
                <w:sz w:val="18"/>
              </w:rPr>
            </w:pPr>
            <w:r>
              <w:rPr>
                <w:spacing w:val="-2"/>
                <w:sz w:val="18"/>
              </w:rPr>
              <w:t>(140.300)</w:t>
            </w:r>
          </w:p>
        </w:tc>
        <w:tc>
          <w:tcPr>
            <w:tcW w:w="1409" w:type="dxa"/>
          </w:tcPr>
          <w:p>
            <w:pPr>
              <w:pStyle w:val="TableParagraph"/>
              <w:ind w:left="56" w:right="27"/>
              <w:jc w:val="center"/>
              <w:rPr>
                <w:sz w:val="18"/>
              </w:rPr>
            </w:pPr>
            <w:r>
              <w:rPr>
                <w:spacing w:val="-2"/>
                <w:sz w:val="18"/>
              </w:rPr>
              <w:t>(116.615)</w:t>
            </w:r>
          </w:p>
        </w:tc>
        <w:tc>
          <w:tcPr>
            <w:tcW w:w="2834" w:type="dxa"/>
          </w:tcPr>
          <w:p>
            <w:pPr>
              <w:pStyle w:val="TableParagraph"/>
              <w:ind w:left="51" w:right="1425"/>
              <w:jc w:val="center"/>
              <w:rPr>
                <w:sz w:val="18"/>
              </w:rPr>
            </w:pPr>
            <w:r>
              <w:rPr>
                <w:spacing w:val="-2"/>
                <w:sz w:val="18"/>
              </w:rPr>
              <w:t>(18.7155)</w:t>
            </w:r>
          </w:p>
        </w:tc>
      </w:tr>
      <w:tr>
        <w:trPr>
          <w:trHeight w:val="224" w:hRule="atLeast"/>
        </w:trPr>
        <w:tc>
          <w:tcPr>
            <w:tcW w:w="1467" w:type="dxa"/>
          </w:tcPr>
          <w:p>
            <w:pPr>
              <w:pStyle w:val="TableParagraph"/>
              <w:spacing w:line="198" w:lineRule="exact"/>
              <w:ind w:left="56" w:right="81"/>
              <w:jc w:val="center"/>
              <w:rPr>
                <w:sz w:val="18"/>
              </w:rPr>
            </w:pPr>
            <w:r>
              <w:rPr>
                <w:spacing w:val="-2"/>
                <w:sz w:val="18"/>
              </w:rPr>
              <w:t>0.000000</w:t>
            </w:r>
          </w:p>
        </w:tc>
        <w:tc>
          <w:tcPr>
            <w:tcW w:w="1266" w:type="dxa"/>
          </w:tcPr>
          <w:p>
            <w:pPr>
              <w:pStyle w:val="TableParagraph"/>
              <w:spacing w:line="198" w:lineRule="exact"/>
              <w:ind w:left="47" w:right="10"/>
              <w:jc w:val="center"/>
              <w:rPr>
                <w:sz w:val="18"/>
              </w:rPr>
            </w:pPr>
            <w:r>
              <w:rPr>
                <w:spacing w:val="-2"/>
                <w:sz w:val="18"/>
              </w:rPr>
              <w:t>0.000000</w:t>
            </w:r>
          </w:p>
        </w:tc>
        <w:tc>
          <w:tcPr>
            <w:tcW w:w="1561" w:type="dxa"/>
          </w:tcPr>
          <w:p>
            <w:pPr>
              <w:pStyle w:val="TableParagraph"/>
              <w:spacing w:line="198" w:lineRule="exact"/>
              <w:ind w:left="51" w:right="4"/>
              <w:jc w:val="center"/>
              <w:rPr>
                <w:sz w:val="18"/>
              </w:rPr>
            </w:pPr>
            <w:r>
              <w:rPr>
                <w:spacing w:val="-2"/>
                <w:sz w:val="18"/>
              </w:rPr>
              <w:t>1.000000</w:t>
            </w:r>
          </w:p>
        </w:tc>
        <w:tc>
          <w:tcPr>
            <w:tcW w:w="1350" w:type="dxa"/>
          </w:tcPr>
          <w:p>
            <w:pPr>
              <w:pStyle w:val="TableParagraph"/>
              <w:spacing w:line="198" w:lineRule="exact"/>
              <w:ind w:left="51" w:right="74"/>
              <w:jc w:val="center"/>
              <w:rPr>
                <w:sz w:val="18"/>
              </w:rPr>
            </w:pPr>
            <w:r>
              <w:rPr>
                <w:spacing w:val="-2"/>
                <w:sz w:val="18"/>
              </w:rPr>
              <w:t>0.000000</w:t>
            </w:r>
          </w:p>
        </w:tc>
        <w:tc>
          <w:tcPr>
            <w:tcW w:w="1418" w:type="dxa"/>
          </w:tcPr>
          <w:p>
            <w:pPr>
              <w:pStyle w:val="TableParagraph"/>
              <w:spacing w:line="198" w:lineRule="exact"/>
              <w:ind w:left="43" w:right="48"/>
              <w:jc w:val="center"/>
              <w:rPr>
                <w:sz w:val="18"/>
              </w:rPr>
            </w:pPr>
            <w:r>
              <w:rPr>
                <w:spacing w:val="-2"/>
                <w:sz w:val="18"/>
              </w:rPr>
              <w:t>-0.099577</w:t>
            </w:r>
          </w:p>
        </w:tc>
        <w:tc>
          <w:tcPr>
            <w:tcW w:w="1406" w:type="dxa"/>
          </w:tcPr>
          <w:p>
            <w:pPr>
              <w:pStyle w:val="TableParagraph"/>
              <w:spacing w:line="198" w:lineRule="exact"/>
              <w:ind w:left="154" w:right="102"/>
              <w:jc w:val="center"/>
              <w:rPr>
                <w:sz w:val="18"/>
              </w:rPr>
            </w:pPr>
            <w:r>
              <w:rPr>
                <w:spacing w:val="-2"/>
                <w:sz w:val="18"/>
              </w:rPr>
              <w:t>0.007938</w:t>
            </w:r>
          </w:p>
        </w:tc>
        <w:tc>
          <w:tcPr>
            <w:tcW w:w="1439" w:type="dxa"/>
          </w:tcPr>
          <w:p>
            <w:pPr>
              <w:pStyle w:val="TableParagraph"/>
              <w:spacing w:line="198" w:lineRule="exact"/>
              <w:ind w:left="44" w:right="48"/>
              <w:jc w:val="center"/>
              <w:rPr>
                <w:sz w:val="18"/>
              </w:rPr>
            </w:pPr>
            <w:r>
              <w:rPr>
                <w:spacing w:val="-2"/>
                <w:sz w:val="18"/>
              </w:rPr>
              <w:t>-8.092734</w:t>
            </w:r>
          </w:p>
        </w:tc>
        <w:tc>
          <w:tcPr>
            <w:tcW w:w="1409" w:type="dxa"/>
          </w:tcPr>
          <w:p>
            <w:pPr>
              <w:pStyle w:val="TableParagraph"/>
              <w:spacing w:line="198" w:lineRule="exact"/>
              <w:ind w:left="56" w:right="27"/>
              <w:jc w:val="center"/>
              <w:rPr>
                <w:sz w:val="18"/>
              </w:rPr>
            </w:pPr>
            <w:r>
              <w:rPr>
                <w:spacing w:val="-2"/>
                <w:sz w:val="18"/>
              </w:rPr>
              <w:t>0.398143</w:t>
            </w:r>
          </w:p>
        </w:tc>
        <w:tc>
          <w:tcPr>
            <w:tcW w:w="2834" w:type="dxa"/>
          </w:tcPr>
          <w:p>
            <w:pPr>
              <w:pStyle w:val="TableParagraph"/>
              <w:spacing w:line="198" w:lineRule="exact"/>
              <w:ind w:right="1425"/>
              <w:jc w:val="center"/>
              <w:rPr>
                <w:sz w:val="18"/>
              </w:rPr>
            </w:pPr>
            <w:r>
              <w:rPr>
                <w:spacing w:val="-2"/>
                <w:sz w:val="18"/>
              </w:rPr>
              <w:t>-0.648765</w:t>
            </w: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00" w:lineRule="exact" w:before="5"/>
              <w:ind w:left="53" w:right="10"/>
              <w:jc w:val="center"/>
              <w:rPr>
                <w:sz w:val="18"/>
              </w:rPr>
            </w:pPr>
            <w:r>
              <w:rPr>
                <w:spacing w:val="-2"/>
                <w:sz w:val="18"/>
              </w:rPr>
              <w:t>(0.01975)</w:t>
            </w:r>
          </w:p>
        </w:tc>
        <w:tc>
          <w:tcPr>
            <w:tcW w:w="1406" w:type="dxa"/>
          </w:tcPr>
          <w:p>
            <w:pPr>
              <w:pStyle w:val="TableParagraph"/>
              <w:spacing w:line="200" w:lineRule="exact" w:before="5"/>
              <w:ind w:left="154" w:right="102"/>
              <w:jc w:val="center"/>
              <w:rPr>
                <w:sz w:val="18"/>
              </w:rPr>
            </w:pPr>
            <w:r>
              <w:rPr>
                <w:spacing w:val="-2"/>
                <w:sz w:val="18"/>
              </w:rPr>
              <w:t>(0.00115)</w:t>
            </w:r>
          </w:p>
        </w:tc>
        <w:tc>
          <w:tcPr>
            <w:tcW w:w="1439" w:type="dxa"/>
          </w:tcPr>
          <w:p>
            <w:pPr>
              <w:pStyle w:val="TableParagraph"/>
              <w:spacing w:line="200" w:lineRule="exact" w:before="5"/>
              <w:ind w:left="51" w:right="7"/>
              <w:jc w:val="center"/>
              <w:rPr>
                <w:sz w:val="18"/>
              </w:rPr>
            </w:pPr>
            <w:r>
              <w:rPr>
                <w:spacing w:val="-2"/>
                <w:sz w:val="18"/>
              </w:rPr>
              <w:t>(0.93960)</w:t>
            </w:r>
          </w:p>
        </w:tc>
        <w:tc>
          <w:tcPr>
            <w:tcW w:w="1409" w:type="dxa"/>
          </w:tcPr>
          <w:p>
            <w:pPr>
              <w:pStyle w:val="TableParagraph"/>
              <w:spacing w:line="200" w:lineRule="exact" w:before="5"/>
              <w:ind w:left="56" w:right="27"/>
              <w:jc w:val="center"/>
              <w:rPr>
                <w:sz w:val="18"/>
              </w:rPr>
            </w:pPr>
            <w:r>
              <w:rPr>
                <w:spacing w:val="-2"/>
                <w:sz w:val="18"/>
              </w:rPr>
              <w:t>(0.78098)</w:t>
            </w:r>
          </w:p>
        </w:tc>
        <w:tc>
          <w:tcPr>
            <w:tcW w:w="2834" w:type="dxa"/>
          </w:tcPr>
          <w:p>
            <w:pPr>
              <w:pStyle w:val="TableParagraph"/>
              <w:spacing w:line="200" w:lineRule="exact" w:before="5"/>
              <w:ind w:left="51" w:right="1425"/>
              <w:jc w:val="center"/>
              <w:rPr>
                <w:sz w:val="18"/>
              </w:rPr>
            </w:pPr>
            <w:r>
              <w:rPr>
                <w:spacing w:val="-2"/>
                <w:sz w:val="18"/>
              </w:rPr>
              <w:t>(0.12534)</w:t>
            </w:r>
          </w:p>
        </w:tc>
      </w:tr>
      <w:tr>
        <w:trPr>
          <w:trHeight w:val="225" w:hRule="atLeast"/>
        </w:trPr>
        <w:tc>
          <w:tcPr>
            <w:tcW w:w="1467" w:type="dxa"/>
          </w:tcPr>
          <w:p>
            <w:pPr>
              <w:pStyle w:val="TableParagraph"/>
              <w:ind w:left="56" w:right="81"/>
              <w:jc w:val="center"/>
              <w:rPr>
                <w:sz w:val="18"/>
              </w:rPr>
            </w:pPr>
            <w:r>
              <w:rPr>
                <w:spacing w:val="-2"/>
                <w:sz w:val="18"/>
              </w:rPr>
              <w:t>0.000000</w:t>
            </w:r>
          </w:p>
        </w:tc>
        <w:tc>
          <w:tcPr>
            <w:tcW w:w="1266" w:type="dxa"/>
          </w:tcPr>
          <w:p>
            <w:pPr>
              <w:pStyle w:val="TableParagraph"/>
              <w:ind w:left="47" w:right="10"/>
              <w:jc w:val="center"/>
              <w:rPr>
                <w:sz w:val="18"/>
              </w:rPr>
            </w:pPr>
            <w:r>
              <w:rPr>
                <w:spacing w:val="-2"/>
                <w:sz w:val="18"/>
              </w:rPr>
              <w:t>0.000000</w:t>
            </w:r>
          </w:p>
        </w:tc>
        <w:tc>
          <w:tcPr>
            <w:tcW w:w="1561" w:type="dxa"/>
          </w:tcPr>
          <w:p>
            <w:pPr>
              <w:pStyle w:val="TableParagraph"/>
              <w:ind w:left="51" w:right="4"/>
              <w:jc w:val="center"/>
              <w:rPr>
                <w:sz w:val="18"/>
              </w:rPr>
            </w:pPr>
            <w:r>
              <w:rPr>
                <w:spacing w:val="-2"/>
                <w:sz w:val="18"/>
              </w:rPr>
              <w:t>0.000000</w:t>
            </w:r>
          </w:p>
        </w:tc>
        <w:tc>
          <w:tcPr>
            <w:tcW w:w="1350" w:type="dxa"/>
          </w:tcPr>
          <w:p>
            <w:pPr>
              <w:pStyle w:val="TableParagraph"/>
              <w:ind w:left="51" w:right="74"/>
              <w:jc w:val="center"/>
              <w:rPr>
                <w:sz w:val="18"/>
              </w:rPr>
            </w:pPr>
            <w:r>
              <w:rPr>
                <w:spacing w:val="-2"/>
                <w:sz w:val="18"/>
              </w:rPr>
              <w:t>1.000000</w:t>
            </w:r>
          </w:p>
        </w:tc>
        <w:tc>
          <w:tcPr>
            <w:tcW w:w="1418" w:type="dxa"/>
          </w:tcPr>
          <w:p>
            <w:pPr>
              <w:pStyle w:val="TableParagraph"/>
              <w:ind w:left="53" w:right="10"/>
              <w:jc w:val="center"/>
              <w:rPr>
                <w:sz w:val="18"/>
              </w:rPr>
            </w:pPr>
            <w:r>
              <w:rPr>
                <w:spacing w:val="-2"/>
                <w:sz w:val="18"/>
              </w:rPr>
              <w:t>0.276849</w:t>
            </w:r>
          </w:p>
        </w:tc>
        <w:tc>
          <w:tcPr>
            <w:tcW w:w="1406" w:type="dxa"/>
          </w:tcPr>
          <w:p>
            <w:pPr>
              <w:pStyle w:val="TableParagraph"/>
              <w:ind w:left="155" w:right="102"/>
              <w:jc w:val="center"/>
              <w:rPr>
                <w:sz w:val="18"/>
              </w:rPr>
            </w:pPr>
            <w:r>
              <w:rPr>
                <w:spacing w:val="-2"/>
                <w:sz w:val="18"/>
              </w:rPr>
              <w:t>9.68E-</w:t>
            </w:r>
            <w:r>
              <w:rPr>
                <w:spacing w:val="-5"/>
                <w:sz w:val="18"/>
              </w:rPr>
              <w:t>05</w:t>
            </w:r>
          </w:p>
        </w:tc>
        <w:tc>
          <w:tcPr>
            <w:tcW w:w="1439" w:type="dxa"/>
          </w:tcPr>
          <w:p>
            <w:pPr>
              <w:pStyle w:val="TableParagraph"/>
              <w:ind w:left="50" w:right="7"/>
              <w:jc w:val="center"/>
              <w:rPr>
                <w:sz w:val="18"/>
              </w:rPr>
            </w:pPr>
            <w:r>
              <w:rPr>
                <w:spacing w:val="-2"/>
                <w:sz w:val="18"/>
              </w:rPr>
              <w:t>14.06051</w:t>
            </w:r>
          </w:p>
        </w:tc>
        <w:tc>
          <w:tcPr>
            <w:tcW w:w="1409" w:type="dxa"/>
          </w:tcPr>
          <w:p>
            <w:pPr>
              <w:pStyle w:val="TableParagraph"/>
              <w:ind w:left="56" w:right="27"/>
              <w:jc w:val="center"/>
              <w:rPr>
                <w:sz w:val="18"/>
              </w:rPr>
            </w:pPr>
            <w:r>
              <w:rPr>
                <w:spacing w:val="-2"/>
                <w:sz w:val="18"/>
              </w:rPr>
              <w:t>3.061934</w:t>
            </w:r>
          </w:p>
        </w:tc>
        <w:tc>
          <w:tcPr>
            <w:tcW w:w="2834" w:type="dxa"/>
          </w:tcPr>
          <w:p>
            <w:pPr>
              <w:pStyle w:val="TableParagraph"/>
              <w:ind w:right="1425"/>
              <w:jc w:val="center"/>
              <w:rPr>
                <w:sz w:val="18"/>
              </w:rPr>
            </w:pPr>
            <w:r>
              <w:rPr>
                <w:spacing w:val="-2"/>
                <w:sz w:val="18"/>
              </w:rPr>
              <w:t>-1.837800</w:t>
            </w:r>
          </w:p>
        </w:tc>
      </w:tr>
      <w:tr>
        <w:trPr>
          <w:trHeight w:val="337" w:hRule="atLeast"/>
        </w:trPr>
        <w:tc>
          <w:tcPr>
            <w:tcW w:w="1467" w:type="dxa"/>
          </w:tcPr>
          <w:p>
            <w:pPr>
              <w:pStyle w:val="TableParagraph"/>
              <w:spacing w:line="240" w:lineRule="auto" w:before="0"/>
              <w:rPr>
                <w:rFonts w:ascii="Times New Roman"/>
                <w:sz w:val="18"/>
              </w:rPr>
            </w:pPr>
          </w:p>
        </w:tc>
        <w:tc>
          <w:tcPr>
            <w:tcW w:w="1266" w:type="dxa"/>
          </w:tcPr>
          <w:p>
            <w:pPr>
              <w:pStyle w:val="TableParagraph"/>
              <w:spacing w:line="240" w:lineRule="auto" w:before="0"/>
              <w:rPr>
                <w:rFonts w:ascii="Times New Roman"/>
                <w:sz w:val="18"/>
              </w:rPr>
            </w:pPr>
          </w:p>
        </w:tc>
        <w:tc>
          <w:tcPr>
            <w:tcW w:w="1561" w:type="dxa"/>
          </w:tcPr>
          <w:p>
            <w:pPr>
              <w:pStyle w:val="TableParagraph"/>
              <w:spacing w:line="240" w:lineRule="auto" w:before="0"/>
              <w:rPr>
                <w:rFonts w:ascii="Times New Roman"/>
                <w:sz w:val="18"/>
              </w:rPr>
            </w:pPr>
          </w:p>
        </w:tc>
        <w:tc>
          <w:tcPr>
            <w:tcW w:w="1350" w:type="dxa"/>
          </w:tcPr>
          <w:p>
            <w:pPr>
              <w:pStyle w:val="TableParagraph"/>
              <w:spacing w:line="240" w:lineRule="auto" w:before="0"/>
              <w:rPr>
                <w:rFonts w:ascii="Times New Roman"/>
                <w:sz w:val="18"/>
              </w:rPr>
            </w:pPr>
          </w:p>
        </w:tc>
        <w:tc>
          <w:tcPr>
            <w:tcW w:w="1418" w:type="dxa"/>
          </w:tcPr>
          <w:p>
            <w:pPr>
              <w:pStyle w:val="TableParagraph"/>
              <w:spacing w:line="240" w:lineRule="auto"/>
              <w:ind w:left="53" w:right="10"/>
              <w:jc w:val="center"/>
              <w:rPr>
                <w:sz w:val="18"/>
              </w:rPr>
            </w:pPr>
            <w:r>
              <w:rPr>
                <w:spacing w:val="-2"/>
                <w:sz w:val="18"/>
              </w:rPr>
              <w:t>(0.05822)</w:t>
            </w:r>
          </w:p>
        </w:tc>
        <w:tc>
          <w:tcPr>
            <w:tcW w:w="1406" w:type="dxa"/>
          </w:tcPr>
          <w:p>
            <w:pPr>
              <w:pStyle w:val="TableParagraph"/>
              <w:spacing w:line="240" w:lineRule="auto"/>
              <w:ind w:left="154" w:right="102"/>
              <w:jc w:val="center"/>
              <w:rPr>
                <w:sz w:val="18"/>
              </w:rPr>
            </w:pPr>
            <w:r>
              <w:rPr>
                <w:spacing w:val="-2"/>
                <w:sz w:val="18"/>
              </w:rPr>
              <w:t>(0.00338)</w:t>
            </w:r>
          </w:p>
        </w:tc>
        <w:tc>
          <w:tcPr>
            <w:tcW w:w="1439" w:type="dxa"/>
          </w:tcPr>
          <w:p>
            <w:pPr>
              <w:pStyle w:val="TableParagraph"/>
              <w:spacing w:line="240" w:lineRule="auto"/>
              <w:ind w:left="51" w:right="7"/>
              <w:jc w:val="center"/>
              <w:rPr>
                <w:sz w:val="18"/>
              </w:rPr>
            </w:pPr>
            <w:r>
              <w:rPr>
                <w:spacing w:val="-2"/>
                <w:sz w:val="18"/>
              </w:rPr>
              <w:t>(2.76981)</w:t>
            </w:r>
          </w:p>
        </w:tc>
        <w:tc>
          <w:tcPr>
            <w:tcW w:w="1409" w:type="dxa"/>
          </w:tcPr>
          <w:p>
            <w:pPr>
              <w:pStyle w:val="TableParagraph"/>
              <w:spacing w:line="240" w:lineRule="auto"/>
              <w:ind w:left="56" w:right="27"/>
              <w:jc w:val="center"/>
              <w:rPr>
                <w:sz w:val="18"/>
              </w:rPr>
            </w:pPr>
            <w:r>
              <w:rPr>
                <w:spacing w:val="-2"/>
                <w:sz w:val="18"/>
              </w:rPr>
              <w:t>(2.30222)</w:t>
            </w:r>
          </w:p>
        </w:tc>
        <w:tc>
          <w:tcPr>
            <w:tcW w:w="2834" w:type="dxa"/>
          </w:tcPr>
          <w:p>
            <w:pPr>
              <w:pStyle w:val="TableParagraph"/>
              <w:spacing w:line="240" w:lineRule="auto"/>
              <w:ind w:left="51" w:right="1425"/>
              <w:jc w:val="center"/>
              <w:rPr>
                <w:sz w:val="18"/>
              </w:rPr>
            </w:pPr>
            <w:r>
              <w:rPr>
                <w:spacing w:val="-2"/>
                <w:sz w:val="18"/>
              </w:rPr>
              <w:t>(0.36948)</w:t>
            </w:r>
          </w:p>
        </w:tc>
      </w:tr>
      <w:tr>
        <w:trPr>
          <w:trHeight w:val="337" w:hRule="atLeast"/>
        </w:trPr>
        <w:tc>
          <w:tcPr>
            <w:tcW w:w="14150" w:type="dxa"/>
            <w:gridSpan w:val="9"/>
          </w:tcPr>
          <w:p>
            <w:pPr>
              <w:pStyle w:val="TableParagraph"/>
              <w:spacing w:before="118"/>
              <w:rPr>
                <w:sz w:val="18"/>
              </w:rPr>
            </w:pPr>
            <w:r>
              <w:rPr>
                <w:sz w:val="18"/>
              </w:rPr>
              <w:t>Adjustment</w:t>
            </w:r>
            <w:r>
              <w:rPr>
                <w:spacing w:val="-4"/>
                <w:sz w:val="18"/>
              </w:rPr>
              <w:t> </w:t>
            </w:r>
            <w:r>
              <w:rPr>
                <w:sz w:val="18"/>
              </w:rPr>
              <w:t>coefficients</w:t>
            </w:r>
            <w:r>
              <w:rPr>
                <w:spacing w:val="-3"/>
                <w:sz w:val="18"/>
              </w:rPr>
              <w:t> </w:t>
            </w:r>
            <w:r>
              <w:rPr>
                <w:sz w:val="18"/>
              </w:rPr>
              <w:t>(standard</w:t>
            </w:r>
            <w:r>
              <w:rPr>
                <w:spacing w:val="-4"/>
                <w:sz w:val="18"/>
              </w:rPr>
              <w:t> </w:t>
            </w:r>
            <w:r>
              <w:rPr>
                <w:sz w:val="18"/>
              </w:rPr>
              <w:t>error</w:t>
            </w:r>
            <w:r>
              <w:rPr>
                <w:spacing w:val="-6"/>
                <w:sz w:val="18"/>
              </w:rPr>
              <w:t> </w:t>
            </w:r>
            <w:r>
              <w:rPr>
                <w:sz w:val="18"/>
              </w:rPr>
              <w:t>in</w:t>
            </w:r>
            <w:r>
              <w:rPr>
                <w:spacing w:val="-5"/>
                <w:sz w:val="18"/>
              </w:rPr>
              <w:t> </w:t>
            </w:r>
            <w:r>
              <w:rPr>
                <w:spacing w:val="-2"/>
                <w:sz w:val="18"/>
              </w:rPr>
              <w:t>parentheses)</w:t>
            </w:r>
          </w:p>
        </w:tc>
      </w:tr>
      <w:tr>
        <w:trPr>
          <w:trHeight w:val="225" w:hRule="atLeast"/>
        </w:trPr>
        <w:tc>
          <w:tcPr>
            <w:tcW w:w="1467" w:type="dxa"/>
          </w:tcPr>
          <w:p>
            <w:pPr>
              <w:pStyle w:val="TableParagraph"/>
              <w:ind w:right="81"/>
              <w:jc w:val="center"/>
              <w:rPr>
                <w:sz w:val="18"/>
              </w:rPr>
            </w:pPr>
            <w:r>
              <w:rPr>
                <w:spacing w:val="-2"/>
                <w:sz w:val="18"/>
              </w:rPr>
              <w:t>D(RGDP)</w:t>
            </w:r>
          </w:p>
        </w:tc>
        <w:tc>
          <w:tcPr>
            <w:tcW w:w="1266" w:type="dxa"/>
          </w:tcPr>
          <w:p>
            <w:pPr>
              <w:pStyle w:val="TableParagraph"/>
              <w:ind w:left="38" w:right="48"/>
              <w:jc w:val="center"/>
              <w:rPr>
                <w:sz w:val="18"/>
              </w:rPr>
            </w:pPr>
            <w:r>
              <w:rPr>
                <w:spacing w:val="-2"/>
                <w:sz w:val="18"/>
              </w:rPr>
              <w:t>-0.145627</w:t>
            </w:r>
          </w:p>
        </w:tc>
        <w:tc>
          <w:tcPr>
            <w:tcW w:w="1561" w:type="dxa"/>
          </w:tcPr>
          <w:p>
            <w:pPr>
              <w:pStyle w:val="TableParagraph"/>
              <w:ind w:left="48" w:right="48"/>
              <w:jc w:val="center"/>
              <w:rPr>
                <w:sz w:val="18"/>
              </w:rPr>
            </w:pPr>
            <w:r>
              <w:rPr>
                <w:spacing w:val="-2"/>
                <w:sz w:val="18"/>
              </w:rPr>
              <w:t>-0.147968</w:t>
            </w:r>
          </w:p>
        </w:tc>
        <w:tc>
          <w:tcPr>
            <w:tcW w:w="1350" w:type="dxa"/>
          </w:tcPr>
          <w:p>
            <w:pPr>
              <w:pStyle w:val="TableParagraph"/>
              <w:ind w:left="51" w:right="74"/>
              <w:jc w:val="center"/>
              <w:rPr>
                <w:sz w:val="18"/>
              </w:rPr>
            </w:pPr>
            <w:r>
              <w:rPr>
                <w:spacing w:val="-2"/>
                <w:sz w:val="18"/>
              </w:rPr>
              <w:t>46.26730</w:t>
            </w:r>
          </w:p>
        </w:tc>
        <w:tc>
          <w:tcPr>
            <w:tcW w:w="1418" w:type="dxa"/>
          </w:tcPr>
          <w:p>
            <w:pPr>
              <w:pStyle w:val="TableParagraph"/>
              <w:ind w:left="53" w:right="10"/>
              <w:jc w:val="center"/>
              <w:rPr>
                <w:sz w:val="18"/>
              </w:rPr>
            </w:pPr>
            <w:r>
              <w:rPr>
                <w:spacing w:val="-2"/>
                <w:sz w:val="18"/>
              </w:rPr>
              <w:t>25.52838</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(0.05520)</w:t>
            </w:r>
          </w:p>
        </w:tc>
        <w:tc>
          <w:tcPr>
            <w:tcW w:w="1561" w:type="dxa"/>
          </w:tcPr>
          <w:p>
            <w:pPr>
              <w:pStyle w:val="TableParagraph"/>
              <w:ind w:left="52" w:right="4"/>
              <w:jc w:val="center"/>
              <w:rPr>
                <w:sz w:val="18"/>
              </w:rPr>
            </w:pPr>
            <w:r>
              <w:rPr>
                <w:spacing w:val="-2"/>
                <w:sz w:val="18"/>
              </w:rPr>
              <w:t>(0.08459)</w:t>
            </w:r>
          </w:p>
        </w:tc>
        <w:tc>
          <w:tcPr>
            <w:tcW w:w="1350" w:type="dxa"/>
          </w:tcPr>
          <w:p>
            <w:pPr>
              <w:pStyle w:val="TableParagraph"/>
              <w:ind w:left="52" w:right="74"/>
              <w:jc w:val="center"/>
              <w:rPr>
                <w:sz w:val="18"/>
              </w:rPr>
            </w:pPr>
            <w:r>
              <w:rPr>
                <w:spacing w:val="-2"/>
                <w:sz w:val="18"/>
              </w:rPr>
              <w:t>(21.6403)</w:t>
            </w:r>
          </w:p>
        </w:tc>
        <w:tc>
          <w:tcPr>
            <w:tcW w:w="1418" w:type="dxa"/>
          </w:tcPr>
          <w:p>
            <w:pPr>
              <w:pStyle w:val="TableParagraph"/>
              <w:ind w:left="53" w:right="10"/>
              <w:jc w:val="center"/>
              <w:rPr>
                <w:sz w:val="18"/>
              </w:rPr>
            </w:pPr>
            <w:r>
              <w:rPr>
                <w:spacing w:val="-2"/>
                <w:sz w:val="18"/>
              </w:rPr>
              <w:t>(10.4919)</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left="2" w:right="81"/>
              <w:jc w:val="center"/>
              <w:rPr>
                <w:sz w:val="18"/>
              </w:rPr>
            </w:pPr>
            <w:r>
              <w:rPr>
                <w:spacing w:val="-2"/>
                <w:sz w:val="18"/>
              </w:rPr>
              <w:t>D(FDI)</w:t>
            </w:r>
          </w:p>
        </w:tc>
        <w:tc>
          <w:tcPr>
            <w:tcW w:w="1266" w:type="dxa"/>
          </w:tcPr>
          <w:p>
            <w:pPr>
              <w:pStyle w:val="TableParagraph"/>
              <w:spacing w:line="198" w:lineRule="exact"/>
              <w:ind w:left="47" w:right="10"/>
              <w:jc w:val="center"/>
              <w:rPr>
                <w:sz w:val="18"/>
              </w:rPr>
            </w:pPr>
            <w:r>
              <w:rPr>
                <w:spacing w:val="-2"/>
                <w:sz w:val="18"/>
              </w:rPr>
              <w:t>0.002140</w:t>
            </w:r>
          </w:p>
        </w:tc>
        <w:tc>
          <w:tcPr>
            <w:tcW w:w="1561" w:type="dxa"/>
          </w:tcPr>
          <w:p>
            <w:pPr>
              <w:pStyle w:val="TableParagraph"/>
              <w:spacing w:line="198" w:lineRule="exact"/>
              <w:ind w:left="48" w:right="48"/>
              <w:jc w:val="center"/>
              <w:rPr>
                <w:sz w:val="18"/>
              </w:rPr>
            </w:pPr>
            <w:r>
              <w:rPr>
                <w:spacing w:val="-2"/>
                <w:sz w:val="18"/>
              </w:rPr>
              <w:t>-0.069534</w:t>
            </w:r>
          </w:p>
        </w:tc>
        <w:tc>
          <w:tcPr>
            <w:tcW w:w="1350" w:type="dxa"/>
          </w:tcPr>
          <w:p>
            <w:pPr>
              <w:pStyle w:val="TableParagraph"/>
              <w:spacing w:line="198" w:lineRule="exact"/>
              <w:ind w:left="51" w:right="74"/>
              <w:jc w:val="center"/>
              <w:rPr>
                <w:sz w:val="18"/>
              </w:rPr>
            </w:pPr>
            <w:r>
              <w:rPr>
                <w:spacing w:val="-2"/>
                <w:sz w:val="18"/>
              </w:rPr>
              <w:t>2.558822</w:t>
            </w:r>
          </w:p>
        </w:tc>
        <w:tc>
          <w:tcPr>
            <w:tcW w:w="1418" w:type="dxa"/>
          </w:tcPr>
          <w:p>
            <w:pPr>
              <w:pStyle w:val="TableParagraph"/>
              <w:spacing w:line="198" w:lineRule="exact"/>
              <w:ind w:left="53" w:right="10"/>
              <w:jc w:val="center"/>
              <w:rPr>
                <w:sz w:val="18"/>
              </w:rPr>
            </w:pPr>
            <w:r>
              <w:rPr>
                <w:spacing w:val="-2"/>
                <w:sz w:val="18"/>
              </w:rPr>
              <w:t>3.046608</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before="5"/>
              <w:ind w:left="48" w:right="10"/>
              <w:jc w:val="center"/>
              <w:rPr>
                <w:sz w:val="18"/>
              </w:rPr>
            </w:pPr>
            <w:r>
              <w:rPr>
                <w:spacing w:val="-2"/>
                <w:sz w:val="18"/>
              </w:rPr>
              <w:t>(0.02487)</w:t>
            </w:r>
          </w:p>
        </w:tc>
        <w:tc>
          <w:tcPr>
            <w:tcW w:w="1561" w:type="dxa"/>
          </w:tcPr>
          <w:p>
            <w:pPr>
              <w:pStyle w:val="TableParagraph"/>
              <w:spacing w:before="5"/>
              <w:ind w:left="52" w:right="4"/>
              <w:jc w:val="center"/>
              <w:rPr>
                <w:sz w:val="18"/>
              </w:rPr>
            </w:pPr>
            <w:r>
              <w:rPr>
                <w:spacing w:val="-2"/>
                <w:sz w:val="18"/>
              </w:rPr>
              <w:t>(0.03811)</w:t>
            </w:r>
          </w:p>
        </w:tc>
        <w:tc>
          <w:tcPr>
            <w:tcW w:w="1350" w:type="dxa"/>
          </w:tcPr>
          <w:p>
            <w:pPr>
              <w:pStyle w:val="TableParagraph"/>
              <w:spacing w:before="5"/>
              <w:ind w:left="52" w:right="74"/>
              <w:jc w:val="center"/>
              <w:rPr>
                <w:sz w:val="18"/>
              </w:rPr>
            </w:pPr>
            <w:r>
              <w:rPr>
                <w:spacing w:val="-2"/>
                <w:sz w:val="18"/>
              </w:rPr>
              <w:t>(9.74862)</w:t>
            </w:r>
          </w:p>
        </w:tc>
        <w:tc>
          <w:tcPr>
            <w:tcW w:w="1418" w:type="dxa"/>
          </w:tcPr>
          <w:p>
            <w:pPr>
              <w:pStyle w:val="TableParagraph"/>
              <w:spacing w:before="5"/>
              <w:ind w:left="53" w:right="10"/>
              <w:jc w:val="center"/>
              <w:rPr>
                <w:sz w:val="18"/>
              </w:rPr>
            </w:pPr>
            <w:r>
              <w:rPr>
                <w:spacing w:val="-2"/>
                <w:sz w:val="18"/>
              </w:rPr>
              <w:t>(4.72642)</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2" w:right="81"/>
              <w:jc w:val="center"/>
              <w:rPr>
                <w:sz w:val="18"/>
              </w:rPr>
            </w:pPr>
            <w:r>
              <w:rPr>
                <w:spacing w:val="-2"/>
                <w:sz w:val="18"/>
              </w:rPr>
              <w:t>D(FPI)</w:t>
            </w:r>
          </w:p>
        </w:tc>
        <w:tc>
          <w:tcPr>
            <w:tcW w:w="1266" w:type="dxa"/>
          </w:tcPr>
          <w:p>
            <w:pPr>
              <w:pStyle w:val="TableParagraph"/>
              <w:ind w:left="47" w:right="10"/>
              <w:jc w:val="center"/>
              <w:rPr>
                <w:sz w:val="18"/>
              </w:rPr>
            </w:pPr>
            <w:r>
              <w:rPr>
                <w:spacing w:val="-2"/>
                <w:sz w:val="18"/>
              </w:rPr>
              <w:t>0.000781</w:t>
            </w:r>
          </w:p>
        </w:tc>
        <w:tc>
          <w:tcPr>
            <w:tcW w:w="1561" w:type="dxa"/>
          </w:tcPr>
          <w:p>
            <w:pPr>
              <w:pStyle w:val="TableParagraph"/>
              <w:ind w:left="51" w:right="4"/>
              <w:jc w:val="center"/>
              <w:rPr>
                <w:sz w:val="18"/>
              </w:rPr>
            </w:pPr>
            <w:r>
              <w:rPr>
                <w:spacing w:val="-2"/>
                <w:sz w:val="18"/>
              </w:rPr>
              <w:t>0.004166</w:t>
            </w:r>
          </w:p>
        </w:tc>
        <w:tc>
          <w:tcPr>
            <w:tcW w:w="1350" w:type="dxa"/>
          </w:tcPr>
          <w:p>
            <w:pPr>
              <w:pStyle w:val="TableParagraph"/>
              <w:ind w:left="1" w:right="74"/>
              <w:jc w:val="center"/>
              <w:rPr>
                <w:sz w:val="18"/>
              </w:rPr>
            </w:pPr>
            <w:r>
              <w:rPr>
                <w:spacing w:val="-2"/>
                <w:sz w:val="18"/>
              </w:rPr>
              <w:t>-1.027731</w:t>
            </w:r>
          </w:p>
        </w:tc>
        <w:tc>
          <w:tcPr>
            <w:tcW w:w="1418" w:type="dxa"/>
          </w:tcPr>
          <w:p>
            <w:pPr>
              <w:pStyle w:val="TableParagraph"/>
              <w:ind w:left="43" w:right="48"/>
              <w:jc w:val="center"/>
              <w:rPr>
                <w:sz w:val="18"/>
              </w:rPr>
            </w:pPr>
            <w:r>
              <w:rPr>
                <w:spacing w:val="-2"/>
                <w:sz w:val="18"/>
              </w:rPr>
              <w:t>-0.590907</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(0.00082)</w:t>
            </w:r>
          </w:p>
        </w:tc>
        <w:tc>
          <w:tcPr>
            <w:tcW w:w="1561" w:type="dxa"/>
          </w:tcPr>
          <w:p>
            <w:pPr>
              <w:pStyle w:val="TableParagraph"/>
              <w:ind w:left="52" w:right="4"/>
              <w:jc w:val="center"/>
              <w:rPr>
                <w:sz w:val="18"/>
              </w:rPr>
            </w:pPr>
            <w:r>
              <w:rPr>
                <w:spacing w:val="-2"/>
                <w:sz w:val="18"/>
              </w:rPr>
              <w:t>(0.00126)</w:t>
            </w:r>
          </w:p>
        </w:tc>
        <w:tc>
          <w:tcPr>
            <w:tcW w:w="1350" w:type="dxa"/>
          </w:tcPr>
          <w:p>
            <w:pPr>
              <w:pStyle w:val="TableParagraph"/>
              <w:ind w:left="52" w:right="74"/>
              <w:jc w:val="center"/>
              <w:rPr>
                <w:sz w:val="18"/>
              </w:rPr>
            </w:pPr>
            <w:r>
              <w:rPr>
                <w:spacing w:val="-2"/>
                <w:sz w:val="18"/>
              </w:rPr>
              <w:t>(0.32266)</w:t>
            </w:r>
          </w:p>
        </w:tc>
        <w:tc>
          <w:tcPr>
            <w:tcW w:w="1418" w:type="dxa"/>
          </w:tcPr>
          <w:p>
            <w:pPr>
              <w:pStyle w:val="TableParagraph"/>
              <w:ind w:left="53" w:right="10"/>
              <w:jc w:val="center"/>
              <w:rPr>
                <w:sz w:val="18"/>
              </w:rPr>
            </w:pPr>
            <w:r>
              <w:rPr>
                <w:spacing w:val="-2"/>
                <w:sz w:val="18"/>
              </w:rPr>
              <w:t>(0.15643)</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left="5" w:right="81"/>
              <w:jc w:val="center"/>
              <w:rPr>
                <w:sz w:val="18"/>
              </w:rPr>
            </w:pPr>
            <w:r>
              <w:rPr>
                <w:spacing w:val="-2"/>
                <w:sz w:val="18"/>
              </w:rPr>
              <w:t>D(TOP)</w:t>
            </w:r>
          </w:p>
        </w:tc>
        <w:tc>
          <w:tcPr>
            <w:tcW w:w="1266" w:type="dxa"/>
          </w:tcPr>
          <w:p>
            <w:pPr>
              <w:pStyle w:val="TableParagraph"/>
              <w:spacing w:line="198" w:lineRule="exact"/>
              <w:ind w:left="38" w:right="48"/>
              <w:jc w:val="center"/>
              <w:rPr>
                <w:sz w:val="18"/>
              </w:rPr>
            </w:pPr>
            <w:r>
              <w:rPr>
                <w:spacing w:val="-2"/>
                <w:sz w:val="18"/>
              </w:rPr>
              <w:t>-0.000758</w:t>
            </w:r>
          </w:p>
        </w:tc>
        <w:tc>
          <w:tcPr>
            <w:tcW w:w="1561" w:type="dxa"/>
          </w:tcPr>
          <w:p>
            <w:pPr>
              <w:pStyle w:val="TableParagraph"/>
              <w:spacing w:line="198" w:lineRule="exact"/>
              <w:ind w:left="51" w:right="4"/>
              <w:jc w:val="center"/>
              <w:rPr>
                <w:sz w:val="18"/>
              </w:rPr>
            </w:pPr>
            <w:r>
              <w:rPr>
                <w:spacing w:val="-2"/>
                <w:sz w:val="18"/>
              </w:rPr>
              <w:t>0.000320</w:t>
            </w:r>
          </w:p>
        </w:tc>
        <w:tc>
          <w:tcPr>
            <w:tcW w:w="1350" w:type="dxa"/>
          </w:tcPr>
          <w:p>
            <w:pPr>
              <w:pStyle w:val="TableParagraph"/>
              <w:spacing w:line="198" w:lineRule="exact"/>
              <w:ind w:left="51" w:right="74"/>
              <w:jc w:val="center"/>
              <w:rPr>
                <w:sz w:val="18"/>
              </w:rPr>
            </w:pPr>
            <w:r>
              <w:rPr>
                <w:spacing w:val="-2"/>
                <w:sz w:val="18"/>
              </w:rPr>
              <w:t>0.226616</w:t>
            </w:r>
          </w:p>
        </w:tc>
        <w:tc>
          <w:tcPr>
            <w:tcW w:w="1418" w:type="dxa"/>
          </w:tcPr>
          <w:p>
            <w:pPr>
              <w:pStyle w:val="TableParagraph"/>
              <w:spacing w:line="198" w:lineRule="exact"/>
              <w:ind w:left="53" w:right="10"/>
              <w:jc w:val="center"/>
              <w:rPr>
                <w:sz w:val="18"/>
              </w:rPr>
            </w:pPr>
            <w:r>
              <w:rPr>
                <w:spacing w:val="-2"/>
                <w:sz w:val="18"/>
              </w:rPr>
              <w:t>0.064767</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before="5"/>
              <w:ind w:left="48" w:right="10"/>
              <w:jc w:val="center"/>
              <w:rPr>
                <w:sz w:val="18"/>
              </w:rPr>
            </w:pPr>
            <w:r>
              <w:rPr>
                <w:spacing w:val="-2"/>
                <w:sz w:val="18"/>
              </w:rPr>
              <w:t>(0.00053)</w:t>
            </w:r>
          </w:p>
        </w:tc>
        <w:tc>
          <w:tcPr>
            <w:tcW w:w="1561" w:type="dxa"/>
          </w:tcPr>
          <w:p>
            <w:pPr>
              <w:pStyle w:val="TableParagraph"/>
              <w:spacing w:before="5"/>
              <w:ind w:left="52" w:right="4"/>
              <w:jc w:val="center"/>
              <w:rPr>
                <w:sz w:val="18"/>
              </w:rPr>
            </w:pPr>
            <w:r>
              <w:rPr>
                <w:spacing w:val="-2"/>
                <w:sz w:val="18"/>
              </w:rPr>
              <w:t>(0.00082)</w:t>
            </w:r>
          </w:p>
        </w:tc>
        <w:tc>
          <w:tcPr>
            <w:tcW w:w="1350" w:type="dxa"/>
          </w:tcPr>
          <w:p>
            <w:pPr>
              <w:pStyle w:val="TableParagraph"/>
              <w:spacing w:before="5"/>
              <w:ind w:left="52" w:right="74"/>
              <w:jc w:val="center"/>
              <w:rPr>
                <w:sz w:val="18"/>
              </w:rPr>
            </w:pPr>
            <w:r>
              <w:rPr>
                <w:spacing w:val="-2"/>
                <w:sz w:val="18"/>
              </w:rPr>
              <w:t>(0.20936)</w:t>
            </w:r>
          </w:p>
        </w:tc>
        <w:tc>
          <w:tcPr>
            <w:tcW w:w="1418" w:type="dxa"/>
          </w:tcPr>
          <w:p>
            <w:pPr>
              <w:pStyle w:val="TableParagraph"/>
              <w:spacing w:before="5"/>
              <w:ind w:left="53" w:right="10"/>
              <w:jc w:val="center"/>
              <w:rPr>
                <w:sz w:val="18"/>
              </w:rPr>
            </w:pPr>
            <w:r>
              <w:rPr>
                <w:spacing w:val="-2"/>
                <w:sz w:val="18"/>
              </w:rPr>
              <w:t>(0.10150)</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2" w:right="81"/>
              <w:jc w:val="center"/>
              <w:rPr>
                <w:sz w:val="18"/>
              </w:rPr>
            </w:pPr>
            <w:r>
              <w:rPr>
                <w:spacing w:val="-2"/>
                <w:sz w:val="18"/>
              </w:rPr>
              <w:t>D(REM)</w:t>
            </w:r>
          </w:p>
        </w:tc>
        <w:tc>
          <w:tcPr>
            <w:tcW w:w="1266" w:type="dxa"/>
          </w:tcPr>
          <w:p>
            <w:pPr>
              <w:pStyle w:val="TableParagraph"/>
              <w:ind w:left="38" w:right="48"/>
              <w:jc w:val="center"/>
              <w:rPr>
                <w:sz w:val="18"/>
              </w:rPr>
            </w:pPr>
            <w:r>
              <w:rPr>
                <w:spacing w:val="-2"/>
                <w:sz w:val="18"/>
              </w:rPr>
              <w:t>-0.023777</w:t>
            </w:r>
          </w:p>
        </w:tc>
        <w:tc>
          <w:tcPr>
            <w:tcW w:w="1561" w:type="dxa"/>
          </w:tcPr>
          <w:p>
            <w:pPr>
              <w:pStyle w:val="TableParagraph"/>
              <w:ind w:left="51" w:right="4"/>
              <w:jc w:val="center"/>
              <w:rPr>
                <w:sz w:val="18"/>
              </w:rPr>
            </w:pPr>
            <w:r>
              <w:rPr>
                <w:spacing w:val="-2"/>
                <w:sz w:val="18"/>
              </w:rPr>
              <w:t>0.041598</w:t>
            </w:r>
          </w:p>
        </w:tc>
        <w:tc>
          <w:tcPr>
            <w:tcW w:w="1350" w:type="dxa"/>
          </w:tcPr>
          <w:p>
            <w:pPr>
              <w:pStyle w:val="TableParagraph"/>
              <w:ind w:left="51" w:right="74"/>
              <w:jc w:val="center"/>
              <w:rPr>
                <w:sz w:val="18"/>
              </w:rPr>
            </w:pPr>
            <w:r>
              <w:rPr>
                <w:spacing w:val="-2"/>
                <w:sz w:val="18"/>
              </w:rPr>
              <w:t>3.500703</w:t>
            </w:r>
          </w:p>
        </w:tc>
        <w:tc>
          <w:tcPr>
            <w:tcW w:w="1418" w:type="dxa"/>
          </w:tcPr>
          <w:p>
            <w:pPr>
              <w:pStyle w:val="TableParagraph"/>
              <w:ind w:left="43" w:right="48"/>
              <w:jc w:val="center"/>
              <w:rPr>
                <w:sz w:val="18"/>
              </w:rPr>
            </w:pPr>
            <w:r>
              <w:rPr>
                <w:spacing w:val="-2"/>
                <w:sz w:val="18"/>
              </w:rPr>
              <w:t>-0.344637</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(0.01869)</w:t>
            </w:r>
          </w:p>
        </w:tc>
        <w:tc>
          <w:tcPr>
            <w:tcW w:w="1561" w:type="dxa"/>
          </w:tcPr>
          <w:p>
            <w:pPr>
              <w:pStyle w:val="TableParagraph"/>
              <w:ind w:left="52" w:right="4"/>
              <w:jc w:val="center"/>
              <w:rPr>
                <w:sz w:val="18"/>
              </w:rPr>
            </w:pPr>
            <w:r>
              <w:rPr>
                <w:spacing w:val="-2"/>
                <w:sz w:val="18"/>
              </w:rPr>
              <w:t>(0.02865)</w:t>
            </w:r>
          </w:p>
        </w:tc>
        <w:tc>
          <w:tcPr>
            <w:tcW w:w="1350" w:type="dxa"/>
          </w:tcPr>
          <w:p>
            <w:pPr>
              <w:pStyle w:val="TableParagraph"/>
              <w:ind w:left="52" w:right="74"/>
              <w:jc w:val="center"/>
              <w:rPr>
                <w:sz w:val="18"/>
              </w:rPr>
            </w:pPr>
            <w:r>
              <w:rPr>
                <w:spacing w:val="-2"/>
                <w:sz w:val="18"/>
              </w:rPr>
              <w:t>(7.32885)</w:t>
            </w:r>
          </w:p>
        </w:tc>
        <w:tc>
          <w:tcPr>
            <w:tcW w:w="1418" w:type="dxa"/>
          </w:tcPr>
          <w:p>
            <w:pPr>
              <w:pStyle w:val="TableParagraph"/>
              <w:ind w:left="53" w:right="10"/>
              <w:jc w:val="center"/>
              <w:rPr>
                <w:sz w:val="18"/>
              </w:rPr>
            </w:pPr>
            <w:r>
              <w:rPr>
                <w:spacing w:val="-2"/>
                <w:sz w:val="18"/>
              </w:rPr>
              <w:t>(3.55324)</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right="81"/>
              <w:jc w:val="center"/>
              <w:rPr>
                <w:sz w:val="18"/>
              </w:rPr>
            </w:pPr>
            <w:r>
              <w:rPr>
                <w:spacing w:val="-2"/>
                <w:sz w:val="18"/>
              </w:rPr>
              <w:t>D(ODA)</w:t>
            </w:r>
          </w:p>
        </w:tc>
        <w:tc>
          <w:tcPr>
            <w:tcW w:w="1266" w:type="dxa"/>
          </w:tcPr>
          <w:p>
            <w:pPr>
              <w:pStyle w:val="TableParagraph"/>
              <w:spacing w:line="198" w:lineRule="exact"/>
              <w:ind w:left="47" w:right="10"/>
              <w:jc w:val="center"/>
              <w:rPr>
                <w:sz w:val="18"/>
              </w:rPr>
            </w:pPr>
            <w:r>
              <w:rPr>
                <w:spacing w:val="-2"/>
                <w:sz w:val="18"/>
              </w:rPr>
              <w:t>0.488936</w:t>
            </w:r>
          </w:p>
        </w:tc>
        <w:tc>
          <w:tcPr>
            <w:tcW w:w="1561" w:type="dxa"/>
          </w:tcPr>
          <w:p>
            <w:pPr>
              <w:pStyle w:val="TableParagraph"/>
              <w:spacing w:line="198" w:lineRule="exact"/>
              <w:ind w:left="48" w:right="48"/>
              <w:jc w:val="center"/>
              <w:rPr>
                <w:sz w:val="18"/>
              </w:rPr>
            </w:pPr>
            <w:r>
              <w:rPr>
                <w:spacing w:val="-2"/>
                <w:sz w:val="18"/>
              </w:rPr>
              <w:t>-0.554381</w:t>
            </w:r>
          </w:p>
        </w:tc>
        <w:tc>
          <w:tcPr>
            <w:tcW w:w="1350" w:type="dxa"/>
          </w:tcPr>
          <w:p>
            <w:pPr>
              <w:pStyle w:val="TableParagraph"/>
              <w:spacing w:line="198" w:lineRule="exact"/>
              <w:ind w:left="1" w:right="74"/>
              <w:jc w:val="center"/>
              <w:rPr>
                <w:sz w:val="18"/>
              </w:rPr>
            </w:pPr>
            <w:r>
              <w:rPr>
                <w:spacing w:val="-2"/>
                <w:sz w:val="18"/>
              </w:rPr>
              <w:t>-140.8207</w:t>
            </w:r>
          </w:p>
        </w:tc>
        <w:tc>
          <w:tcPr>
            <w:tcW w:w="1418" w:type="dxa"/>
          </w:tcPr>
          <w:p>
            <w:pPr>
              <w:pStyle w:val="TableParagraph"/>
              <w:spacing w:line="198" w:lineRule="exact"/>
              <w:ind w:left="43" w:right="48"/>
              <w:jc w:val="center"/>
              <w:rPr>
                <w:sz w:val="18"/>
              </w:rPr>
            </w:pPr>
            <w:r>
              <w:rPr>
                <w:spacing w:val="-2"/>
                <w:sz w:val="18"/>
              </w:rPr>
              <w:t>-31.54901</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before="5"/>
              <w:ind w:left="48" w:right="10"/>
              <w:jc w:val="center"/>
              <w:rPr>
                <w:sz w:val="18"/>
              </w:rPr>
            </w:pPr>
            <w:r>
              <w:rPr>
                <w:spacing w:val="-2"/>
                <w:sz w:val="18"/>
              </w:rPr>
              <w:t>(0.13263)</w:t>
            </w:r>
          </w:p>
        </w:tc>
        <w:tc>
          <w:tcPr>
            <w:tcW w:w="1561" w:type="dxa"/>
          </w:tcPr>
          <w:p>
            <w:pPr>
              <w:pStyle w:val="TableParagraph"/>
              <w:spacing w:before="5"/>
              <w:ind w:left="52" w:right="4"/>
              <w:jc w:val="center"/>
              <w:rPr>
                <w:sz w:val="18"/>
              </w:rPr>
            </w:pPr>
            <w:r>
              <w:rPr>
                <w:spacing w:val="-2"/>
                <w:sz w:val="18"/>
              </w:rPr>
              <w:t>(0.20324)</w:t>
            </w:r>
          </w:p>
        </w:tc>
        <w:tc>
          <w:tcPr>
            <w:tcW w:w="1350" w:type="dxa"/>
          </w:tcPr>
          <w:p>
            <w:pPr>
              <w:pStyle w:val="TableParagraph"/>
              <w:spacing w:before="5"/>
              <w:ind w:left="52" w:right="74"/>
              <w:jc w:val="center"/>
              <w:rPr>
                <w:sz w:val="18"/>
              </w:rPr>
            </w:pPr>
            <w:r>
              <w:rPr>
                <w:spacing w:val="-2"/>
                <w:sz w:val="18"/>
              </w:rPr>
              <w:t>(51.9949)</w:t>
            </w:r>
          </w:p>
        </w:tc>
        <w:tc>
          <w:tcPr>
            <w:tcW w:w="1418" w:type="dxa"/>
          </w:tcPr>
          <w:p>
            <w:pPr>
              <w:pStyle w:val="TableParagraph"/>
              <w:spacing w:before="5"/>
              <w:ind w:left="53" w:right="10"/>
              <w:jc w:val="center"/>
              <w:rPr>
                <w:sz w:val="18"/>
              </w:rPr>
            </w:pPr>
            <w:r>
              <w:rPr>
                <w:spacing w:val="-2"/>
                <w:sz w:val="18"/>
              </w:rPr>
              <w:t>(25.2087)</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right="81"/>
              <w:jc w:val="center"/>
              <w:rPr>
                <w:sz w:val="18"/>
              </w:rPr>
            </w:pPr>
            <w:r>
              <w:rPr>
                <w:spacing w:val="-2"/>
                <w:sz w:val="18"/>
              </w:rPr>
              <w:t>D(CPS_GDP)</w:t>
            </w:r>
          </w:p>
        </w:tc>
        <w:tc>
          <w:tcPr>
            <w:tcW w:w="1266" w:type="dxa"/>
          </w:tcPr>
          <w:p>
            <w:pPr>
              <w:pStyle w:val="TableParagraph"/>
              <w:ind w:left="47" w:right="10"/>
              <w:jc w:val="center"/>
              <w:rPr>
                <w:sz w:val="18"/>
              </w:rPr>
            </w:pPr>
            <w:r>
              <w:rPr>
                <w:spacing w:val="-2"/>
                <w:sz w:val="18"/>
              </w:rPr>
              <w:t>0.000231</w:t>
            </w:r>
          </w:p>
        </w:tc>
        <w:tc>
          <w:tcPr>
            <w:tcW w:w="1561" w:type="dxa"/>
          </w:tcPr>
          <w:p>
            <w:pPr>
              <w:pStyle w:val="TableParagraph"/>
              <w:ind w:left="48" w:right="48"/>
              <w:jc w:val="center"/>
              <w:rPr>
                <w:sz w:val="18"/>
              </w:rPr>
            </w:pPr>
            <w:r>
              <w:rPr>
                <w:spacing w:val="-2"/>
                <w:sz w:val="18"/>
              </w:rPr>
              <w:t>-0.000643</w:t>
            </w:r>
          </w:p>
        </w:tc>
        <w:tc>
          <w:tcPr>
            <w:tcW w:w="1350" w:type="dxa"/>
          </w:tcPr>
          <w:p>
            <w:pPr>
              <w:pStyle w:val="TableParagraph"/>
              <w:ind w:left="51" w:right="74"/>
              <w:jc w:val="center"/>
              <w:rPr>
                <w:sz w:val="18"/>
              </w:rPr>
            </w:pPr>
            <w:r>
              <w:rPr>
                <w:spacing w:val="-2"/>
                <w:sz w:val="18"/>
              </w:rPr>
              <w:t>0.056644</w:t>
            </w:r>
          </w:p>
        </w:tc>
        <w:tc>
          <w:tcPr>
            <w:tcW w:w="1418" w:type="dxa"/>
          </w:tcPr>
          <w:p>
            <w:pPr>
              <w:pStyle w:val="TableParagraph"/>
              <w:ind w:left="53" w:right="10"/>
              <w:jc w:val="center"/>
              <w:rPr>
                <w:sz w:val="18"/>
              </w:rPr>
            </w:pPr>
            <w:r>
              <w:rPr>
                <w:spacing w:val="-2"/>
                <w:sz w:val="18"/>
              </w:rPr>
              <w:t>0.007103</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(0.00012)</w:t>
            </w:r>
          </w:p>
        </w:tc>
        <w:tc>
          <w:tcPr>
            <w:tcW w:w="1561" w:type="dxa"/>
          </w:tcPr>
          <w:p>
            <w:pPr>
              <w:pStyle w:val="TableParagraph"/>
              <w:ind w:left="52" w:right="4"/>
              <w:jc w:val="center"/>
              <w:rPr>
                <w:sz w:val="18"/>
              </w:rPr>
            </w:pPr>
            <w:r>
              <w:rPr>
                <w:spacing w:val="-2"/>
                <w:sz w:val="18"/>
              </w:rPr>
              <w:t>(0.00018)</w:t>
            </w:r>
          </w:p>
        </w:tc>
        <w:tc>
          <w:tcPr>
            <w:tcW w:w="1350" w:type="dxa"/>
          </w:tcPr>
          <w:p>
            <w:pPr>
              <w:pStyle w:val="TableParagraph"/>
              <w:ind w:left="52" w:right="74"/>
              <w:jc w:val="center"/>
              <w:rPr>
                <w:sz w:val="18"/>
              </w:rPr>
            </w:pPr>
            <w:r>
              <w:rPr>
                <w:spacing w:val="-2"/>
                <w:sz w:val="18"/>
              </w:rPr>
              <w:t>(0.04549)</w:t>
            </w:r>
          </w:p>
        </w:tc>
        <w:tc>
          <w:tcPr>
            <w:tcW w:w="1418" w:type="dxa"/>
          </w:tcPr>
          <w:p>
            <w:pPr>
              <w:pStyle w:val="TableParagraph"/>
              <w:ind w:left="53" w:right="10"/>
              <w:jc w:val="center"/>
              <w:rPr>
                <w:sz w:val="18"/>
              </w:rPr>
            </w:pPr>
            <w:r>
              <w:rPr>
                <w:spacing w:val="-2"/>
                <w:sz w:val="18"/>
              </w:rPr>
              <w:t>(0.02206)</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left="2" w:right="81"/>
              <w:jc w:val="center"/>
              <w:rPr>
                <w:sz w:val="18"/>
              </w:rPr>
            </w:pPr>
            <w:r>
              <w:rPr>
                <w:spacing w:val="-2"/>
                <w:sz w:val="18"/>
              </w:rPr>
              <w:t>D(INT)</w:t>
            </w:r>
          </w:p>
        </w:tc>
        <w:tc>
          <w:tcPr>
            <w:tcW w:w="1266" w:type="dxa"/>
          </w:tcPr>
          <w:p>
            <w:pPr>
              <w:pStyle w:val="TableParagraph"/>
              <w:spacing w:line="198" w:lineRule="exact"/>
              <w:ind w:left="38" w:right="48"/>
              <w:jc w:val="center"/>
              <w:rPr>
                <w:sz w:val="18"/>
              </w:rPr>
            </w:pPr>
            <w:r>
              <w:rPr>
                <w:spacing w:val="-2"/>
                <w:sz w:val="18"/>
              </w:rPr>
              <w:t>-0.000378</w:t>
            </w:r>
          </w:p>
        </w:tc>
        <w:tc>
          <w:tcPr>
            <w:tcW w:w="1561" w:type="dxa"/>
          </w:tcPr>
          <w:p>
            <w:pPr>
              <w:pStyle w:val="TableParagraph"/>
              <w:spacing w:line="198" w:lineRule="exact"/>
              <w:ind w:left="48" w:right="48"/>
              <w:jc w:val="center"/>
              <w:rPr>
                <w:sz w:val="18"/>
              </w:rPr>
            </w:pPr>
            <w:r>
              <w:rPr>
                <w:spacing w:val="-2"/>
                <w:sz w:val="18"/>
              </w:rPr>
              <w:t>-0.000286</w:t>
            </w:r>
          </w:p>
        </w:tc>
        <w:tc>
          <w:tcPr>
            <w:tcW w:w="1350" w:type="dxa"/>
          </w:tcPr>
          <w:p>
            <w:pPr>
              <w:pStyle w:val="TableParagraph"/>
              <w:spacing w:line="198" w:lineRule="exact"/>
              <w:ind w:left="51" w:right="74"/>
              <w:jc w:val="center"/>
              <w:rPr>
                <w:sz w:val="18"/>
              </w:rPr>
            </w:pPr>
            <w:r>
              <w:rPr>
                <w:spacing w:val="-2"/>
                <w:sz w:val="18"/>
              </w:rPr>
              <w:t>0.147073</w:t>
            </w:r>
          </w:p>
        </w:tc>
        <w:tc>
          <w:tcPr>
            <w:tcW w:w="1418" w:type="dxa"/>
          </w:tcPr>
          <w:p>
            <w:pPr>
              <w:pStyle w:val="TableParagraph"/>
              <w:spacing w:line="198" w:lineRule="exact"/>
              <w:ind w:left="53" w:right="10"/>
              <w:jc w:val="center"/>
              <w:rPr>
                <w:sz w:val="18"/>
              </w:rPr>
            </w:pPr>
            <w:r>
              <w:rPr>
                <w:spacing w:val="-2"/>
                <w:sz w:val="18"/>
              </w:rPr>
              <w:t>0.084599</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before="5"/>
              <w:ind w:left="48" w:right="10"/>
              <w:jc w:val="center"/>
              <w:rPr>
                <w:sz w:val="18"/>
              </w:rPr>
            </w:pPr>
            <w:r>
              <w:rPr>
                <w:spacing w:val="-2"/>
                <w:sz w:val="18"/>
              </w:rPr>
              <w:t>(0.00035)</w:t>
            </w:r>
          </w:p>
        </w:tc>
        <w:tc>
          <w:tcPr>
            <w:tcW w:w="1561" w:type="dxa"/>
          </w:tcPr>
          <w:p>
            <w:pPr>
              <w:pStyle w:val="TableParagraph"/>
              <w:spacing w:before="5"/>
              <w:ind w:left="52" w:right="4"/>
              <w:jc w:val="center"/>
              <w:rPr>
                <w:sz w:val="18"/>
              </w:rPr>
            </w:pPr>
            <w:r>
              <w:rPr>
                <w:spacing w:val="-2"/>
                <w:sz w:val="18"/>
              </w:rPr>
              <w:t>(0.00053)</w:t>
            </w:r>
          </w:p>
        </w:tc>
        <w:tc>
          <w:tcPr>
            <w:tcW w:w="1350" w:type="dxa"/>
          </w:tcPr>
          <w:p>
            <w:pPr>
              <w:pStyle w:val="TableParagraph"/>
              <w:spacing w:before="5"/>
              <w:ind w:left="52" w:right="74"/>
              <w:jc w:val="center"/>
              <w:rPr>
                <w:sz w:val="18"/>
              </w:rPr>
            </w:pPr>
            <w:r>
              <w:rPr>
                <w:spacing w:val="-2"/>
                <w:sz w:val="18"/>
              </w:rPr>
              <w:t>(0.13541)</w:t>
            </w:r>
          </w:p>
        </w:tc>
        <w:tc>
          <w:tcPr>
            <w:tcW w:w="1418" w:type="dxa"/>
          </w:tcPr>
          <w:p>
            <w:pPr>
              <w:pStyle w:val="TableParagraph"/>
              <w:spacing w:before="5"/>
              <w:ind w:left="53" w:right="10"/>
              <w:jc w:val="center"/>
              <w:rPr>
                <w:sz w:val="18"/>
              </w:rPr>
            </w:pPr>
            <w:r>
              <w:rPr>
                <w:spacing w:val="-2"/>
                <w:sz w:val="18"/>
              </w:rPr>
              <w:t>(0.06565)</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right="81"/>
              <w:jc w:val="center"/>
              <w:rPr>
                <w:sz w:val="18"/>
              </w:rPr>
            </w:pPr>
            <w:r>
              <w:rPr>
                <w:spacing w:val="-2"/>
                <w:sz w:val="18"/>
              </w:rPr>
              <w:t>D(EXCH)</w:t>
            </w:r>
          </w:p>
        </w:tc>
        <w:tc>
          <w:tcPr>
            <w:tcW w:w="1266" w:type="dxa"/>
          </w:tcPr>
          <w:p>
            <w:pPr>
              <w:pStyle w:val="TableParagraph"/>
              <w:ind w:left="47" w:right="10"/>
              <w:jc w:val="center"/>
              <w:rPr>
                <w:sz w:val="18"/>
              </w:rPr>
            </w:pPr>
            <w:r>
              <w:rPr>
                <w:spacing w:val="-2"/>
                <w:sz w:val="18"/>
              </w:rPr>
              <w:t>0.000153</w:t>
            </w:r>
          </w:p>
        </w:tc>
        <w:tc>
          <w:tcPr>
            <w:tcW w:w="1561" w:type="dxa"/>
          </w:tcPr>
          <w:p>
            <w:pPr>
              <w:pStyle w:val="TableParagraph"/>
              <w:ind w:left="48" w:right="48"/>
              <w:jc w:val="center"/>
              <w:rPr>
                <w:sz w:val="18"/>
              </w:rPr>
            </w:pPr>
            <w:r>
              <w:rPr>
                <w:spacing w:val="-2"/>
                <w:sz w:val="18"/>
              </w:rPr>
              <w:t>-0.005133</w:t>
            </w:r>
          </w:p>
        </w:tc>
        <w:tc>
          <w:tcPr>
            <w:tcW w:w="1350" w:type="dxa"/>
          </w:tcPr>
          <w:p>
            <w:pPr>
              <w:pStyle w:val="TableParagraph"/>
              <w:ind w:left="51" w:right="74"/>
              <w:jc w:val="center"/>
              <w:rPr>
                <w:sz w:val="18"/>
              </w:rPr>
            </w:pPr>
            <w:r>
              <w:rPr>
                <w:spacing w:val="-2"/>
                <w:sz w:val="18"/>
              </w:rPr>
              <w:t>0.237623</w:t>
            </w:r>
          </w:p>
        </w:tc>
        <w:tc>
          <w:tcPr>
            <w:tcW w:w="1418" w:type="dxa"/>
          </w:tcPr>
          <w:p>
            <w:pPr>
              <w:pStyle w:val="TableParagraph"/>
              <w:ind w:left="53" w:right="10"/>
              <w:jc w:val="center"/>
              <w:rPr>
                <w:sz w:val="18"/>
              </w:rPr>
            </w:pPr>
            <w:r>
              <w:rPr>
                <w:spacing w:val="-2"/>
                <w:sz w:val="18"/>
              </w:rPr>
              <w:t>0.344882</w:t>
            </w: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303" w:hRule="atLeast"/>
        </w:trPr>
        <w:tc>
          <w:tcPr>
            <w:tcW w:w="1467" w:type="dxa"/>
            <w:tcBorders>
              <w:bottom w:val="double" w:sz="6" w:space="0" w:color="000000"/>
            </w:tcBorders>
          </w:tcPr>
          <w:p>
            <w:pPr>
              <w:pStyle w:val="TableParagraph"/>
              <w:spacing w:line="240" w:lineRule="auto" w:before="0"/>
              <w:rPr>
                <w:rFonts w:ascii="Times New Roman"/>
                <w:sz w:val="18"/>
              </w:rPr>
            </w:pPr>
          </w:p>
        </w:tc>
        <w:tc>
          <w:tcPr>
            <w:tcW w:w="1266" w:type="dxa"/>
            <w:tcBorders>
              <w:bottom w:val="double" w:sz="6" w:space="0" w:color="000000"/>
            </w:tcBorders>
          </w:tcPr>
          <w:p>
            <w:pPr>
              <w:pStyle w:val="TableParagraph"/>
              <w:spacing w:line="240" w:lineRule="auto"/>
              <w:ind w:left="48" w:right="10"/>
              <w:jc w:val="center"/>
              <w:rPr>
                <w:sz w:val="18"/>
              </w:rPr>
            </w:pPr>
            <w:r>
              <w:rPr>
                <w:spacing w:val="-2"/>
                <w:sz w:val="18"/>
              </w:rPr>
              <w:t>(0.00120)</w:t>
            </w:r>
          </w:p>
        </w:tc>
        <w:tc>
          <w:tcPr>
            <w:tcW w:w="1561" w:type="dxa"/>
            <w:tcBorders>
              <w:bottom w:val="double" w:sz="6" w:space="0" w:color="000000"/>
            </w:tcBorders>
          </w:tcPr>
          <w:p>
            <w:pPr>
              <w:pStyle w:val="TableParagraph"/>
              <w:spacing w:line="240" w:lineRule="auto"/>
              <w:ind w:left="52" w:right="4"/>
              <w:jc w:val="center"/>
              <w:rPr>
                <w:sz w:val="18"/>
              </w:rPr>
            </w:pPr>
            <w:r>
              <w:rPr>
                <w:spacing w:val="-2"/>
                <w:sz w:val="18"/>
              </w:rPr>
              <w:t>(0.00184)</w:t>
            </w:r>
          </w:p>
        </w:tc>
        <w:tc>
          <w:tcPr>
            <w:tcW w:w="1350" w:type="dxa"/>
            <w:tcBorders>
              <w:bottom w:val="double" w:sz="6" w:space="0" w:color="000000"/>
            </w:tcBorders>
          </w:tcPr>
          <w:p>
            <w:pPr>
              <w:pStyle w:val="TableParagraph"/>
              <w:spacing w:line="240" w:lineRule="auto"/>
              <w:ind w:left="52" w:right="74"/>
              <w:jc w:val="center"/>
              <w:rPr>
                <w:sz w:val="18"/>
              </w:rPr>
            </w:pPr>
            <w:r>
              <w:rPr>
                <w:spacing w:val="-2"/>
                <w:sz w:val="18"/>
              </w:rPr>
              <w:t>(0.46991)</w:t>
            </w:r>
          </w:p>
        </w:tc>
        <w:tc>
          <w:tcPr>
            <w:tcW w:w="1418" w:type="dxa"/>
            <w:tcBorders>
              <w:bottom w:val="double" w:sz="6" w:space="0" w:color="000000"/>
            </w:tcBorders>
          </w:tcPr>
          <w:p>
            <w:pPr>
              <w:pStyle w:val="TableParagraph"/>
              <w:spacing w:line="240" w:lineRule="auto"/>
              <w:ind w:left="53" w:right="10"/>
              <w:jc w:val="center"/>
              <w:rPr>
                <w:sz w:val="18"/>
              </w:rPr>
            </w:pPr>
            <w:r>
              <w:rPr>
                <w:spacing w:val="-2"/>
                <w:sz w:val="18"/>
              </w:rPr>
              <w:t>(0.22783)</w:t>
            </w:r>
          </w:p>
        </w:tc>
        <w:tc>
          <w:tcPr>
            <w:tcW w:w="1406" w:type="dxa"/>
            <w:tcBorders>
              <w:bottom w:val="double" w:sz="6" w:space="0" w:color="000000"/>
            </w:tcBorders>
          </w:tcPr>
          <w:p>
            <w:pPr>
              <w:pStyle w:val="TableParagraph"/>
              <w:spacing w:line="240" w:lineRule="auto" w:before="0"/>
              <w:rPr>
                <w:rFonts w:ascii="Times New Roman"/>
                <w:sz w:val="18"/>
              </w:rPr>
            </w:pPr>
          </w:p>
        </w:tc>
        <w:tc>
          <w:tcPr>
            <w:tcW w:w="1439" w:type="dxa"/>
            <w:tcBorders>
              <w:bottom w:val="double" w:sz="6" w:space="0" w:color="000000"/>
            </w:tcBorders>
          </w:tcPr>
          <w:p>
            <w:pPr>
              <w:pStyle w:val="TableParagraph"/>
              <w:spacing w:line="240" w:lineRule="auto" w:before="0"/>
              <w:rPr>
                <w:rFonts w:ascii="Times New Roman"/>
                <w:sz w:val="18"/>
              </w:rPr>
            </w:pPr>
          </w:p>
        </w:tc>
        <w:tc>
          <w:tcPr>
            <w:tcW w:w="1409" w:type="dxa"/>
            <w:tcBorders>
              <w:bottom w:val="double" w:sz="6" w:space="0" w:color="000000"/>
            </w:tcBorders>
          </w:tcPr>
          <w:p>
            <w:pPr>
              <w:pStyle w:val="TableParagraph"/>
              <w:spacing w:line="240" w:lineRule="auto" w:before="0"/>
              <w:rPr>
                <w:rFonts w:ascii="Times New Roman"/>
                <w:sz w:val="18"/>
              </w:rPr>
            </w:pPr>
          </w:p>
        </w:tc>
        <w:tc>
          <w:tcPr>
            <w:tcW w:w="2834" w:type="dxa"/>
            <w:tcBorders>
              <w:bottom w:val="double" w:sz="6" w:space="0" w:color="000000"/>
            </w:tcBorders>
          </w:tcPr>
          <w:p>
            <w:pPr>
              <w:pStyle w:val="TableParagraph"/>
              <w:spacing w:line="240" w:lineRule="auto" w:before="0"/>
              <w:rPr>
                <w:rFonts w:ascii="Times New Roman"/>
                <w:sz w:val="18"/>
              </w:rPr>
            </w:pPr>
          </w:p>
        </w:tc>
      </w:tr>
      <w:tr>
        <w:trPr>
          <w:trHeight w:val="629" w:hRule="atLeast"/>
        </w:trPr>
        <w:tc>
          <w:tcPr>
            <w:tcW w:w="2733" w:type="dxa"/>
            <w:gridSpan w:val="2"/>
            <w:tcBorders>
              <w:top w:val="double" w:sz="6" w:space="0" w:color="000000"/>
              <w:bottom w:val="double" w:sz="6" w:space="0" w:color="000000"/>
            </w:tcBorders>
          </w:tcPr>
          <w:p>
            <w:pPr>
              <w:pStyle w:val="TableParagraph"/>
              <w:spacing w:line="240" w:lineRule="auto" w:before="125"/>
              <w:rPr>
                <w:rFonts w:ascii="Times New Roman"/>
                <w:b/>
                <w:sz w:val="18"/>
              </w:rPr>
            </w:pPr>
          </w:p>
          <w:p>
            <w:pPr>
              <w:pStyle w:val="TableParagraph"/>
              <w:spacing w:line="240" w:lineRule="auto" w:before="0"/>
              <w:rPr>
                <w:sz w:val="18"/>
              </w:rPr>
            </w:pPr>
            <w:r>
              <w:rPr>
                <w:sz w:val="18"/>
              </w:rPr>
              <w:t>5</w:t>
            </w:r>
            <w:r>
              <w:rPr>
                <w:spacing w:val="-5"/>
                <w:sz w:val="18"/>
              </w:rPr>
              <w:t> </w:t>
            </w:r>
            <w:r>
              <w:rPr>
                <w:sz w:val="18"/>
              </w:rPr>
              <w:t>Cointegrating</w:t>
            </w:r>
            <w:r>
              <w:rPr>
                <w:spacing w:val="-3"/>
                <w:sz w:val="18"/>
              </w:rPr>
              <w:t> </w:t>
            </w:r>
            <w:r>
              <w:rPr>
                <w:spacing w:val="-2"/>
                <w:sz w:val="18"/>
              </w:rPr>
              <w:t>Equation(s):</w:t>
            </w:r>
          </w:p>
        </w:tc>
        <w:tc>
          <w:tcPr>
            <w:tcW w:w="1561" w:type="dxa"/>
            <w:tcBorders>
              <w:top w:val="double" w:sz="6" w:space="0" w:color="000000"/>
              <w:bottom w:val="double" w:sz="6" w:space="0" w:color="000000"/>
            </w:tcBorders>
          </w:tcPr>
          <w:p>
            <w:pPr>
              <w:pStyle w:val="TableParagraph"/>
              <w:spacing w:line="240" w:lineRule="auto" w:before="125"/>
              <w:rPr>
                <w:rFonts w:ascii="Times New Roman"/>
                <w:b/>
                <w:sz w:val="18"/>
              </w:rPr>
            </w:pPr>
          </w:p>
          <w:p>
            <w:pPr>
              <w:pStyle w:val="TableParagraph"/>
              <w:spacing w:line="240" w:lineRule="auto" w:before="0"/>
              <w:ind w:left="48" w:right="51"/>
              <w:jc w:val="center"/>
              <w:rPr>
                <w:sz w:val="18"/>
              </w:rPr>
            </w:pPr>
            <w:r>
              <w:rPr>
                <w:sz w:val="18"/>
              </w:rPr>
              <w:t>Log</w:t>
            </w:r>
            <w:r>
              <w:rPr>
                <w:spacing w:val="-3"/>
                <w:sz w:val="18"/>
              </w:rPr>
              <w:t> </w:t>
            </w:r>
            <w:r>
              <w:rPr>
                <w:spacing w:val="-2"/>
                <w:sz w:val="18"/>
              </w:rPr>
              <w:t>likelihood</w:t>
            </w:r>
          </w:p>
        </w:tc>
        <w:tc>
          <w:tcPr>
            <w:tcW w:w="1350" w:type="dxa"/>
            <w:tcBorders>
              <w:top w:val="double" w:sz="6" w:space="0" w:color="000000"/>
              <w:bottom w:val="double" w:sz="6" w:space="0" w:color="000000"/>
            </w:tcBorders>
          </w:tcPr>
          <w:p>
            <w:pPr>
              <w:pStyle w:val="TableParagraph"/>
              <w:spacing w:line="240" w:lineRule="auto" w:before="125"/>
              <w:rPr>
                <w:rFonts w:ascii="Times New Roman"/>
                <w:b/>
                <w:sz w:val="18"/>
              </w:rPr>
            </w:pPr>
          </w:p>
          <w:p>
            <w:pPr>
              <w:pStyle w:val="TableParagraph"/>
              <w:spacing w:line="240" w:lineRule="auto" w:before="0"/>
              <w:ind w:right="74"/>
              <w:jc w:val="center"/>
              <w:rPr>
                <w:sz w:val="18"/>
              </w:rPr>
            </w:pPr>
            <w:r>
              <w:rPr>
                <w:spacing w:val="-2"/>
                <w:sz w:val="18"/>
              </w:rPr>
              <w:t>-1379.939</w:t>
            </w:r>
          </w:p>
        </w:tc>
        <w:tc>
          <w:tcPr>
            <w:tcW w:w="1418"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06"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39"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09"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834" w:type="dxa"/>
            <w:tcBorders>
              <w:top w:val="double" w:sz="6" w:space="0" w:color="000000"/>
              <w:bottom w:val="double" w:sz="6" w:space="0" w:color="000000"/>
            </w:tcBorders>
          </w:tcPr>
          <w:p>
            <w:pPr>
              <w:pStyle w:val="TableParagraph"/>
              <w:spacing w:line="240" w:lineRule="auto" w:before="0"/>
              <w:rPr>
                <w:rFonts w:ascii="Times New Roman"/>
                <w:sz w:val="18"/>
              </w:rPr>
            </w:pPr>
          </w:p>
        </w:tc>
      </w:tr>
      <w:tr>
        <w:trPr>
          <w:trHeight w:val="326" w:hRule="atLeast"/>
        </w:trPr>
        <w:tc>
          <w:tcPr>
            <w:tcW w:w="14150" w:type="dxa"/>
            <w:gridSpan w:val="9"/>
            <w:tcBorders>
              <w:top w:val="double" w:sz="6" w:space="0" w:color="000000"/>
            </w:tcBorders>
          </w:tcPr>
          <w:p>
            <w:pPr>
              <w:pStyle w:val="TableParagraph"/>
              <w:spacing w:line="198" w:lineRule="exact" w:before="108"/>
              <w:rPr>
                <w:sz w:val="18"/>
              </w:rPr>
            </w:pPr>
            <w:r>
              <w:rPr>
                <w:sz w:val="18"/>
              </w:rPr>
              <w:t>Normalized</w:t>
            </w:r>
            <w:r>
              <w:rPr>
                <w:spacing w:val="-11"/>
                <w:sz w:val="18"/>
              </w:rPr>
              <w:t> </w:t>
            </w:r>
            <w:r>
              <w:rPr>
                <w:sz w:val="18"/>
              </w:rPr>
              <w:t>cointegrating</w:t>
            </w:r>
            <w:r>
              <w:rPr>
                <w:spacing w:val="-12"/>
                <w:sz w:val="18"/>
              </w:rPr>
              <w:t> </w:t>
            </w:r>
            <w:r>
              <w:rPr>
                <w:sz w:val="18"/>
              </w:rPr>
              <w:t>coefficients</w:t>
            </w:r>
            <w:r>
              <w:rPr>
                <w:spacing w:val="-12"/>
                <w:sz w:val="18"/>
              </w:rPr>
              <w:t> </w:t>
            </w:r>
            <w:r>
              <w:rPr>
                <w:sz w:val="18"/>
              </w:rPr>
              <w:t>(standard</w:t>
            </w:r>
            <w:r>
              <w:rPr>
                <w:spacing w:val="-10"/>
                <w:sz w:val="18"/>
              </w:rPr>
              <w:t> </w:t>
            </w:r>
            <w:r>
              <w:rPr>
                <w:sz w:val="18"/>
              </w:rPr>
              <w:t>error</w:t>
            </w:r>
            <w:r>
              <w:rPr>
                <w:spacing w:val="-13"/>
                <w:sz w:val="18"/>
              </w:rPr>
              <w:t> </w:t>
            </w:r>
            <w:r>
              <w:rPr>
                <w:sz w:val="18"/>
              </w:rPr>
              <w:t>in</w:t>
            </w:r>
            <w:r>
              <w:rPr>
                <w:spacing w:val="-12"/>
                <w:sz w:val="18"/>
              </w:rPr>
              <w:t> </w:t>
            </w:r>
            <w:r>
              <w:rPr>
                <w:spacing w:val="-2"/>
                <w:sz w:val="18"/>
              </w:rPr>
              <w:t>parentheses)</w:t>
            </w:r>
          </w:p>
        </w:tc>
      </w:tr>
      <w:tr>
        <w:trPr>
          <w:trHeight w:val="224" w:hRule="atLeast"/>
        </w:trPr>
        <w:tc>
          <w:tcPr>
            <w:tcW w:w="1467" w:type="dxa"/>
          </w:tcPr>
          <w:p>
            <w:pPr>
              <w:pStyle w:val="TableParagraph"/>
              <w:spacing w:before="5"/>
              <w:ind w:right="81"/>
              <w:jc w:val="center"/>
              <w:rPr>
                <w:sz w:val="18"/>
              </w:rPr>
            </w:pPr>
            <w:r>
              <w:rPr>
                <w:spacing w:val="-4"/>
                <w:sz w:val="18"/>
              </w:rPr>
              <w:t>RGDP</w:t>
            </w:r>
          </w:p>
        </w:tc>
        <w:tc>
          <w:tcPr>
            <w:tcW w:w="1266" w:type="dxa"/>
          </w:tcPr>
          <w:p>
            <w:pPr>
              <w:pStyle w:val="TableParagraph"/>
              <w:spacing w:before="5"/>
              <w:ind w:left="38" w:right="47"/>
              <w:jc w:val="center"/>
              <w:rPr>
                <w:sz w:val="18"/>
              </w:rPr>
            </w:pPr>
            <w:r>
              <w:rPr>
                <w:spacing w:val="-5"/>
                <w:sz w:val="18"/>
              </w:rPr>
              <w:t>FDI</w:t>
            </w:r>
          </w:p>
        </w:tc>
        <w:tc>
          <w:tcPr>
            <w:tcW w:w="1561" w:type="dxa"/>
          </w:tcPr>
          <w:p>
            <w:pPr>
              <w:pStyle w:val="TableParagraph"/>
              <w:spacing w:before="5"/>
              <w:ind w:left="48" w:right="52"/>
              <w:jc w:val="center"/>
              <w:rPr>
                <w:sz w:val="18"/>
              </w:rPr>
            </w:pPr>
            <w:r>
              <w:rPr>
                <w:spacing w:val="-5"/>
                <w:sz w:val="18"/>
              </w:rPr>
              <w:t>FPI</w:t>
            </w:r>
          </w:p>
        </w:tc>
        <w:tc>
          <w:tcPr>
            <w:tcW w:w="1350" w:type="dxa"/>
          </w:tcPr>
          <w:p>
            <w:pPr>
              <w:pStyle w:val="TableParagraph"/>
              <w:spacing w:before="5"/>
              <w:ind w:right="74"/>
              <w:jc w:val="center"/>
              <w:rPr>
                <w:sz w:val="18"/>
              </w:rPr>
            </w:pPr>
            <w:r>
              <w:rPr>
                <w:spacing w:val="-5"/>
                <w:sz w:val="18"/>
              </w:rPr>
              <w:t>TOP</w:t>
            </w:r>
          </w:p>
        </w:tc>
        <w:tc>
          <w:tcPr>
            <w:tcW w:w="1418" w:type="dxa"/>
          </w:tcPr>
          <w:p>
            <w:pPr>
              <w:pStyle w:val="TableParagraph"/>
              <w:spacing w:before="5"/>
              <w:ind w:left="43" w:right="52"/>
              <w:jc w:val="center"/>
              <w:rPr>
                <w:sz w:val="18"/>
              </w:rPr>
            </w:pPr>
            <w:r>
              <w:rPr>
                <w:spacing w:val="-5"/>
                <w:sz w:val="18"/>
              </w:rPr>
              <w:t>REM</w:t>
            </w:r>
          </w:p>
        </w:tc>
        <w:tc>
          <w:tcPr>
            <w:tcW w:w="1406" w:type="dxa"/>
          </w:tcPr>
          <w:p>
            <w:pPr>
              <w:pStyle w:val="TableParagraph"/>
              <w:spacing w:before="5"/>
              <w:ind w:left="103" w:right="102"/>
              <w:jc w:val="center"/>
              <w:rPr>
                <w:sz w:val="18"/>
              </w:rPr>
            </w:pPr>
            <w:r>
              <w:rPr>
                <w:spacing w:val="-5"/>
                <w:sz w:val="18"/>
              </w:rPr>
              <w:t>ODA</w:t>
            </w:r>
          </w:p>
        </w:tc>
        <w:tc>
          <w:tcPr>
            <w:tcW w:w="1439" w:type="dxa"/>
          </w:tcPr>
          <w:p>
            <w:pPr>
              <w:pStyle w:val="TableParagraph"/>
              <w:spacing w:before="5"/>
              <w:ind w:left="44" w:right="48"/>
              <w:jc w:val="center"/>
              <w:rPr>
                <w:sz w:val="18"/>
              </w:rPr>
            </w:pPr>
            <w:r>
              <w:rPr>
                <w:spacing w:val="-2"/>
                <w:sz w:val="18"/>
              </w:rPr>
              <w:t>CPS_GDP</w:t>
            </w:r>
          </w:p>
        </w:tc>
        <w:tc>
          <w:tcPr>
            <w:tcW w:w="1409" w:type="dxa"/>
          </w:tcPr>
          <w:p>
            <w:pPr>
              <w:pStyle w:val="TableParagraph"/>
              <w:spacing w:before="5"/>
              <w:ind w:left="56" w:right="74"/>
              <w:jc w:val="center"/>
              <w:rPr>
                <w:sz w:val="18"/>
              </w:rPr>
            </w:pPr>
            <w:r>
              <w:rPr>
                <w:spacing w:val="-5"/>
                <w:sz w:val="18"/>
              </w:rPr>
              <w:t>INT</w:t>
            </w:r>
          </w:p>
        </w:tc>
        <w:tc>
          <w:tcPr>
            <w:tcW w:w="2834" w:type="dxa"/>
          </w:tcPr>
          <w:p>
            <w:pPr>
              <w:pStyle w:val="TableParagraph"/>
              <w:spacing w:before="5"/>
              <w:ind w:right="1425"/>
              <w:jc w:val="center"/>
              <w:rPr>
                <w:sz w:val="18"/>
              </w:rPr>
            </w:pPr>
            <w:r>
              <w:rPr>
                <w:spacing w:val="-4"/>
                <w:sz w:val="18"/>
              </w:rPr>
              <w:t>EXCH</w:t>
            </w:r>
          </w:p>
        </w:tc>
      </w:tr>
      <w:tr>
        <w:trPr>
          <w:trHeight w:val="225" w:hRule="atLeast"/>
        </w:trPr>
        <w:tc>
          <w:tcPr>
            <w:tcW w:w="1467" w:type="dxa"/>
          </w:tcPr>
          <w:p>
            <w:pPr>
              <w:pStyle w:val="TableParagraph"/>
              <w:ind w:left="56" w:right="81"/>
              <w:jc w:val="center"/>
              <w:rPr>
                <w:sz w:val="18"/>
              </w:rPr>
            </w:pPr>
            <w:r>
              <w:rPr>
                <w:spacing w:val="-2"/>
                <w:sz w:val="18"/>
              </w:rPr>
              <w:t>1.000000</w:t>
            </w:r>
          </w:p>
        </w:tc>
        <w:tc>
          <w:tcPr>
            <w:tcW w:w="1266" w:type="dxa"/>
          </w:tcPr>
          <w:p>
            <w:pPr>
              <w:pStyle w:val="TableParagraph"/>
              <w:ind w:left="47" w:right="10"/>
              <w:jc w:val="center"/>
              <w:rPr>
                <w:sz w:val="18"/>
              </w:rPr>
            </w:pPr>
            <w:r>
              <w:rPr>
                <w:spacing w:val="-2"/>
                <w:sz w:val="18"/>
              </w:rPr>
              <w:t>0.000000</w:t>
            </w:r>
          </w:p>
        </w:tc>
        <w:tc>
          <w:tcPr>
            <w:tcW w:w="1561" w:type="dxa"/>
          </w:tcPr>
          <w:p>
            <w:pPr>
              <w:pStyle w:val="TableParagraph"/>
              <w:ind w:left="51" w:right="4"/>
              <w:jc w:val="center"/>
              <w:rPr>
                <w:sz w:val="18"/>
              </w:rPr>
            </w:pPr>
            <w:r>
              <w:rPr>
                <w:spacing w:val="-2"/>
                <w:sz w:val="18"/>
              </w:rPr>
              <w:t>0.000000</w:t>
            </w:r>
          </w:p>
        </w:tc>
        <w:tc>
          <w:tcPr>
            <w:tcW w:w="1350" w:type="dxa"/>
          </w:tcPr>
          <w:p>
            <w:pPr>
              <w:pStyle w:val="TableParagraph"/>
              <w:ind w:left="51" w:right="74"/>
              <w:jc w:val="center"/>
              <w:rPr>
                <w:sz w:val="18"/>
              </w:rPr>
            </w:pPr>
            <w:r>
              <w:rPr>
                <w:spacing w:val="-2"/>
                <w:sz w:val="18"/>
              </w:rPr>
              <w:t>0.000000</w:t>
            </w:r>
          </w:p>
        </w:tc>
        <w:tc>
          <w:tcPr>
            <w:tcW w:w="1418" w:type="dxa"/>
          </w:tcPr>
          <w:p>
            <w:pPr>
              <w:pStyle w:val="TableParagraph"/>
              <w:ind w:left="53" w:right="10"/>
              <w:jc w:val="center"/>
              <w:rPr>
                <w:sz w:val="18"/>
              </w:rPr>
            </w:pPr>
            <w:r>
              <w:rPr>
                <w:spacing w:val="-2"/>
                <w:sz w:val="18"/>
              </w:rPr>
              <w:t>0.000000</w:t>
            </w:r>
          </w:p>
        </w:tc>
        <w:tc>
          <w:tcPr>
            <w:tcW w:w="1406" w:type="dxa"/>
          </w:tcPr>
          <w:p>
            <w:pPr>
              <w:pStyle w:val="TableParagraph"/>
              <w:ind w:left="103" w:right="102"/>
              <w:jc w:val="center"/>
              <w:rPr>
                <w:sz w:val="18"/>
              </w:rPr>
            </w:pPr>
            <w:r>
              <w:rPr>
                <w:spacing w:val="-2"/>
                <w:sz w:val="18"/>
              </w:rPr>
              <w:t>-1.348780</w:t>
            </w:r>
          </w:p>
        </w:tc>
        <w:tc>
          <w:tcPr>
            <w:tcW w:w="1439" w:type="dxa"/>
          </w:tcPr>
          <w:p>
            <w:pPr>
              <w:pStyle w:val="TableParagraph"/>
              <w:ind w:left="44" w:right="48"/>
              <w:jc w:val="center"/>
              <w:rPr>
                <w:sz w:val="18"/>
              </w:rPr>
            </w:pPr>
            <w:r>
              <w:rPr>
                <w:spacing w:val="-2"/>
                <w:sz w:val="18"/>
              </w:rPr>
              <w:t>-2162.463</w:t>
            </w:r>
          </w:p>
        </w:tc>
        <w:tc>
          <w:tcPr>
            <w:tcW w:w="1409" w:type="dxa"/>
          </w:tcPr>
          <w:p>
            <w:pPr>
              <w:pStyle w:val="TableParagraph"/>
              <w:ind w:left="56" w:right="27"/>
              <w:jc w:val="center"/>
              <w:rPr>
                <w:sz w:val="18"/>
              </w:rPr>
            </w:pPr>
            <w:r>
              <w:rPr>
                <w:spacing w:val="-2"/>
                <w:sz w:val="18"/>
              </w:rPr>
              <w:t>57.49338</w:t>
            </w:r>
          </w:p>
        </w:tc>
        <w:tc>
          <w:tcPr>
            <w:tcW w:w="2834" w:type="dxa"/>
          </w:tcPr>
          <w:p>
            <w:pPr>
              <w:pStyle w:val="TableParagraph"/>
              <w:ind w:right="1425"/>
              <w:jc w:val="center"/>
              <w:rPr>
                <w:sz w:val="18"/>
              </w:rPr>
            </w:pPr>
            <w:r>
              <w:rPr>
                <w:spacing w:val="-2"/>
                <w:sz w:val="18"/>
              </w:rPr>
              <w:t>-31.43435</w:t>
            </w: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ind w:left="154" w:right="102"/>
              <w:jc w:val="center"/>
              <w:rPr>
                <w:sz w:val="18"/>
              </w:rPr>
            </w:pPr>
            <w:r>
              <w:rPr>
                <w:spacing w:val="-2"/>
                <w:sz w:val="18"/>
              </w:rPr>
              <w:t>(0.24639)</w:t>
            </w:r>
          </w:p>
        </w:tc>
        <w:tc>
          <w:tcPr>
            <w:tcW w:w="1439" w:type="dxa"/>
          </w:tcPr>
          <w:p>
            <w:pPr>
              <w:pStyle w:val="TableParagraph"/>
              <w:ind w:left="51" w:right="7"/>
              <w:jc w:val="center"/>
              <w:rPr>
                <w:sz w:val="18"/>
              </w:rPr>
            </w:pPr>
            <w:r>
              <w:rPr>
                <w:spacing w:val="-2"/>
                <w:sz w:val="18"/>
              </w:rPr>
              <w:t>(185.261)</w:t>
            </w:r>
          </w:p>
        </w:tc>
        <w:tc>
          <w:tcPr>
            <w:tcW w:w="1409" w:type="dxa"/>
          </w:tcPr>
          <w:p>
            <w:pPr>
              <w:pStyle w:val="TableParagraph"/>
              <w:ind w:left="56" w:right="27"/>
              <w:jc w:val="center"/>
              <w:rPr>
                <w:sz w:val="18"/>
              </w:rPr>
            </w:pPr>
            <w:r>
              <w:rPr>
                <w:spacing w:val="-2"/>
                <w:sz w:val="18"/>
              </w:rPr>
              <w:t>(172.788)</w:t>
            </w:r>
          </w:p>
        </w:tc>
        <w:tc>
          <w:tcPr>
            <w:tcW w:w="2834" w:type="dxa"/>
          </w:tcPr>
          <w:p>
            <w:pPr>
              <w:pStyle w:val="TableParagraph"/>
              <w:ind w:left="51" w:right="1425"/>
              <w:jc w:val="center"/>
              <w:rPr>
                <w:sz w:val="18"/>
              </w:rPr>
            </w:pPr>
            <w:r>
              <w:rPr>
                <w:spacing w:val="-2"/>
                <w:sz w:val="18"/>
              </w:rPr>
              <w:t>(21.8848)</w:t>
            </w:r>
          </w:p>
        </w:tc>
      </w:tr>
      <w:tr>
        <w:trPr>
          <w:trHeight w:val="213" w:hRule="atLeast"/>
        </w:trPr>
        <w:tc>
          <w:tcPr>
            <w:tcW w:w="1467" w:type="dxa"/>
          </w:tcPr>
          <w:p>
            <w:pPr>
              <w:pStyle w:val="TableParagraph"/>
              <w:spacing w:line="187" w:lineRule="exact"/>
              <w:ind w:left="56" w:right="81"/>
              <w:jc w:val="center"/>
              <w:rPr>
                <w:sz w:val="18"/>
              </w:rPr>
            </w:pPr>
            <w:r>
              <w:rPr>
                <w:spacing w:val="-2"/>
                <w:sz w:val="18"/>
              </w:rPr>
              <w:t>0.000000</w:t>
            </w:r>
          </w:p>
        </w:tc>
        <w:tc>
          <w:tcPr>
            <w:tcW w:w="1266" w:type="dxa"/>
          </w:tcPr>
          <w:p>
            <w:pPr>
              <w:pStyle w:val="TableParagraph"/>
              <w:spacing w:line="187" w:lineRule="exact"/>
              <w:ind w:left="47" w:right="10"/>
              <w:jc w:val="center"/>
              <w:rPr>
                <w:sz w:val="18"/>
              </w:rPr>
            </w:pPr>
            <w:r>
              <w:rPr>
                <w:spacing w:val="-2"/>
                <w:sz w:val="18"/>
              </w:rPr>
              <w:t>1.000000</w:t>
            </w:r>
          </w:p>
        </w:tc>
        <w:tc>
          <w:tcPr>
            <w:tcW w:w="1561" w:type="dxa"/>
          </w:tcPr>
          <w:p>
            <w:pPr>
              <w:pStyle w:val="TableParagraph"/>
              <w:spacing w:line="187" w:lineRule="exact"/>
              <w:ind w:left="51" w:right="4"/>
              <w:jc w:val="center"/>
              <w:rPr>
                <w:sz w:val="18"/>
              </w:rPr>
            </w:pPr>
            <w:r>
              <w:rPr>
                <w:spacing w:val="-2"/>
                <w:sz w:val="18"/>
              </w:rPr>
              <w:t>0.000000</w:t>
            </w:r>
          </w:p>
        </w:tc>
        <w:tc>
          <w:tcPr>
            <w:tcW w:w="1350" w:type="dxa"/>
          </w:tcPr>
          <w:p>
            <w:pPr>
              <w:pStyle w:val="TableParagraph"/>
              <w:spacing w:line="187" w:lineRule="exact"/>
              <w:ind w:left="51" w:right="74"/>
              <w:jc w:val="center"/>
              <w:rPr>
                <w:sz w:val="18"/>
              </w:rPr>
            </w:pPr>
            <w:r>
              <w:rPr>
                <w:spacing w:val="-2"/>
                <w:sz w:val="18"/>
              </w:rPr>
              <w:t>0.000000</w:t>
            </w:r>
          </w:p>
        </w:tc>
        <w:tc>
          <w:tcPr>
            <w:tcW w:w="1418" w:type="dxa"/>
          </w:tcPr>
          <w:p>
            <w:pPr>
              <w:pStyle w:val="TableParagraph"/>
              <w:spacing w:line="187" w:lineRule="exact"/>
              <w:ind w:left="53" w:right="10"/>
              <w:jc w:val="center"/>
              <w:rPr>
                <w:sz w:val="18"/>
              </w:rPr>
            </w:pPr>
            <w:r>
              <w:rPr>
                <w:spacing w:val="-2"/>
                <w:sz w:val="18"/>
              </w:rPr>
              <w:t>0.000000</w:t>
            </w:r>
          </w:p>
        </w:tc>
        <w:tc>
          <w:tcPr>
            <w:tcW w:w="1406" w:type="dxa"/>
          </w:tcPr>
          <w:p>
            <w:pPr>
              <w:pStyle w:val="TableParagraph"/>
              <w:spacing w:line="187" w:lineRule="exact"/>
              <w:ind w:left="103" w:right="102"/>
              <w:jc w:val="center"/>
              <w:rPr>
                <w:sz w:val="18"/>
              </w:rPr>
            </w:pPr>
            <w:r>
              <w:rPr>
                <w:spacing w:val="-2"/>
                <w:sz w:val="18"/>
              </w:rPr>
              <w:t>-0.155699</w:t>
            </w:r>
          </w:p>
        </w:tc>
        <w:tc>
          <w:tcPr>
            <w:tcW w:w="1439" w:type="dxa"/>
          </w:tcPr>
          <w:p>
            <w:pPr>
              <w:pStyle w:val="TableParagraph"/>
              <w:spacing w:line="187" w:lineRule="exact"/>
              <w:ind w:left="44" w:right="48"/>
              <w:jc w:val="center"/>
              <w:rPr>
                <w:sz w:val="18"/>
              </w:rPr>
            </w:pPr>
            <w:r>
              <w:rPr>
                <w:spacing w:val="-2"/>
                <w:sz w:val="18"/>
              </w:rPr>
              <w:t>-186.9104</w:t>
            </w:r>
          </w:p>
        </w:tc>
        <w:tc>
          <w:tcPr>
            <w:tcW w:w="1409" w:type="dxa"/>
          </w:tcPr>
          <w:p>
            <w:pPr>
              <w:pStyle w:val="TableParagraph"/>
              <w:spacing w:line="187" w:lineRule="exact"/>
              <w:ind w:left="56" w:right="75"/>
              <w:jc w:val="center"/>
              <w:rPr>
                <w:sz w:val="18"/>
              </w:rPr>
            </w:pPr>
            <w:r>
              <w:rPr>
                <w:spacing w:val="-2"/>
                <w:sz w:val="18"/>
              </w:rPr>
              <w:t>-8.139491</w:t>
            </w:r>
          </w:p>
        </w:tc>
        <w:tc>
          <w:tcPr>
            <w:tcW w:w="2834" w:type="dxa"/>
          </w:tcPr>
          <w:p>
            <w:pPr>
              <w:pStyle w:val="TableParagraph"/>
              <w:spacing w:line="187" w:lineRule="exact"/>
              <w:ind w:left="50" w:right="1425"/>
              <w:jc w:val="center"/>
              <w:rPr>
                <w:sz w:val="18"/>
              </w:rPr>
            </w:pPr>
            <w:r>
              <w:rPr>
                <w:spacing w:val="-2"/>
                <w:sz w:val="18"/>
              </w:rPr>
              <w:t>13.75297</w:t>
            </w:r>
          </w:p>
        </w:tc>
      </w:tr>
    </w:tbl>
    <w:p>
      <w:pPr>
        <w:spacing w:after="0" w:line="187" w:lineRule="exact"/>
        <w:jc w:val="center"/>
        <w:rPr>
          <w:sz w:val="18"/>
        </w:rPr>
        <w:sectPr>
          <w:pgSz w:w="15840" w:h="12240" w:orient="landscape"/>
          <w:pgMar w:header="0" w:footer="1012" w:top="1380" w:bottom="1200" w:left="1340" w:right="120"/>
        </w:sectPr>
      </w:pPr>
    </w:p>
    <w:p>
      <w:pPr>
        <w:pStyle w:val="BodyText"/>
        <w:spacing w:before="4"/>
        <w:ind w:left="0"/>
        <w:rPr>
          <w:b/>
          <w:sz w:val="7"/>
        </w:rPr>
      </w:pP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7"/>
        <w:gridCol w:w="1266"/>
        <w:gridCol w:w="1561"/>
        <w:gridCol w:w="1350"/>
        <w:gridCol w:w="1418"/>
        <w:gridCol w:w="1406"/>
        <w:gridCol w:w="1439"/>
        <w:gridCol w:w="1409"/>
        <w:gridCol w:w="2834"/>
      </w:tblGrid>
      <w:tr>
        <w:trPr>
          <w:trHeight w:val="212" w:hRule="atLeast"/>
        </w:trPr>
        <w:tc>
          <w:tcPr>
            <w:tcW w:w="1467" w:type="dxa"/>
          </w:tcPr>
          <w:p>
            <w:pPr>
              <w:pStyle w:val="TableParagraph"/>
              <w:spacing w:line="240" w:lineRule="auto" w:before="0"/>
              <w:rPr>
                <w:rFonts w:ascii="Times New Roman"/>
                <w:sz w:val="14"/>
              </w:rPr>
            </w:pPr>
          </w:p>
        </w:tc>
        <w:tc>
          <w:tcPr>
            <w:tcW w:w="1266" w:type="dxa"/>
          </w:tcPr>
          <w:p>
            <w:pPr>
              <w:pStyle w:val="TableParagraph"/>
              <w:spacing w:line="240" w:lineRule="auto" w:before="0"/>
              <w:rPr>
                <w:rFonts w:ascii="Times New Roman"/>
                <w:sz w:val="14"/>
              </w:rPr>
            </w:pPr>
          </w:p>
        </w:tc>
        <w:tc>
          <w:tcPr>
            <w:tcW w:w="1561" w:type="dxa"/>
          </w:tcPr>
          <w:p>
            <w:pPr>
              <w:pStyle w:val="TableParagraph"/>
              <w:spacing w:line="240" w:lineRule="auto" w:before="0"/>
              <w:rPr>
                <w:rFonts w:ascii="Times New Roman"/>
                <w:sz w:val="14"/>
              </w:rPr>
            </w:pPr>
          </w:p>
        </w:tc>
        <w:tc>
          <w:tcPr>
            <w:tcW w:w="1350" w:type="dxa"/>
          </w:tcPr>
          <w:p>
            <w:pPr>
              <w:pStyle w:val="TableParagraph"/>
              <w:spacing w:line="240" w:lineRule="auto" w:before="0"/>
              <w:rPr>
                <w:rFonts w:ascii="Times New Roman"/>
                <w:sz w:val="14"/>
              </w:rPr>
            </w:pPr>
          </w:p>
        </w:tc>
        <w:tc>
          <w:tcPr>
            <w:tcW w:w="1418" w:type="dxa"/>
          </w:tcPr>
          <w:p>
            <w:pPr>
              <w:pStyle w:val="TableParagraph"/>
              <w:spacing w:line="240" w:lineRule="auto" w:before="0"/>
              <w:rPr>
                <w:rFonts w:ascii="Times New Roman"/>
                <w:sz w:val="14"/>
              </w:rPr>
            </w:pPr>
          </w:p>
        </w:tc>
        <w:tc>
          <w:tcPr>
            <w:tcW w:w="1406" w:type="dxa"/>
          </w:tcPr>
          <w:p>
            <w:pPr>
              <w:pStyle w:val="TableParagraph"/>
              <w:spacing w:line="192" w:lineRule="exact" w:before="0"/>
              <w:ind w:left="154" w:right="102"/>
              <w:jc w:val="center"/>
              <w:rPr>
                <w:sz w:val="18"/>
              </w:rPr>
            </w:pPr>
            <w:r>
              <w:rPr>
                <w:spacing w:val="-2"/>
                <w:sz w:val="18"/>
              </w:rPr>
              <w:t>(0.03316)</w:t>
            </w:r>
          </w:p>
        </w:tc>
        <w:tc>
          <w:tcPr>
            <w:tcW w:w="1439" w:type="dxa"/>
          </w:tcPr>
          <w:p>
            <w:pPr>
              <w:pStyle w:val="TableParagraph"/>
              <w:spacing w:line="192" w:lineRule="exact" w:before="0"/>
              <w:ind w:left="51" w:right="7"/>
              <w:jc w:val="center"/>
              <w:rPr>
                <w:sz w:val="18"/>
              </w:rPr>
            </w:pPr>
            <w:r>
              <w:rPr>
                <w:spacing w:val="-2"/>
                <w:sz w:val="18"/>
              </w:rPr>
              <w:t>(24.9341)</w:t>
            </w:r>
          </w:p>
        </w:tc>
        <w:tc>
          <w:tcPr>
            <w:tcW w:w="1409" w:type="dxa"/>
          </w:tcPr>
          <w:p>
            <w:pPr>
              <w:pStyle w:val="TableParagraph"/>
              <w:spacing w:line="192" w:lineRule="exact" w:before="0"/>
              <w:ind w:left="56" w:right="27"/>
              <w:jc w:val="center"/>
              <w:rPr>
                <w:sz w:val="18"/>
              </w:rPr>
            </w:pPr>
            <w:r>
              <w:rPr>
                <w:spacing w:val="-2"/>
                <w:sz w:val="18"/>
              </w:rPr>
              <w:t>(23.2554)</w:t>
            </w:r>
          </w:p>
        </w:tc>
        <w:tc>
          <w:tcPr>
            <w:tcW w:w="2834" w:type="dxa"/>
          </w:tcPr>
          <w:p>
            <w:pPr>
              <w:pStyle w:val="TableParagraph"/>
              <w:spacing w:line="192" w:lineRule="exact" w:before="0"/>
              <w:ind w:left="51" w:right="1425"/>
              <w:jc w:val="center"/>
              <w:rPr>
                <w:sz w:val="18"/>
              </w:rPr>
            </w:pPr>
            <w:r>
              <w:rPr>
                <w:spacing w:val="-2"/>
                <w:sz w:val="18"/>
              </w:rPr>
              <w:t>(2.94546)</w:t>
            </w:r>
          </w:p>
        </w:tc>
      </w:tr>
      <w:tr>
        <w:trPr>
          <w:trHeight w:val="224" w:hRule="atLeast"/>
        </w:trPr>
        <w:tc>
          <w:tcPr>
            <w:tcW w:w="1467" w:type="dxa"/>
          </w:tcPr>
          <w:p>
            <w:pPr>
              <w:pStyle w:val="TableParagraph"/>
              <w:spacing w:before="5"/>
              <w:ind w:left="56" w:right="81"/>
              <w:jc w:val="center"/>
              <w:rPr>
                <w:sz w:val="18"/>
              </w:rPr>
            </w:pPr>
            <w:r>
              <w:rPr>
                <w:spacing w:val="-2"/>
                <w:sz w:val="18"/>
              </w:rPr>
              <w:t>0.000000</w:t>
            </w:r>
          </w:p>
        </w:tc>
        <w:tc>
          <w:tcPr>
            <w:tcW w:w="1266" w:type="dxa"/>
          </w:tcPr>
          <w:p>
            <w:pPr>
              <w:pStyle w:val="TableParagraph"/>
              <w:spacing w:before="5"/>
              <w:ind w:left="47" w:right="10"/>
              <w:jc w:val="center"/>
              <w:rPr>
                <w:sz w:val="18"/>
              </w:rPr>
            </w:pPr>
            <w:r>
              <w:rPr/>
              <mc:AlternateContent>
                <mc:Choice Requires="wps">
                  <w:drawing>
                    <wp:anchor distT="0" distB="0" distL="0" distR="0" allowOverlap="1" layoutInCell="1" locked="0" behindDoc="1" simplePos="0" relativeHeight="478142976">
                      <wp:simplePos x="0" y="0"/>
                      <wp:positionH relativeFrom="column">
                        <wp:posOffset>227431</wp:posOffset>
                      </wp:positionH>
                      <wp:positionV relativeFrom="paragraph">
                        <wp:posOffset>-10516</wp:posOffset>
                      </wp:positionV>
                      <wp:extent cx="5505450" cy="5661025"/>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5505450" cy="5661025"/>
                                <a:chExt cx="5505450" cy="5661025"/>
                              </a:xfrm>
                            </wpg:grpSpPr>
                            <wps:wsp>
                              <wps:cNvPr id="289" name="Graphic 289"/>
                              <wps:cNvSpPr/>
                              <wps:spPr>
                                <a:xfrm>
                                  <a:off x="0" y="0"/>
                                  <a:ext cx="5505450" cy="5661025"/>
                                </a:xfrm>
                                <a:custGeom>
                                  <a:avLst/>
                                  <a:gdLst/>
                                  <a:ahLst/>
                                  <a:cxnLst/>
                                  <a:rect l="l" t="t" r="r" b="b"/>
                                  <a:pathLst>
                                    <a:path w="5505450" h="5661025">
                                      <a:moveTo>
                                        <a:pt x="677037" y="5536984"/>
                                      </a:moveTo>
                                      <a:lnTo>
                                        <a:pt x="123825" y="4983861"/>
                                      </a:lnTo>
                                      <a:lnTo>
                                        <a:pt x="0" y="5107686"/>
                                      </a:lnTo>
                                      <a:lnTo>
                                        <a:pt x="553212" y="5660809"/>
                                      </a:lnTo>
                                      <a:lnTo>
                                        <a:pt x="677037" y="5536984"/>
                                      </a:lnTo>
                                      <a:close/>
                                    </a:path>
                                    <a:path w="5505450" h="5661025">
                                      <a:moveTo>
                                        <a:pt x="1052703" y="5107749"/>
                                      </a:moveTo>
                                      <a:lnTo>
                                        <a:pt x="1049020" y="5055489"/>
                                      </a:lnTo>
                                      <a:lnTo>
                                        <a:pt x="1033995" y="4999825"/>
                                      </a:lnTo>
                                      <a:lnTo>
                                        <a:pt x="1007364" y="4944618"/>
                                      </a:lnTo>
                                      <a:lnTo>
                                        <a:pt x="970749" y="4891671"/>
                                      </a:lnTo>
                                      <a:lnTo>
                                        <a:pt x="925957" y="4841367"/>
                                      </a:lnTo>
                                      <a:lnTo>
                                        <a:pt x="596138" y="4511548"/>
                                      </a:lnTo>
                                      <a:lnTo>
                                        <a:pt x="472821" y="4634865"/>
                                      </a:lnTo>
                                      <a:lnTo>
                                        <a:pt x="810387" y="4972558"/>
                                      </a:lnTo>
                                      <a:lnTo>
                                        <a:pt x="830897" y="4995367"/>
                                      </a:lnTo>
                                      <a:lnTo>
                                        <a:pt x="846543" y="5017833"/>
                                      </a:lnTo>
                                      <a:lnTo>
                                        <a:pt x="857389" y="5039931"/>
                                      </a:lnTo>
                                      <a:lnTo>
                                        <a:pt x="863473" y="5061585"/>
                                      </a:lnTo>
                                      <a:lnTo>
                                        <a:pt x="864425" y="5082425"/>
                                      </a:lnTo>
                                      <a:lnTo>
                                        <a:pt x="860488" y="5101869"/>
                                      </a:lnTo>
                                      <a:lnTo>
                                        <a:pt x="838073" y="5136515"/>
                                      </a:lnTo>
                                      <a:lnTo>
                                        <a:pt x="803160" y="5159083"/>
                                      </a:lnTo>
                                      <a:lnTo>
                                        <a:pt x="783615" y="5162867"/>
                                      </a:lnTo>
                                      <a:lnTo>
                                        <a:pt x="762635" y="5161534"/>
                                      </a:lnTo>
                                      <a:lnTo>
                                        <a:pt x="718566" y="5144859"/>
                                      </a:lnTo>
                                      <a:lnTo>
                                        <a:pt x="673735" y="5109210"/>
                                      </a:lnTo>
                                      <a:lnTo>
                                        <a:pt x="336169" y="4771517"/>
                                      </a:lnTo>
                                      <a:lnTo>
                                        <a:pt x="212725" y="4894834"/>
                                      </a:lnTo>
                                      <a:lnTo>
                                        <a:pt x="542544" y="5224653"/>
                                      </a:lnTo>
                                      <a:lnTo>
                                        <a:pt x="589292" y="5265547"/>
                                      </a:lnTo>
                                      <a:lnTo>
                                        <a:pt x="647573" y="5306822"/>
                                      </a:lnTo>
                                      <a:lnTo>
                                        <a:pt x="690054" y="5328818"/>
                                      </a:lnTo>
                                      <a:lnTo>
                                        <a:pt x="737870" y="5344033"/>
                                      </a:lnTo>
                                      <a:lnTo>
                                        <a:pt x="785342" y="5351424"/>
                                      </a:lnTo>
                                      <a:lnTo>
                                        <a:pt x="807173" y="5351526"/>
                                      </a:lnTo>
                                      <a:lnTo>
                                        <a:pt x="827786" y="5349367"/>
                                      </a:lnTo>
                                      <a:lnTo>
                                        <a:pt x="867879" y="5337492"/>
                                      </a:lnTo>
                                      <a:lnTo>
                                        <a:pt x="908177" y="5314188"/>
                                      </a:lnTo>
                                      <a:lnTo>
                                        <a:pt x="945210" y="5284952"/>
                                      </a:lnTo>
                                      <a:lnTo>
                                        <a:pt x="977011" y="5255895"/>
                                      </a:lnTo>
                                      <a:lnTo>
                                        <a:pt x="1019365" y="5204485"/>
                                      </a:lnTo>
                                      <a:lnTo>
                                        <a:pt x="1045337" y="5151247"/>
                                      </a:lnTo>
                                      <a:lnTo>
                                        <a:pt x="1050340" y="5130609"/>
                                      </a:lnTo>
                                      <a:lnTo>
                                        <a:pt x="1052703" y="5107749"/>
                                      </a:lnTo>
                                      <a:close/>
                                    </a:path>
                                    <a:path w="5505450" h="5661025">
                                      <a:moveTo>
                                        <a:pt x="1514906" y="4610379"/>
                                      </a:moveTo>
                                      <a:lnTo>
                                        <a:pt x="1510944" y="4569625"/>
                                      </a:lnTo>
                                      <a:lnTo>
                                        <a:pt x="1500924" y="4528058"/>
                                      </a:lnTo>
                                      <a:lnTo>
                                        <a:pt x="1484630" y="4485640"/>
                                      </a:lnTo>
                                      <a:lnTo>
                                        <a:pt x="1466799" y="4451121"/>
                                      </a:lnTo>
                                      <a:lnTo>
                                        <a:pt x="1444396" y="4415548"/>
                                      </a:lnTo>
                                      <a:lnTo>
                                        <a:pt x="1417332" y="4378972"/>
                                      </a:lnTo>
                                      <a:lnTo>
                                        <a:pt x="1385658" y="4341507"/>
                                      </a:lnTo>
                                      <a:lnTo>
                                        <a:pt x="1374343" y="4329595"/>
                                      </a:lnTo>
                                      <a:lnTo>
                                        <a:pt x="1349248" y="4303141"/>
                                      </a:lnTo>
                                      <a:lnTo>
                                        <a:pt x="1334071" y="4289018"/>
                                      </a:lnTo>
                                      <a:lnTo>
                                        <a:pt x="1334071" y="4602658"/>
                                      </a:lnTo>
                                      <a:lnTo>
                                        <a:pt x="1330960" y="4628210"/>
                                      </a:lnTo>
                                      <a:lnTo>
                                        <a:pt x="1304544" y="4672584"/>
                                      </a:lnTo>
                                      <a:lnTo>
                                        <a:pt x="1260627" y="4698276"/>
                                      </a:lnTo>
                                      <a:lnTo>
                                        <a:pt x="1234922" y="4701095"/>
                                      </a:lnTo>
                                      <a:lnTo>
                                        <a:pt x="1206627" y="4697095"/>
                                      </a:lnTo>
                                      <a:lnTo>
                                        <a:pt x="1141310" y="4665548"/>
                                      </a:lnTo>
                                      <a:lnTo>
                                        <a:pt x="1103998" y="4636846"/>
                                      </a:lnTo>
                                      <a:lnTo>
                                        <a:pt x="1063625" y="4599305"/>
                                      </a:lnTo>
                                      <a:lnTo>
                                        <a:pt x="1025956" y="4558728"/>
                                      </a:lnTo>
                                      <a:lnTo>
                                        <a:pt x="997077" y="4521200"/>
                                      </a:lnTo>
                                      <a:lnTo>
                                        <a:pt x="976858" y="4486834"/>
                                      </a:lnTo>
                                      <a:lnTo>
                                        <a:pt x="961186" y="4427385"/>
                                      </a:lnTo>
                                      <a:lnTo>
                                        <a:pt x="963891" y="4401807"/>
                                      </a:lnTo>
                                      <a:lnTo>
                                        <a:pt x="988695" y="4358894"/>
                                      </a:lnTo>
                                      <a:lnTo>
                                        <a:pt x="1032675" y="4332884"/>
                                      </a:lnTo>
                                      <a:lnTo>
                                        <a:pt x="1058392" y="4329595"/>
                                      </a:lnTo>
                                      <a:lnTo>
                                        <a:pt x="1086523" y="4332884"/>
                                      </a:lnTo>
                                      <a:lnTo>
                                        <a:pt x="1150073" y="4362755"/>
                                      </a:lnTo>
                                      <a:lnTo>
                                        <a:pt x="1185532" y="4389602"/>
                                      </a:lnTo>
                                      <a:lnTo>
                                        <a:pt x="1223391" y="4424553"/>
                                      </a:lnTo>
                                      <a:lnTo>
                                        <a:pt x="1264805" y="4468812"/>
                                      </a:lnTo>
                                      <a:lnTo>
                                        <a:pt x="1296377" y="4508716"/>
                                      </a:lnTo>
                                      <a:lnTo>
                                        <a:pt x="1318183" y="4544161"/>
                                      </a:lnTo>
                                      <a:lnTo>
                                        <a:pt x="1334071" y="4602658"/>
                                      </a:lnTo>
                                      <a:lnTo>
                                        <a:pt x="1334071" y="4289018"/>
                                      </a:lnTo>
                                      <a:lnTo>
                                        <a:pt x="1304861" y="4261828"/>
                                      </a:lnTo>
                                      <a:lnTo>
                                        <a:pt x="1260741" y="4226865"/>
                                      </a:lnTo>
                                      <a:lnTo>
                                        <a:pt x="1216926" y="4198201"/>
                                      </a:lnTo>
                                      <a:lnTo>
                                        <a:pt x="1173403" y="4175760"/>
                                      </a:lnTo>
                                      <a:lnTo>
                                        <a:pt x="1130211" y="4159504"/>
                                      </a:lnTo>
                                      <a:lnTo>
                                        <a:pt x="1087374" y="4149344"/>
                                      </a:lnTo>
                                      <a:lnTo>
                                        <a:pt x="1037336" y="4145813"/>
                                      </a:lnTo>
                                      <a:lnTo>
                                        <a:pt x="989520" y="4152163"/>
                                      </a:lnTo>
                                      <a:lnTo>
                                        <a:pt x="943940" y="4168292"/>
                                      </a:lnTo>
                                      <a:lnTo>
                                        <a:pt x="900595" y="4194073"/>
                                      </a:lnTo>
                                      <a:lnTo>
                                        <a:pt x="859536" y="4229354"/>
                                      </a:lnTo>
                                      <a:lnTo>
                                        <a:pt x="825195" y="4269638"/>
                                      </a:lnTo>
                                      <a:lnTo>
                                        <a:pt x="800277" y="4312539"/>
                                      </a:lnTo>
                                      <a:lnTo>
                                        <a:pt x="784872" y="4358056"/>
                                      </a:lnTo>
                                      <a:lnTo>
                                        <a:pt x="779068" y="4406112"/>
                                      </a:lnTo>
                                      <a:lnTo>
                                        <a:pt x="782955" y="4456684"/>
                                      </a:lnTo>
                                      <a:lnTo>
                                        <a:pt x="793432" y="4500080"/>
                                      </a:lnTo>
                                      <a:lnTo>
                                        <a:pt x="810082" y="4543882"/>
                                      </a:lnTo>
                                      <a:lnTo>
                                        <a:pt x="832942" y="4588040"/>
                                      </a:lnTo>
                                      <a:lnTo>
                                        <a:pt x="862076" y="4632515"/>
                                      </a:lnTo>
                                      <a:lnTo>
                                        <a:pt x="897547" y="4677270"/>
                                      </a:lnTo>
                                      <a:lnTo>
                                        <a:pt x="939419" y="4722241"/>
                                      </a:lnTo>
                                      <a:lnTo>
                                        <a:pt x="977925" y="4758525"/>
                                      </a:lnTo>
                                      <a:lnTo>
                                        <a:pt x="1016152" y="4789995"/>
                                      </a:lnTo>
                                      <a:lnTo>
                                        <a:pt x="1054023" y="4816703"/>
                                      </a:lnTo>
                                      <a:lnTo>
                                        <a:pt x="1091463" y="4838725"/>
                                      </a:lnTo>
                                      <a:lnTo>
                                        <a:pt x="1128395" y="4856099"/>
                                      </a:lnTo>
                                      <a:lnTo>
                                        <a:pt x="1173149" y="4871567"/>
                                      </a:lnTo>
                                      <a:lnTo>
                                        <a:pt x="1215809" y="4880241"/>
                                      </a:lnTo>
                                      <a:lnTo>
                                        <a:pt x="1256347" y="4882426"/>
                                      </a:lnTo>
                                      <a:lnTo>
                                        <a:pt x="1294765" y="4878451"/>
                                      </a:lnTo>
                                      <a:lnTo>
                                        <a:pt x="1331455" y="4868176"/>
                                      </a:lnTo>
                                      <a:lnTo>
                                        <a:pt x="1367294" y="4850955"/>
                                      </a:lnTo>
                                      <a:lnTo>
                                        <a:pt x="1402295" y="4826990"/>
                                      </a:lnTo>
                                      <a:lnTo>
                                        <a:pt x="1436497" y="4796409"/>
                                      </a:lnTo>
                                      <a:lnTo>
                                        <a:pt x="1466329" y="4762271"/>
                                      </a:lnTo>
                                      <a:lnTo>
                                        <a:pt x="1489113" y="4726533"/>
                                      </a:lnTo>
                                      <a:lnTo>
                                        <a:pt x="1504734" y="4689221"/>
                                      </a:lnTo>
                                      <a:lnTo>
                                        <a:pt x="1513078" y="4650359"/>
                                      </a:lnTo>
                                      <a:lnTo>
                                        <a:pt x="1514906" y="4610379"/>
                                      </a:lnTo>
                                      <a:close/>
                                    </a:path>
                                    <a:path w="5505450" h="5661025">
                                      <a:moveTo>
                                        <a:pt x="1687068" y="4242308"/>
                                      </a:moveTo>
                                      <a:lnTo>
                                        <a:pt x="1568323" y="4123436"/>
                                      </a:lnTo>
                                      <a:lnTo>
                                        <a:pt x="1406906" y="4284980"/>
                                      </a:lnTo>
                                      <a:lnTo>
                                        <a:pt x="1525651" y="4403725"/>
                                      </a:lnTo>
                                      <a:lnTo>
                                        <a:pt x="1687068" y="4242308"/>
                                      </a:lnTo>
                                      <a:close/>
                                    </a:path>
                                    <a:path w="5505450" h="5661025">
                                      <a:moveTo>
                                        <a:pt x="2011426" y="4202557"/>
                                      </a:moveTo>
                                      <a:lnTo>
                                        <a:pt x="1458214" y="3649345"/>
                                      </a:lnTo>
                                      <a:lnTo>
                                        <a:pt x="1334389" y="3773170"/>
                                      </a:lnTo>
                                      <a:lnTo>
                                        <a:pt x="1887601" y="4326382"/>
                                      </a:lnTo>
                                      <a:lnTo>
                                        <a:pt x="2011426" y="4202557"/>
                                      </a:lnTo>
                                      <a:close/>
                                    </a:path>
                                    <a:path w="5505450" h="5661025">
                                      <a:moveTo>
                                        <a:pt x="2223643" y="3990340"/>
                                      </a:moveTo>
                                      <a:lnTo>
                                        <a:pt x="2018411" y="3784981"/>
                                      </a:lnTo>
                                      <a:lnTo>
                                        <a:pt x="2086102" y="3717290"/>
                                      </a:lnTo>
                                      <a:lnTo>
                                        <a:pt x="2118220" y="3679304"/>
                                      </a:lnTo>
                                      <a:lnTo>
                                        <a:pt x="2121700" y="3672967"/>
                                      </a:lnTo>
                                      <a:lnTo>
                                        <a:pt x="2139683" y="3640201"/>
                                      </a:lnTo>
                                      <a:lnTo>
                                        <a:pt x="2150389" y="3600069"/>
                                      </a:lnTo>
                                      <a:lnTo>
                                        <a:pt x="2150237" y="3558921"/>
                                      </a:lnTo>
                                      <a:lnTo>
                                        <a:pt x="2140077" y="3517239"/>
                                      </a:lnTo>
                                      <a:lnTo>
                                        <a:pt x="2125307" y="3484930"/>
                                      </a:lnTo>
                                      <a:lnTo>
                                        <a:pt x="2120976" y="3475444"/>
                                      </a:lnTo>
                                      <a:lnTo>
                                        <a:pt x="2092845" y="3433572"/>
                                      </a:lnTo>
                                      <a:lnTo>
                                        <a:pt x="2055622" y="3391662"/>
                                      </a:lnTo>
                                      <a:lnTo>
                                        <a:pt x="2015096" y="3355416"/>
                                      </a:lnTo>
                                      <a:lnTo>
                                        <a:pt x="1975065" y="3328060"/>
                                      </a:lnTo>
                                      <a:lnTo>
                                        <a:pt x="1969516" y="3325444"/>
                                      </a:lnTo>
                                      <a:lnTo>
                                        <a:pt x="1969516" y="3575050"/>
                                      </a:lnTo>
                                      <a:lnTo>
                                        <a:pt x="1968728" y="3591293"/>
                                      </a:lnTo>
                                      <a:lnTo>
                                        <a:pt x="1962873" y="3607993"/>
                                      </a:lnTo>
                                      <a:lnTo>
                                        <a:pt x="1952117" y="3625151"/>
                                      </a:lnTo>
                                      <a:lnTo>
                                        <a:pt x="1936623" y="3642741"/>
                                      </a:lnTo>
                                      <a:lnTo>
                                        <a:pt x="1906397" y="3672967"/>
                                      </a:lnTo>
                                      <a:lnTo>
                                        <a:pt x="1782953" y="3549523"/>
                                      </a:lnTo>
                                      <a:lnTo>
                                        <a:pt x="1818132" y="3514344"/>
                                      </a:lnTo>
                                      <a:lnTo>
                                        <a:pt x="1835251" y="3499459"/>
                                      </a:lnTo>
                                      <a:lnTo>
                                        <a:pt x="1851812" y="3489668"/>
                                      </a:lnTo>
                                      <a:lnTo>
                                        <a:pt x="1867852" y="3484930"/>
                                      </a:lnTo>
                                      <a:lnTo>
                                        <a:pt x="1883410" y="3485261"/>
                                      </a:lnTo>
                                      <a:lnTo>
                                        <a:pt x="1926856" y="3505149"/>
                                      </a:lnTo>
                                      <a:lnTo>
                                        <a:pt x="1960791" y="3544824"/>
                                      </a:lnTo>
                                      <a:lnTo>
                                        <a:pt x="1969516" y="3575050"/>
                                      </a:lnTo>
                                      <a:lnTo>
                                        <a:pt x="1969516" y="3325444"/>
                                      </a:lnTo>
                                      <a:lnTo>
                                        <a:pt x="1935568" y="3309391"/>
                                      </a:lnTo>
                                      <a:lnTo>
                                        <a:pt x="1896618" y="3299206"/>
                                      </a:lnTo>
                                      <a:lnTo>
                                        <a:pt x="1858467" y="3298609"/>
                                      </a:lnTo>
                                      <a:lnTo>
                                        <a:pt x="1821599" y="3307956"/>
                                      </a:lnTo>
                                      <a:lnTo>
                                        <a:pt x="1786039" y="3327095"/>
                                      </a:lnTo>
                                      <a:lnTo>
                                        <a:pt x="1751838" y="3355848"/>
                                      </a:lnTo>
                                      <a:lnTo>
                                        <a:pt x="1546352" y="3561207"/>
                                      </a:lnTo>
                                      <a:lnTo>
                                        <a:pt x="2099564" y="4114419"/>
                                      </a:lnTo>
                                      <a:lnTo>
                                        <a:pt x="2223643" y="3990340"/>
                                      </a:lnTo>
                                      <a:close/>
                                    </a:path>
                                    <a:path w="5505450" h="5661025">
                                      <a:moveTo>
                                        <a:pt x="2725166" y="3488817"/>
                                      </a:moveTo>
                                      <a:lnTo>
                                        <a:pt x="2308479" y="3072257"/>
                                      </a:lnTo>
                                      <a:lnTo>
                                        <a:pt x="2434590" y="2946146"/>
                                      </a:lnTo>
                                      <a:lnTo>
                                        <a:pt x="2298065" y="2809621"/>
                                      </a:lnTo>
                                      <a:lnTo>
                                        <a:pt x="1922399" y="3185287"/>
                                      </a:lnTo>
                                      <a:lnTo>
                                        <a:pt x="2058924" y="3321812"/>
                                      </a:lnTo>
                                      <a:lnTo>
                                        <a:pt x="2184908" y="3195828"/>
                                      </a:lnTo>
                                      <a:lnTo>
                                        <a:pt x="2601595" y="3612388"/>
                                      </a:lnTo>
                                      <a:lnTo>
                                        <a:pt x="2725166" y="3488817"/>
                                      </a:lnTo>
                                      <a:close/>
                                    </a:path>
                                    <a:path w="5505450" h="5661025">
                                      <a:moveTo>
                                        <a:pt x="3128645" y="3085338"/>
                                      </a:moveTo>
                                      <a:lnTo>
                                        <a:pt x="2712085" y="2668651"/>
                                      </a:lnTo>
                                      <a:lnTo>
                                        <a:pt x="2838069" y="2542667"/>
                                      </a:lnTo>
                                      <a:lnTo>
                                        <a:pt x="2701544" y="2406142"/>
                                      </a:lnTo>
                                      <a:lnTo>
                                        <a:pt x="2325878" y="2781808"/>
                                      </a:lnTo>
                                      <a:lnTo>
                                        <a:pt x="2462530" y="2918333"/>
                                      </a:lnTo>
                                      <a:lnTo>
                                        <a:pt x="2588514" y="2792349"/>
                                      </a:lnTo>
                                      <a:lnTo>
                                        <a:pt x="3005074" y="3208909"/>
                                      </a:lnTo>
                                      <a:lnTo>
                                        <a:pt x="3128645" y="3085338"/>
                                      </a:lnTo>
                                      <a:close/>
                                    </a:path>
                                    <a:path w="5505450" h="5661025">
                                      <a:moveTo>
                                        <a:pt x="3594430" y="2530856"/>
                                      </a:moveTo>
                                      <a:lnTo>
                                        <a:pt x="3590506" y="2490063"/>
                                      </a:lnTo>
                                      <a:lnTo>
                                        <a:pt x="3580536" y="2448458"/>
                                      </a:lnTo>
                                      <a:lnTo>
                                        <a:pt x="3564255" y="2406015"/>
                                      </a:lnTo>
                                      <a:lnTo>
                                        <a:pt x="3546360" y="2371560"/>
                                      </a:lnTo>
                                      <a:lnTo>
                                        <a:pt x="3523919" y="2336038"/>
                                      </a:lnTo>
                                      <a:lnTo>
                                        <a:pt x="3496805" y="2299449"/>
                                      </a:lnTo>
                                      <a:lnTo>
                                        <a:pt x="3465157" y="2262073"/>
                                      </a:lnTo>
                                      <a:lnTo>
                                        <a:pt x="3453765" y="2250097"/>
                                      </a:lnTo>
                                      <a:lnTo>
                                        <a:pt x="3428746" y="2223770"/>
                                      </a:lnTo>
                                      <a:lnTo>
                                        <a:pt x="3413569" y="2209635"/>
                                      </a:lnTo>
                                      <a:lnTo>
                                        <a:pt x="3413569" y="2523134"/>
                                      </a:lnTo>
                                      <a:lnTo>
                                        <a:pt x="3410432" y="2548661"/>
                                      </a:lnTo>
                                      <a:lnTo>
                                        <a:pt x="3383915" y="2593086"/>
                                      </a:lnTo>
                                      <a:lnTo>
                                        <a:pt x="3340176" y="2618714"/>
                                      </a:lnTo>
                                      <a:lnTo>
                                        <a:pt x="3314522" y="2621483"/>
                                      </a:lnTo>
                                      <a:lnTo>
                                        <a:pt x="3286252" y="2617470"/>
                                      </a:lnTo>
                                      <a:lnTo>
                                        <a:pt x="3220936" y="2585936"/>
                                      </a:lnTo>
                                      <a:lnTo>
                                        <a:pt x="3183623" y="2557272"/>
                                      </a:lnTo>
                                      <a:lnTo>
                                        <a:pt x="3143250" y="2519807"/>
                                      </a:lnTo>
                                      <a:lnTo>
                                        <a:pt x="3105505" y="2479154"/>
                                      </a:lnTo>
                                      <a:lnTo>
                                        <a:pt x="3076600" y="2441600"/>
                                      </a:lnTo>
                                      <a:lnTo>
                                        <a:pt x="3056407" y="2407208"/>
                                      </a:lnTo>
                                      <a:lnTo>
                                        <a:pt x="3040786" y="2347785"/>
                                      </a:lnTo>
                                      <a:lnTo>
                                        <a:pt x="3043453" y="2322245"/>
                                      </a:lnTo>
                                      <a:lnTo>
                                        <a:pt x="3068193" y="2279396"/>
                                      </a:lnTo>
                                      <a:lnTo>
                                        <a:pt x="3112173" y="2253386"/>
                                      </a:lnTo>
                                      <a:lnTo>
                                        <a:pt x="3137890" y="2250097"/>
                                      </a:lnTo>
                                      <a:lnTo>
                                        <a:pt x="3166021" y="2253386"/>
                                      </a:lnTo>
                                      <a:lnTo>
                                        <a:pt x="3229521" y="2283256"/>
                                      </a:lnTo>
                                      <a:lnTo>
                                        <a:pt x="3265005" y="2310104"/>
                                      </a:lnTo>
                                      <a:lnTo>
                                        <a:pt x="3302889" y="2345055"/>
                                      </a:lnTo>
                                      <a:lnTo>
                                        <a:pt x="3344329" y="2389289"/>
                                      </a:lnTo>
                                      <a:lnTo>
                                        <a:pt x="3375926" y="2429167"/>
                                      </a:lnTo>
                                      <a:lnTo>
                                        <a:pt x="3397732" y="2464612"/>
                                      </a:lnTo>
                                      <a:lnTo>
                                        <a:pt x="3413569" y="2523134"/>
                                      </a:lnTo>
                                      <a:lnTo>
                                        <a:pt x="3413569" y="2209635"/>
                                      </a:lnTo>
                                      <a:lnTo>
                                        <a:pt x="3384359" y="2182406"/>
                                      </a:lnTo>
                                      <a:lnTo>
                                        <a:pt x="3340239" y="2147405"/>
                                      </a:lnTo>
                                      <a:lnTo>
                                        <a:pt x="3296424" y="2118715"/>
                                      </a:lnTo>
                                      <a:lnTo>
                                        <a:pt x="3252901" y="2096274"/>
                                      </a:lnTo>
                                      <a:lnTo>
                                        <a:pt x="3209709" y="2080006"/>
                                      </a:lnTo>
                                      <a:lnTo>
                                        <a:pt x="3166872" y="2069846"/>
                                      </a:lnTo>
                                      <a:lnTo>
                                        <a:pt x="3116834" y="2066315"/>
                                      </a:lnTo>
                                      <a:lnTo>
                                        <a:pt x="3069018" y="2072665"/>
                                      </a:lnTo>
                                      <a:lnTo>
                                        <a:pt x="3023438" y="2088769"/>
                                      </a:lnTo>
                                      <a:lnTo>
                                        <a:pt x="2980093" y="2114512"/>
                                      </a:lnTo>
                                      <a:lnTo>
                                        <a:pt x="2939034" y="2149729"/>
                                      </a:lnTo>
                                      <a:lnTo>
                                        <a:pt x="2904744" y="2190026"/>
                                      </a:lnTo>
                                      <a:lnTo>
                                        <a:pt x="2879839" y="2232964"/>
                                      </a:lnTo>
                                      <a:lnTo>
                                        <a:pt x="2864434" y="2278507"/>
                                      </a:lnTo>
                                      <a:lnTo>
                                        <a:pt x="2858643" y="2326602"/>
                                      </a:lnTo>
                                      <a:lnTo>
                                        <a:pt x="2862580" y="2377186"/>
                                      </a:lnTo>
                                      <a:lnTo>
                                        <a:pt x="2873006" y="2420582"/>
                                      </a:lnTo>
                                      <a:lnTo>
                                        <a:pt x="2889618" y="2464346"/>
                                      </a:lnTo>
                                      <a:lnTo>
                                        <a:pt x="2912453" y="2508478"/>
                                      </a:lnTo>
                                      <a:lnTo>
                                        <a:pt x="2941574" y="2552928"/>
                                      </a:lnTo>
                                      <a:lnTo>
                                        <a:pt x="2977045" y="2597645"/>
                                      </a:lnTo>
                                      <a:lnTo>
                                        <a:pt x="3018917" y="2642616"/>
                                      </a:lnTo>
                                      <a:lnTo>
                                        <a:pt x="3057474" y="2678912"/>
                                      </a:lnTo>
                                      <a:lnTo>
                                        <a:pt x="3095714" y="2710408"/>
                                      </a:lnTo>
                                      <a:lnTo>
                                        <a:pt x="3133560" y="2737167"/>
                                      </a:lnTo>
                                      <a:lnTo>
                                        <a:pt x="3170974" y="2759214"/>
                                      </a:lnTo>
                                      <a:lnTo>
                                        <a:pt x="3207893" y="2776601"/>
                                      </a:lnTo>
                                      <a:lnTo>
                                        <a:pt x="3252711" y="2792006"/>
                                      </a:lnTo>
                                      <a:lnTo>
                                        <a:pt x="3295358" y="2800693"/>
                                      </a:lnTo>
                                      <a:lnTo>
                                        <a:pt x="3335871" y="2802915"/>
                                      </a:lnTo>
                                      <a:lnTo>
                                        <a:pt x="3374263" y="2798953"/>
                                      </a:lnTo>
                                      <a:lnTo>
                                        <a:pt x="3410978" y="2788602"/>
                                      </a:lnTo>
                                      <a:lnTo>
                                        <a:pt x="3446843" y="2771368"/>
                                      </a:lnTo>
                                      <a:lnTo>
                                        <a:pt x="3481844" y="2747416"/>
                                      </a:lnTo>
                                      <a:lnTo>
                                        <a:pt x="3515995" y="2716911"/>
                                      </a:lnTo>
                                      <a:lnTo>
                                        <a:pt x="3545852" y="2682722"/>
                                      </a:lnTo>
                                      <a:lnTo>
                                        <a:pt x="3568662" y="2646984"/>
                                      </a:lnTo>
                                      <a:lnTo>
                                        <a:pt x="3579342" y="2621483"/>
                                      </a:lnTo>
                                      <a:lnTo>
                                        <a:pt x="3584283" y="2609710"/>
                                      </a:lnTo>
                                      <a:lnTo>
                                        <a:pt x="3592576" y="2570861"/>
                                      </a:lnTo>
                                      <a:lnTo>
                                        <a:pt x="3594430" y="2530856"/>
                                      </a:lnTo>
                                      <a:close/>
                                    </a:path>
                                    <a:path w="5505450" h="5661025">
                                      <a:moveTo>
                                        <a:pt x="4237799" y="1898713"/>
                                      </a:moveTo>
                                      <a:lnTo>
                                        <a:pt x="4226814" y="1835531"/>
                                      </a:lnTo>
                                      <a:lnTo>
                                        <a:pt x="4199420" y="1767636"/>
                                      </a:lnTo>
                                      <a:lnTo>
                                        <a:pt x="4179786" y="1732191"/>
                                      </a:lnTo>
                                      <a:lnTo>
                                        <a:pt x="4155948" y="1695831"/>
                                      </a:lnTo>
                                      <a:lnTo>
                                        <a:pt x="4117517" y="1711452"/>
                                      </a:lnTo>
                                      <a:lnTo>
                                        <a:pt x="4002278" y="1758823"/>
                                      </a:lnTo>
                                      <a:lnTo>
                                        <a:pt x="4022331" y="1788236"/>
                                      </a:lnTo>
                                      <a:lnTo>
                                        <a:pt x="4037863" y="1815719"/>
                                      </a:lnTo>
                                      <a:lnTo>
                                        <a:pt x="4049064" y="1841309"/>
                                      </a:lnTo>
                                      <a:lnTo>
                                        <a:pt x="4056126" y="1864995"/>
                                      </a:lnTo>
                                      <a:lnTo>
                                        <a:pt x="4058107" y="1887347"/>
                                      </a:lnTo>
                                      <a:lnTo>
                                        <a:pt x="4054373" y="1908327"/>
                                      </a:lnTo>
                                      <a:lnTo>
                                        <a:pt x="4029964" y="1946402"/>
                                      </a:lnTo>
                                      <a:lnTo>
                                        <a:pt x="3988892" y="1970443"/>
                                      </a:lnTo>
                                      <a:lnTo>
                                        <a:pt x="3965079" y="1973021"/>
                                      </a:lnTo>
                                      <a:lnTo>
                                        <a:pt x="3939159" y="1969135"/>
                                      </a:lnTo>
                                      <a:lnTo>
                                        <a:pt x="3875684" y="1935657"/>
                                      </a:lnTo>
                                      <a:lnTo>
                                        <a:pt x="3836708" y="1904365"/>
                                      </a:lnTo>
                                      <a:lnTo>
                                        <a:pt x="3792982" y="1863217"/>
                                      </a:lnTo>
                                      <a:lnTo>
                                        <a:pt x="3759441" y="1827504"/>
                                      </a:lnTo>
                                      <a:lnTo>
                                        <a:pt x="3732936" y="1794510"/>
                                      </a:lnTo>
                                      <a:lnTo>
                                        <a:pt x="3700907" y="1737233"/>
                                      </a:lnTo>
                                      <a:lnTo>
                                        <a:pt x="3692626" y="1704390"/>
                                      </a:lnTo>
                                      <a:lnTo>
                                        <a:pt x="3692868" y="1674964"/>
                                      </a:lnTo>
                                      <a:lnTo>
                                        <a:pt x="3718560" y="1626108"/>
                                      </a:lnTo>
                                      <a:lnTo>
                                        <a:pt x="3762629" y="1603121"/>
                                      </a:lnTo>
                                      <a:lnTo>
                                        <a:pt x="3775773" y="1601851"/>
                                      </a:lnTo>
                                      <a:lnTo>
                                        <a:pt x="3789375" y="1602105"/>
                                      </a:lnTo>
                                      <a:lnTo>
                                        <a:pt x="3827894" y="1611642"/>
                                      </a:lnTo>
                                      <a:lnTo>
                                        <a:pt x="3867150" y="1632966"/>
                                      </a:lnTo>
                                      <a:lnTo>
                                        <a:pt x="3942588" y="1490218"/>
                                      </a:lnTo>
                                      <a:lnTo>
                                        <a:pt x="3889870" y="1461084"/>
                                      </a:lnTo>
                                      <a:lnTo>
                                        <a:pt x="3839959" y="1440662"/>
                                      </a:lnTo>
                                      <a:lnTo>
                                        <a:pt x="3792918" y="1428572"/>
                                      </a:lnTo>
                                      <a:lnTo>
                                        <a:pt x="3748786" y="1424432"/>
                                      </a:lnTo>
                                      <a:lnTo>
                                        <a:pt x="3706520" y="1429385"/>
                                      </a:lnTo>
                                      <a:lnTo>
                                        <a:pt x="3665626" y="1443939"/>
                                      </a:lnTo>
                                      <a:lnTo>
                                        <a:pt x="3626015" y="1467904"/>
                                      </a:lnTo>
                                      <a:lnTo>
                                        <a:pt x="3587623" y="1501140"/>
                                      </a:lnTo>
                                      <a:lnTo>
                                        <a:pt x="3553612" y="1540979"/>
                                      </a:lnTo>
                                      <a:lnTo>
                                        <a:pt x="3528949" y="1583207"/>
                                      </a:lnTo>
                                      <a:lnTo>
                                        <a:pt x="3513709" y="1627797"/>
                                      </a:lnTo>
                                      <a:lnTo>
                                        <a:pt x="3508006" y="1674749"/>
                                      </a:lnTo>
                                      <a:lnTo>
                                        <a:pt x="3511931" y="1724025"/>
                                      </a:lnTo>
                                      <a:lnTo>
                                        <a:pt x="3522535" y="1766570"/>
                                      </a:lnTo>
                                      <a:lnTo>
                                        <a:pt x="3539325" y="1809699"/>
                                      </a:lnTo>
                                      <a:lnTo>
                                        <a:pt x="3562375" y="1853438"/>
                                      </a:lnTo>
                                      <a:lnTo>
                                        <a:pt x="3591801" y="1897773"/>
                                      </a:lnTo>
                                      <a:lnTo>
                                        <a:pt x="3627704" y="1942693"/>
                                      </a:lnTo>
                                      <a:lnTo>
                                        <a:pt x="3670173" y="1988185"/>
                                      </a:lnTo>
                                      <a:lnTo>
                                        <a:pt x="3711130" y="2026716"/>
                                      </a:lnTo>
                                      <a:lnTo>
                                        <a:pt x="3751542" y="2059787"/>
                                      </a:lnTo>
                                      <a:lnTo>
                                        <a:pt x="3791394" y="2087511"/>
                                      </a:lnTo>
                                      <a:lnTo>
                                        <a:pt x="3830663" y="2110003"/>
                                      </a:lnTo>
                                      <a:lnTo>
                                        <a:pt x="3869309" y="2127377"/>
                                      </a:lnTo>
                                      <a:lnTo>
                                        <a:pt x="3915486" y="2142363"/>
                                      </a:lnTo>
                                      <a:lnTo>
                                        <a:pt x="3958183" y="2150580"/>
                                      </a:lnTo>
                                      <a:lnTo>
                                        <a:pt x="3997337" y="2152332"/>
                                      </a:lnTo>
                                      <a:lnTo>
                                        <a:pt x="4032885" y="2147951"/>
                                      </a:lnTo>
                                      <a:lnTo>
                                        <a:pt x="4099725" y="2120328"/>
                                      </a:lnTo>
                                      <a:lnTo>
                                        <a:pt x="4132694" y="2097024"/>
                                      </a:lnTo>
                                      <a:lnTo>
                                        <a:pt x="4165346" y="2067560"/>
                                      </a:lnTo>
                                      <a:lnTo>
                                        <a:pt x="4209059" y="2013115"/>
                                      </a:lnTo>
                                      <a:lnTo>
                                        <a:pt x="4232402" y="1957324"/>
                                      </a:lnTo>
                                      <a:lnTo>
                                        <a:pt x="4237025" y="1928583"/>
                                      </a:lnTo>
                                      <a:lnTo>
                                        <a:pt x="4237799" y="1898713"/>
                                      </a:lnTo>
                                      <a:close/>
                                    </a:path>
                                    <a:path w="5505450" h="5661025">
                                      <a:moveTo>
                                        <a:pt x="4680788" y="1444447"/>
                                      </a:moveTo>
                                      <a:lnTo>
                                        <a:pt x="4676864" y="1403692"/>
                                      </a:lnTo>
                                      <a:lnTo>
                                        <a:pt x="4666894" y="1362100"/>
                                      </a:lnTo>
                                      <a:lnTo>
                                        <a:pt x="4650613" y="1319657"/>
                                      </a:lnTo>
                                      <a:lnTo>
                                        <a:pt x="4632769" y="1285138"/>
                                      </a:lnTo>
                                      <a:lnTo>
                                        <a:pt x="4610341" y="1249578"/>
                                      </a:lnTo>
                                      <a:lnTo>
                                        <a:pt x="4583290" y="1213040"/>
                                      </a:lnTo>
                                      <a:lnTo>
                                        <a:pt x="4551591" y="1175588"/>
                                      </a:lnTo>
                                      <a:lnTo>
                                        <a:pt x="4515231" y="1137285"/>
                                      </a:lnTo>
                                      <a:lnTo>
                                        <a:pt x="4499927" y="1123035"/>
                                      </a:lnTo>
                                      <a:lnTo>
                                        <a:pt x="4499927" y="1436776"/>
                                      </a:lnTo>
                                      <a:lnTo>
                                        <a:pt x="4496816" y="1462278"/>
                                      </a:lnTo>
                                      <a:lnTo>
                                        <a:pt x="4470387" y="1506601"/>
                                      </a:lnTo>
                                      <a:lnTo>
                                        <a:pt x="4426597" y="1532293"/>
                                      </a:lnTo>
                                      <a:lnTo>
                                        <a:pt x="4400905" y="1535112"/>
                                      </a:lnTo>
                                      <a:lnTo>
                                        <a:pt x="4372610" y="1531112"/>
                                      </a:lnTo>
                                      <a:lnTo>
                                        <a:pt x="4307294" y="1499577"/>
                                      </a:lnTo>
                                      <a:lnTo>
                                        <a:pt x="4269981" y="1470914"/>
                                      </a:lnTo>
                                      <a:lnTo>
                                        <a:pt x="4229608" y="1433449"/>
                                      </a:lnTo>
                                      <a:lnTo>
                                        <a:pt x="4191863" y="1392796"/>
                                      </a:lnTo>
                                      <a:lnTo>
                                        <a:pt x="4162958" y="1355242"/>
                                      </a:lnTo>
                                      <a:lnTo>
                                        <a:pt x="4142765" y="1320850"/>
                                      </a:lnTo>
                                      <a:lnTo>
                                        <a:pt x="4127169" y="1261414"/>
                                      </a:lnTo>
                                      <a:lnTo>
                                        <a:pt x="4129862" y="1235837"/>
                                      </a:lnTo>
                                      <a:lnTo>
                                        <a:pt x="4154551" y="1193038"/>
                                      </a:lnTo>
                                      <a:lnTo>
                                        <a:pt x="4198556" y="1166964"/>
                                      </a:lnTo>
                                      <a:lnTo>
                                        <a:pt x="4224299" y="1163624"/>
                                      </a:lnTo>
                                      <a:lnTo>
                                        <a:pt x="4252468" y="1166876"/>
                                      </a:lnTo>
                                      <a:lnTo>
                                        <a:pt x="4316006" y="1196771"/>
                                      </a:lnTo>
                                      <a:lnTo>
                                        <a:pt x="4351490" y="1223619"/>
                                      </a:lnTo>
                                      <a:lnTo>
                                        <a:pt x="4389374" y="1258570"/>
                                      </a:lnTo>
                                      <a:lnTo>
                                        <a:pt x="4430788" y="1302829"/>
                                      </a:lnTo>
                                      <a:lnTo>
                                        <a:pt x="4462348" y="1342745"/>
                                      </a:lnTo>
                                      <a:lnTo>
                                        <a:pt x="4484116" y="1378229"/>
                                      </a:lnTo>
                                      <a:lnTo>
                                        <a:pt x="4499927" y="1436776"/>
                                      </a:lnTo>
                                      <a:lnTo>
                                        <a:pt x="4499927" y="1123035"/>
                                      </a:lnTo>
                                      <a:lnTo>
                                        <a:pt x="4470844" y="1095921"/>
                                      </a:lnTo>
                                      <a:lnTo>
                                        <a:pt x="4426724" y="1060919"/>
                                      </a:lnTo>
                                      <a:lnTo>
                                        <a:pt x="4382909" y="1032230"/>
                                      </a:lnTo>
                                      <a:lnTo>
                                        <a:pt x="4339387" y="1009789"/>
                                      </a:lnTo>
                                      <a:lnTo>
                                        <a:pt x="4296194" y="993521"/>
                                      </a:lnTo>
                                      <a:lnTo>
                                        <a:pt x="4253357" y="983361"/>
                                      </a:lnTo>
                                      <a:lnTo>
                                        <a:pt x="4203268" y="979881"/>
                                      </a:lnTo>
                                      <a:lnTo>
                                        <a:pt x="4155440" y="986269"/>
                                      </a:lnTo>
                                      <a:lnTo>
                                        <a:pt x="4109859" y="1002411"/>
                                      </a:lnTo>
                                      <a:lnTo>
                                        <a:pt x="4066502" y="1028153"/>
                                      </a:lnTo>
                                      <a:lnTo>
                                        <a:pt x="4025392" y="1063371"/>
                                      </a:lnTo>
                                      <a:lnTo>
                                        <a:pt x="3991102" y="1103668"/>
                                      </a:lnTo>
                                      <a:lnTo>
                                        <a:pt x="3966197" y="1146606"/>
                                      </a:lnTo>
                                      <a:lnTo>
                                        <a:pt x="3950792" y="1192149"/>
                                      </a:lnTo>
                                      <a:lnTo>
                                        <a:pt x="3945001" y="1240243"/>
                                      </a:lnTo>
                                      <a:lnTo>
                                        <a:pt x="3948938" y="1290828"/>
                                      </a:lnTo>
                                      <a:lnTo>
                                        <a:pt x="3959364" y="1334223"/>
                                      </a:lnTo>
                                      <a:lnTo>
                                        <a:pt x="3975976" y="1377988"/>
                                      </a:lnTo>
                                      <a:lnTo>
                                        <a:pt x="3998811" y="1422120"/>
                                      </a:lnTo>
                                      <a:lnTo>
                                        <a:pt x="4027932" y="1466570"/>
                                      </a:lnTo>
                                      <a:lnTo>
                                        <a:pt x="4063403" y="1511287"/>
                                      </a:lnTo>
                                      <a:lnTo>
                                        <a:pt x="4105275" y="1556258"/>
                                      </a:lnTo>
                                      <a:lnTo>
                                        <a:pt x="4143832" y="1592554"/>
                                      </a:lnTo>
                                      <a:lnTo>
                                        <a:pt x="4182072" y="1624050"/>
                                      </a:lnTo>
                                      <a:lnTo>
                                        <a:pt x="4219943" y="1650809"/>
                                      </a:lnTo>
                                      <a:lnTo>
                                        <a:pt x="4257395" y="1672856"/>
                                      </a:lnTo>
                                      <a:lnTo>
                                        <a:pt x="4294378" y="1690243"/>
                                      </a:lnTo>
                                      <a:lnTo>
                                        <a:pt x="4339133" y="1705635"/>
                                      </a:lnTo>
                                      <a:lnTo>
                                        <a:pt x="4381792" y="1714271"/>
                                      </a:lnTo>
                                      <a:lnTo>
                                        <a:pt x="4422330" y="1716443"/>
                                      </a:lnTo>
                                      <a:lnTo>
                                        <a:pt x="4460735" y="1712468"/>
                                      </a:lnTo>
                                      <a:lnTo>
                                        <a:pt x="4533227" y="1684972"/>
                                      </a:lnTo>
                                      <a:lnTo>
                                        <a:pt x="4568253" y="1661007"/>
                                      </a:lnTo>
                                      <a:lnTo>
                                        <a:pt x="4602480" y="1630426"/>
                                      </a:lnTo>
                                      <a:lnTo>
                                        <a:pt x="4632261" y="1596301"/>
                                      </a:lnTo>
                                      <a:lnTo>
                                        <a:pt x="4655032" y="1560601"/>
                                      </a:lnTo>
                                      <a:lnTo>
                                        <a:pt x="4670641" y="1523288"/>
                                      </a:lnTo>
                                      <a:lnTo>
                                        <a:pt x="4678934" y="1484376"/>
                                      </a:lnTo>
                                      <a:lnTo>
                                        <a:pt x="4680788" y="1444447"/>
                                      </a:lnTo>
                                      <a:close/>
                                    </a:path>
                                    <a:path w="5505450" h="5661025">
                                      <a:moveTo>
                                        <a:pt x="4986147" y="1227963"/>
                                      </a:moveTo>
                                      <a:lnTo>
                                        <a:pt x="4780788" y="1022604"/>
                                      </a:lnTo>
                                      <a:lnTo>
                                        <a:pt x="4848479" y="954913"/>
                                      </a:lnTo>
                                      <a:lnTo>
                                        <a:pt x="4880622" y="916901"/>
                                      </a:lnTo>
                                      <a:lnTo>
                                        <a:pt x="4884090" y="910590"/>
                                      </a:lnTo>
                                      <a:lnTo>
                                        <a:pt x="4902111" y="877760"/>
                                      </a:lnTo>
                                      <a:lnTo>
                                        <a:pt x="4912817" y="837577"/>
                                      </a:lnTo>
                                      <a:lnTo>
                                        <a:pt x="4912614" y="796417"/>
                                      </a:lnTo>
                                      <a:lnTo>
                                        <a:pt x="4902517" y="754748"/>
                                      </a:lnTo>
                                      <a:lnTo>
                                        <a:pt x="4883442" y="713003"/>
                                      </a:lnTo>
                                      <a:lnTo>
                                        <a:pt x="4855299" y="671169"/>
                                      </a:lnTo>
                                      <a:lnTo>
                                        <a:pt x="4817999" y="629285"/>
                                      </a:lnTo>
                                      <a:lnTo>
                                        <a:pt x="4777473" y="593026"/>
                                      </a:lnTo>
                                      <a:lnTo>
                                        <a:pt x="4737443" y="565632"/>
                                      </a:lnTo>
                                      <a:lnTo>
                                        <a:pt x="4731893" y="563016"/>
                                      </a:lnTo>
                                      <a:lnTo>
                                        <a:pt x="4731893" y="812673"/>
                                      </a:lnTo>
                                      <a:lnTo>
                                        <a:pt x="4731131" y="828903"/>
                                      </a:lnTo>
                                      <a:lnTo>
                                        <a:pt x="4725314" y="845553"/>
                                      </a:lnTo>
                                      <a:lnTo>
                                        <a:pt x="4714595" y="862672"/>
                                      </a:lnTo>
                                      <a:lnTo>
                                        <a:pt x="4699127" y="880237"/>
                                      </a:lnTo>
                                      <a:lnTo>
                                        <a:pt x="4668774" y="910590"/>
                                      </a:lnTo>
                                      <a:lnTo>
                                        <a:pt x="4545330" y="787146"/>
                                      </a:lnTo>
                                      <a:lnTo>
                                        <a:pt x="4580509" y="751967"/>
                                      </a:lnTo>
                                      <a:lnTo>
                                        <a:pt x="4597628" y="737082"/>
                                      </a:lnTo>
                                      <a:lnTo>
                                        <a:pt x="4614189" y="727290"/>
                                      </a:lnTo>
                                      <a:lnTo>
                                        <a:pt x="4630229" y="722553"/>
                                      </a:lnTo>
                                      <a:lnTo>
                                        <a:pt x="4645787" y="722884"/>
                                      </a:lnTo>
                                      <a:lnTo>
                                        <a:pt x="4689233" y="742772"/>
                                      </a:lnTo>
                                      <a:lnTo>
                                        <a:pt x="4723168" y="782447"/>
                                      </a:lnTo>
                                      <a:lnTo>
                                        <a:pt x="4731893" y="812673"/>
                                      </a:lnTo>
                                      <a:lnTo>
                                        <a:pt x="4731893" y="563016"/>
                                      </a:lnTo>
                                      <a:lnTo>
                                        <a:pt x="4697946" y="546963"/>
                                      </a:lnTo>
                                      <a:lnTo>
                                        <a:pt x="4658995" y="536829"/>
                                      </a:lnTo>
                                      <a:lnTo>
                                        <a:pt x="4620869" y="536219"/>
                                      </a:lnTo>
                                      <a:lnTo>
                                        <a:pt x="4584039" y="545515"/>
                                      </a:lnTo>
                                      <a:lnTo>
                                        <a:pt x="4548530" y="564603"/>
                                      </a:lnTo>
                                      <a:lnTo>
                                        <a:pt x="4514342" y="593344"/>
                                      </a:lnTo>
                                      <a:lnTo>
                                        <a:pt x="4308729" y="798830"/>
                                      </a:lnTo>
                                      <a:lnTo>
                                        <a:pt x="4861941" y="1352042"/>
                                      </a:lnTo>
                                      <a:lnTo>
                                        <a:pt x="4986147" y="1227963"/>
                                      </a:lnTo>
                                      <a:close/>
                                    </a:path>
                                    <a:path w="5505450" h="5661025">
                                      <a:moveTo>
                                        <a:pt x="5505323" y="708660"/>
                                      </a:moveTo>
                                      <a:lnTo>
                                        <a:pt x="5273548" y="477012"/>
                                      </a:lnTo>
                                      <a:lnTo>
                                        <a:pt x="5240020" y="381711"/>
                                      </a:lnTo>
                                      <a:lnTo>
                                        <a:pt x="5141201" y="95250"/>
                                      </a:lnTo>
                                      <a:lnTo>
                                        <a:pt x="5107686" y="0"/>
                                      </a:lnTo>
                                      <a:lnTo>
                                        <a:pt x="4971034" y="136652"/>
                                      </a:lnTo>
                                      <a:lnTo>
                                        <a:pt x="4988852" y="181178"/>
                                      </a:lnTo>
                                      <a:lnTo>
                                        <a:pt x="5041531" y="315112"/>
                                      </a:lnTo>
                                      <a:lnTo>
                                        <a:pt x="5077079" y="404241"/>
                                      </a:lnTo>
                                      <a:lnTo>
                                        <a:pt x="5032565" y="386359"/>
                                      </a:lnTo>
                                      <a:lnTo>
                                        <a:pt x="4898745" y="333527"/>
                                      </a:lnTo>
                                      <a:lnTo>
                                        <a:pt x="4809744" y="297942"/>
                                      </a:lnTo>
                                      <a:lnTo>
                                        <a:pt x="4672457" y="435229"/>
                                      </a:lnTo>
                                      <a:lnTo>
                                        <a:pt x="4767770" y="468693"/>
                                      </a:lnTo>
                                      <a:lnTo>
                                        <a:pt x="5054397" y="567385"/>
                                      </a:lnTo>
                                      <a:lnTo>
                                        <a:pt x="5149723" y="600837"/>
                                      </a:lnTo>
                                      <a:lnTo>
                                        <a:pt x="5381498" y="832485"/>
                                      </a:lnTo>
                                      <a:lnTo>
                                        <a:pt x="5505323" y="70866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7.907999pt;margin-top:-.828084pt;width:433.5pt;height:445.75pt;mso-position-horizontal-relative:column;mso-position-vertical-relative:paragraph;z-index:-25173504" id="docshapegroup288" coordorigin="358,-17" coordsize="8670,8915">
                      <v:shape style="position:absolute;left:358;top:-17;width:8670;height:8915" id="docshape289" coordorigin="358,-17" coordsize="8670,8915" path="m1424,8703l553,7832,358,8027,1229,8898,1424,8703xm2016,8027l2015,7988,2010,7945,2001,7901,1987,7857,1968,7813,1945,7770,1917,7728,1887,7687,1853,7647,1816,7608,1297,7088,1103,7282,1634,7814,1667,7850,1691,7886,1708,7920,1718,7954,1719,7987,1713,8018,1699,8046,1678,8072,1652,8094,1623,8108,1592,8114,1559,8112,1525,8102,1490,8086,1455,8061,1419,8029,888,7498,693,7692,1213,8211,1247,8243,1286,8276,1330,8308,1378,8341,1410,8359,1445,8375,1482,8388,1520,8399,1559,8407,1595,8411,1629,8411,1662,8408,1693,8401,1725,8389,1757,8373,1788,8352,1819,8329,1847,8306,1873,8283,1897,8260,1933,8220,1963,8179,1987,8138,2004,8096,2012,8063,2016,8027xm2744,7244l2738,7180,2722,7114,2696,7047,2668,6993,2633,6937,2590,6879,2540,6820,2522,6802,2483,6760,2459,6738,2459,7232,2454,7272,2439,7309,2413,7342,2380,7367,2343,7382,2303,7387,2258,7380,2209,7362,2156,7331,2097,7286,2033,7226,1974,7163,1928,7103,1897,7049,1878,7000,1872,6956,1876,6915,1891,6879,1915,6848,1948,6822,1984,6807,2025,6802,2069,6807,2117,6824,2169,6854,2225,6896,2285,6951,2350,7021,2400,7084,2434,7140,2453,7188,2459,7232,2459,6738,2413,6695,2344,6640,2275,6595,2206,6559,2138,6534,2071,6518,1992,6512,1916,6522,1845,6548,1776,6588,1712,6644,1658,6707,1618,6775,1594,6847,1585,6922,1591,7002,1608,7070,1634,7139,1670,7209,1716,7279,1772,7349,1838,7420,1898,7477,1958,7527,2018,7569,2077,7603,2135,7631,2206,7655,2273,7669,2337,7672,2397,7666,2455,7650,2511,7623,2567,7585,2620,7537,2667,7483,2703,7427,2720,7387,2728,7368,2741,7307,2744,7244xm3015,6664l2828,6477,2574,6731,2761,6918,3015,6664xm3526,6602l2655,5730,2460,5925,3331,6797,3526,6602xm3860,6267l3537,5944,3643,5837,3694,5778,3699,5768,3728,5716,3745,5653,3744,5588,3728,5522,3705,5472,3698,5457,3654,5391,3595,5325,3532,5268,3469,5224,3460,5220,3460,5613,3459,5639,3449,5665,3432,5692,3408,5720,3360,5768,3166,5573,3221,5518,3248,5494,3274,5479,3300,5472,3324,5472,3348,5478,3371,5489,3393,5503,3414,5522,3432,5543,3446,5566,3455,5589,3460,5613,3460,5220,3406,5195,3345,5179,3285,5178,3227,5193,3171,5223,3117,5268,2793,5592,3665,6463,3860,6267xm4650,5478l3994,4822,4192,4623,3977,4408,3386,5000,3601,5215,3799,5016,4455,5672,4650,5478xm5285,4842l4629,4186,4828,3988,4613,3773,4021,4364,4236,4579,4435,4381,5091,5037,5285,4842xm6019,3969l6013,3905,5997,3839,5971,3772,5943,3718,5908,3662,5865,3605,5815,3546,5797,3527,5758,3485,5734,3463,5734,3957,5729,3997,5713,4034,5687,4067,5655,4092,5618,4107,5578,4112,5533,4105,5484,4087,5431,4056,5372,4011,5308,3952,5249,3888,5203,3828,5171,3774,5153,3725,5147,3681,5151,3641,5165,3605,5190,3573,5223,3547,5259,3532,5300,3527,5344,3532,5392,3549,5444,3579,5500,3621,5560,3676,5625,3746,5675,3809,5709,3865,5728,3913,5734,3957,5734,3463,5688,3420,5618,3365,5549,3320,5481,3285,5413,3259,5345,3243,5267,3237,5191,3247,5119,3273,5051,3313,4987,3369,4933,3432,4893,3500,4869,3572,4860,3647,4866,3727,4883,3795,4909,3864,4945,3934,4991,4004,5046,4074,5112,4145,5173,4202,5233,4252,5293,4294,5352,4329,5410,4356,5481,4380,5548,4394,5612,4397,5672,4391,5730,4375,5786,4348,5841,4310,5895,4262,5942,4208,5978,4152,5995,4112,6003,4093,6016,4032,6019,3969xm7032,2974l7027,2925,7015,2874,6996,2821,6971,2767,6941,2711,6903,2654,6842,2679,6661,2753,6693,2800,6717,2843,6735,2883,6746,2920,6749,2956,6743,2989,6728,3020,6705,3049,6674,3072,6640,3086,6602,3091,6562,3084,6515,3066,6462,3032,6400,2982,6331,2918,6279,2861,6237,2809,6206,2762,6186,2719,6173,2668,6174,2621,6187,2580,6214,2544,6229,2531,6246,2521,6264,2513,6284,2508,6304,2506,6326,2506,6348,2510,6371,2516,6386,2521,6404,2530,6425,2541,6448,2555,6567,2330,6484,2284,6405,2252,6331,2233,6262,2227,6195,2234,6131,2257,6068,2295,6008,2347,5954,2410,5916,2477,5892,2547,5883,2621,5889,2698,5905,2765,5932,2833,5968,2902,6015,2972,6071,3043,6138,3114,6202,3175,6266,3227,6329,3271,6391,3306,6452,3334,6524,3357,6592,3370,6653,3373,6709,3366,6762,3349,6814,3323,6866,3286,6918,3239,6956,3197,6987,3154,7009,3110,7023,3066,7031,3021,7032,2974xm7729,2258l7723,2194,7708,2128,7682,2062,7654,2007,7619,1951,7576,1894,7526,1835,7508,1816,7469,1774,7445,1752,7445,2246,7440,2286,7424,2323,7398,2356,7366,2381,7329,2396,7289,2401,7244,2395,7195,2376,7141,2345,7083,2300,7019,2241,6960,2177,6914,2118,6882,2064,6864,2014,6858,1970,6862,1930,6876,1894,6901,1862,6933,1837,6970,1821,7011,1816,7055,1821,7103,1838,7155,1868,7211,1910,7271,1965,7336,2035,7385,2098,7420,2154,7439,2203,7445,2246,7445,1752,7399,1709,7329,1654,7260,1609,7192,1574,7124,1548,7056,1532,6977,1527,6902,1537,6830,1562,6762,1603,6697,1658,6643,1721,6604,1789,6580,1861,6571,1937,6577,2016,6593,2085,6620,2153,6656,2223,6701,2293,6757,2363,6823,2434,6884,2491,6944,2541,7004,2583,7063,2618,7121,2645,7191,2669,7259,2683,7322,2686,7383,2680,7441,2664,7497,2637,7552,2599,7606,2551,7653,2497,7689,2441,7706,2401,7714,2382,7727,2321,7729,2258xm8210,1917l7887,1594,7994,1487,8044,1427,8050,1417,8078,1366,8095,1302,8095,1238,8079,1172,8056,1121,8049,1106,8004,1040,7946,974,7882,917,7819,874,7810,870,7810,1263,7809,1289,7800,1315,7783,1342,7758,1370,7711,1417,7516,1223,7572,1168,7599,1144,7625,1129,7650,1121,7674,1122,7698,1128,7721,1139,7743,1153,7764,1172,7782,1193,7796,1216,7805,1239,7810,1263,7810,870,7757,845,7695,829,7635,828,7577,843,7521,873,7467,918,7144,1241,8015,2113,8210,1917xm9028,1099l8663,735,8610,585,8455,133,8402,-17,8187,199,8215,269,8298,480,8354,620,8283,592,8073,509,7933,453,7716,669,7866,722,8318,877,8468,930,8833,1294,9028,1099xe" filled="true" fillcolor="#c0c0c0" stroked="false">
                        <v:path arrowok="t"/>
                        <v:fill opacity="32896f" type="solid"/>
                      </v:shape>
                      <w10:wrap type="none"/>
                    </v:group>
                  </w:pict>
                </mc:Fallback>
              </mc:AlternateContent>
            </w:r>
            <w:r>
              <w:rPr>
                <w:spacing w:val="-2"/>
                <w:sz w:val="18"/>
              </w:rPr>
              <w:t>0.000000</w:t>
            </w:r>
          </w:p>
        </w:tc>
        <w:tc>
          <w:tcPr>
            <w:tcW w:w="1561" w:type="dxa"/>
          </w:tcPr>
          <w:p>
            <w:pPr>
              <w:pStyle w:val="TableParagraph"/>
              <w:spacing w:before="5"/>
              <w:ind w:left="51" w:right="4"/>
              <w:jc w:val="center"/>
              <w:rPr>
                <w:sz w:val="18"/>
              </w:rPr>
            </w:pPr>
            <w:r>
              <w:rPr>
                <w:spacing w:val="-2"/>
                <w:sz w:val="18"/>
              </w:rPr>
              <w:t>1.000000</w:t>
            </w:r>
          </w:p>
        </w:tc>
        <w:tc>
          <w:tcPr>
            <w:tcW w:w="1350" w:type="dxa"/>
          </w:tcPr>
          <w:p>
            <w:pPr>
              <w:pStyle w:val="TableParagraph"/>
              <w:spacing w:before="5"/>
              <w:ind w:left="51" w:right="74"/>
              <w:jc w:val="center"/>
              <w:rPr>
                <w:sz w:val="18"/>
              </w:rPr>
            </w:pPr>
            <w:r>
              <w:rPr>
                <w:spacing w:val="-2"/>
                <w:sz w:val="18"/>
              </w:rPr>
              <w:t>0.000000</w:t>
            </w:r>
          </w:p>
        </w:tc>
        <w:tc>
          <w:tcPr>
            <w:tcW w:w="1418" w:type="dxa"/>
          </w:tcPr>
          <w:p>
            <w:pPr>
              <w:pStyle w:val="TableParagraph"/>
              <w:spacing w:before="5"/>
              <w:ind w:left="53" w:right="10"/>
              <w:jc w:val="center"/>
              <w:rPr>
                <w:sz w:val="18"/>
              </w:rPr>
            </w:pPr>
            <w:r>
              <w:rPr>
                <w:spacing w:val="-2"/>
                <w:sz w:val="18"/>
              </w:rPr>
              <w:t>0.000000</w:t>
            </w:r>
          </w:p>
        </w:tc>
        <w:tc>
          <w:tcPr>
            <w:tcW w:w="1406" w:type="dxa"/>
          </w:tcPr>
          <w:p>
            <w:pPr>
              <w:pStyle w:val="TableParagraph"/>
              <w:spacing w:before="5"/>
              <w:ind w:left="154" w:right="102"/>
              <w:jc w:val="center"/>
              <w:rPr>
                <w:sz w:val="18"/>
              </w:rPr>
            </w:pPr>
            <w:r>
              <w:rPr>
                <w:spacing w:val="-2"/>
                <w:sz w:val="18"/>
              </w:rPr>
              <w:t>0.021053</w:t>
            </w:r>
          </w:p>
        </w:tc>
        <w:tc>
          <w:tcPr>
            <w:tcW w:w="1439" w:type="dxa"/>
          </w:tcPr>
          <w:p>
            <w:pPr>
              <w:pStyle w:val="TableParagraph"/>
              <w:spacing w:before="5"/>
              <w:ind w:left="44" w:right="48"/>
              <w:jc w:val="center"/>
              <w:rPr>
                <w:sz w:val="18"/>
              </w:rPr>
            </w:pPr>
            <w:r>
              <w:rPr>
                <w:spacing w:val="-2"/>
                <w:sz w:val="18"/>
              </w:rPr>
              <w:t>-4.388771</w:t>
            </w:r>
          </w:p>
        </w:tc>
        <w:tc>
          <w:tcPr>
            <w:tcW w:w="1409" w:type="dxa"/>
          </w:tcPr>
          <w:p>
            <w:pPr>
              <w:pStyle w:val="TableParagraph"/>
              <w:spacing w:before="5"/>
              <w:ind w:left="56" w:right="27"/>
              <w:jc w:val="center"/>
              <w:rPr>
                <w:sz w:val="18"/>
              </w:rPr>
            </w:pPr>
            <w:r>
              <w:rPr>
                <w:spacing w:val="-2"/>
                <w:sz w:val="18"/>
              </w:rPr>
              <w:t>2.472575</w:t>
            </w:r>
          </w:p>
        </w:tc>
        <w:tc>
          <w:tcPr>
            <w:tcW w:w="2834" w:type="dxa"/>
          </w:tcPr>
          <w:p>
            <w:pPr>
              <w:pStyle w:val="TableParagraph"/>
              <w:spacing w:before="5"/>
              <w:ind w:right="1425"/>
              <w:jc w:val="center"/>
              <w:rPr>
                <w:sz w:val="18"/>
              </w:rPr>
            </w:pPr>
            <w:r>
              <w:rPr>
                <w:spacing w:val="-2"/>
                <w:sz w:val="18"/>
              </w:rPr>
              <w:t>-2.104047</w:t>
            </w: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ind w:left="154" w:right="102"/>
              <w:jc w:val="center"/>
              <w:rPr>
                <w:sz w:val="18"/>
              </w:rPr>
            </w:pPr>
            <w:r>
              <w:rPr>
                <w:spacing w:val="-2"/>
                <w:sz w:val="18"/>
              </w:rPr>
              <w:t>(0.00144)</w:t>
            </w:r>
          </w:p>
        </w:tc>
        <w:tc>
          <w:tcPr>
            <w:tcW w:w="1439" w:type="dxa"/>
          </w:tcPr>
          <w:p>
            <w:pPr>
              <w:pStyle w:val="TableParagraph"/>
              <w:ind w:left="51" w:right="7"/>
              <w:jc w:val="center"/>
              <w:rPr>
                <w:sz w:val="18"/>
              </w:rPr>
            </w:pPr>
            <w:r>
              <w:rPr>
                <w:spacing w:val="-2"/>
                <w:sz w:val="18"/>
              </w:rPr>
              <w:t>(1.08174)</w:t>
            </w:r>
          </w:p>
        </w:tc>
        <w:tc>
          <w:tcPr>
            <w:tcW w:w="1409" w:type="dxa"/>
          </w:tcPr>
          <w:p>
            <w:pPr>
              <w:pStyle w:val="TableParagraph"/>
              <w:ind w:left="56" w:right="27"/>
              <w:jc w:val="center"/>
              <w:rPr>
                <w:sz w:val="18"/>
              </w:rPr>
            </w:pPr>
            <w:r>
              <w:rPr>
                <w:spacing w:val="-2"/>
                <w:sz w:val="18"/>
              </w:rPr>
              <w:t>(1.00891)</w:t>
            </w:r>
          </w:p>
        </w:tc>
        <w:tc>
          <w:tcPr>
            <w:tcW w:w="2834" w:type="dxa"/>
          </w:tcPr>
          <w:p>
            <w:pPr>
              <w:pStyle w:val="TableParagraph"/>
              <w:ind w:left="51" w:right="1425"/>
              <w:jc w:val="center"/>
              <w:rPr>
                <w:sz w:val="18"/>
              </w:rPr>
            </w:pPr>
            <w:r>
              <w:rPr>
                <w:spacing w:val="-2"/>
                <w:sz w:val="18"/>
              </w:rPr>
              <w:t>(0.12779)</w:t>
            </w:r>
          </w:p>
        </w:tc>
      </w:tr>
      <w:tr>
        <w:trPr>
          <w:trHeight w:val="225" w:hRule="atLeast"/>
        </w:trPr>
        <w:tc>
          <w:tcPr>
            <w:tcW w:w="1467" w:type="dxa"/>
          </w:tcPr>
          <w:p>
            <w:pPr>
              <w:pStyle w:val="TableParagraph"/>
              <w:ind w:left="56" w:right="81"/>
              <w:jc w:val="center"/>
              <w:rPr>
                <w:sz w:val="18"/>
              </w:rPr>
            </w:pPr>
            <w:r>
              <w:rPr>
                <w:spacing w:val="-2"/>
                <w:sz w:val="18"/>
              </w:rPr>
              <w:t>0.000000</w:t>
            </w:r>
          </w:p>
        </w:tc>
        <w:tc>
          <w:tcPr>
            <w:tcW w:w="1266" w:type="dxa"/>
          </w:tcPr>
          <w:p>
            <w:pPr>
              <w:pStyle w:val="TableParagraph"/>
              <w:ind w:left="47" w:right="10"/>
              <w:jc w:val="center"/>
              <w:rPr>
                <w:sz w:val="18"/>
              </w:rPr>
            </w:pPr>
            <w:r>
              <w:rPr>
                <w:spacing w:val="-2"/>
                <w:sz w:val="18"/>
              </w:rPr>
              <w:t>0.000000</w:t>
            </w:r>
          </w:p>
        </w:tc>
        <w:tc>
          <w:tcPr>
            <w:tcW w:w="1561" w:type="dxa"/>
          </w:tcPr>
          <w:p>
            <w:pPr>
              <w:pStyle w:val="TableParagraph"/>
              <w:ind w:left="51" w:right="4"/>
              <w:jc w:val="center"/>
              <w:rPr>
                <w:sz w:val="18"/>
              </w:rPr>
            </w:pPr>
            <w:r>
              <w:rPr>
                <w:spacing w:val="-2"/>
                <w:sz w:val="18"/>
              </w:rPr>
              <w:t>0.000000</w:t>
            </w:r>
          </w:p>
        </w:tc>
        <w:tc>
          <w:tcPr>
            <w:tcW w:w="1350" w:type="dxa"/>
          </w:tcPr>
          <w:p>
            <w:pPr>
              <w:pStyle w:val="TableParagraph"/>
              <w:ind w:left="51" w:right="74"/>
              <w:jc w:val="center"/>
              <w:rPr>
                <w:sz w:val="18"/>
              </w:rPr>
            </w:pPr>
            <w:r>
              <w:rPr>
                <w:spacing w:val="-2"/>
                <w:sz w:val="18"/>
              </w:rPr>
              <w:t>1.000000</w:t>
            </w:r>
          </w:p>
        </w:tc>
        <w:tc>
          <w:tcPr>
            <w:tcW w:w="1418" w:type="dxa"/>
          </w:tcPr>
          <w:p>
            <w:pPr>
              <w:pStyle w:val="TableParagraph"/>
              <w:ind w:left="53" w:right="10"/>
              <w:jc w:val="center"/>
              <w:rPr>
                <w:sz w:val="18"/>
              </w:rPr>
            </w:pPr>
            <w:r>
              <w:rPr>
                <w:spacing w:val="-2"/>
                <w:sz w:val="18"/>
              </w:rPr>
              <w:t>0.000000</w:t>
            </w:r>
          </w:p>
        </w:tc>
        <w:tc>
          <w:tcPr>
            <w:tcW w:w="1406" w:type="dxa"/>
          </w:tcPr>
          <w:p>
            <w:pPr>
              <w:pStyle w:val="TableParagraph"/>
              <w:ind w:left="103" w:right="102"/>
              <w:jc w:val="center"/>
              <w:rPr>
                <w:sz w:val="18"/>
              </w:rPr>
            </w:pPr>
            <w:r>
              <w:rPr>
                <w:spacing w:val="-2"/>
                <w:sz w:val="18"/>
              </w:rPr>
              <w:t>-0.036365</w:t>
            </w:r>
          </w:p>
        </w:tc>
        <w:tc>
          <w:tcPr>
            <w:tcW w:w="1439" w:type="dxa"/>
          </w:tcPr>
          <w:p>
            <w:pPr>
              <w:pStyle w:val="TableParagraph"/>
              <w:ind w:left="50" w:right="7"/>
              <w:jc w:val="center"/>
              <w:rPr>
                <w:sz w:val="18"/>
              </w:rPr>
            </w:pPr>
            <w:r>
              <w:rPr>
                <w:spacing w:val="-2"/>
                <w:sz w:val="18"/>
              </w:rPr>
              <w:t>3.762522</w:t>
            </w:r>
          </w:p>
        </w:tc>
        <w:tc>
          <w:tcPr>
            <w:tcW w:w="1409" w:type="dxa"/>
          </w:tcPr>
          <w:p>
            <w:pPr>
              <w:pStyle w:val="TableParagraph"/>
              <w:ind w:left="56" w:right="75"/>
              <w:jc w:val="center"/>
              <w:rPr>
                <w:sz w:val="18"/>
              </w:rPr>
            </w:pPr>
            <w:r>
              <w:rPr>
                <w:spacing w:val="-2"/>
                <w:sz w:val="18"/>
              </w:rPr>
              <w:t>-2.705530</w:t>
            </w:r>
          </w:p>
        </w:tc>
        <w:tc>
          <w:tcPr>
            <w:tcW w:w="2834" w:type="dxa"/>
          </w:tcPr>
          <w:p>
            <w:pPr>
              <w:pStyle w:val="TableParagraph"/>
              <w:ind w:left="50" w:right="1425"/>
              <w:jc w:val="center"/>
              <w:rPr>
                <w:sz w:val="18"/>
              </w:rPr>
            </w:pPr>
            <w:r>
              <w:rPr>
                <w:spacing w:val="-2"/>
                <w:sz w:val="18"/>
              </w:rPr>
              <w:t>2.208266</w:t>
            </w: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198" w:lineRule="exact"/>
              <w:ind w:left="154" w:right="102"/>
              <w:jc w:val="center"/>
              <w:rPr>
                <w:sz w:val="18"/>
              </w:rPr>
            </w:pPr>
            <w:r>
              <w:rPr>
                <w:spacing w:val="-2"/>
                <w:sz w:val="18"/>
              </w:rPr>
              <w:t>(0.00306)</w:t>
            </w:r>
          </w:p>
        </w:tc>
        <w:tc>
          <w:tcPr>
            <w:tcW w:w="1439" w:type="dxa"/>
          </w:tcPr>
          <w:p>
            <w:pPr>
              <w:pStyle w:val="TableParagraph"/>
              <w:spacing w:line="198" w:lineRule="exact"/>
              <w:ind w:left="51" w:right="7"/>
              <w:jc w:val="center"/>
              <w:rPr>
                <w:sz w:val="18"/>
              </w:rPr>
            </w:pPr>
            <w:r>
              <w:rPr>
                <w:spacing w:val="-2"/>
                <w:sz w:val="18"/>
              </w:rPr>
              <w:t>(2.30206)</w:t>
            </w:r>
          </w:p>
        </w:tc>
        <w:tc>
          <w:tcPr>
            <w:tcW w:w="1409" w:type="dxa"/>
          </w:tcPr>
          <w:p>
            <w:pPr>
              <w:pStyle w:val="TableParagraph"/>
              <w:spacing w:line="198" w:lineRule="exact"/>
              <w:ind w:left="56" w:right="27"/>
              <w:jc w:val="center"/>
              <w:rPr>
                <w:sz w:val="18"/>
              </w:rPr>
            </w:pPr>
            <w:r>
              <w:rPr>
                <w:spacing w:val="-2"/>
                <w:sz w:val="18"/>
              </w:rPr>
              <w:t>(2.14708)</w:t>
            </w:r>
          </w:p>
        </w:tc>
        <w:tc>
          <w:tcPr>
            <w:tcW w:w="2834" w:type="dxa"/>
          </w:tcPr>
          <w:p>
            <w:pPr>
              <w:pStyle w:val="TableParagraph"/>
              <w:spacing w:line="198" w:lineRule="exact"/>
              <w:ind w:left="51" w:right="1425"/>
              <w:jc w:val="center"/>
              <w:rPr>
                <w:sz w:val="18"/>
              </w:rPr>
            </w:pPr>
            <w:r>
              <w:rPr>
                <w:spacing w:val="-2"/>
                <w:sz w:val="18"/>
              </w:rPr>
              <w:t>(0.27194)</w:t>
            </w:r>
          </w:p>
        </w:tc>
      </w:tr>
      <w:tr>
        <w:trPr>
          <w:trHeight w:val="224" w:hRule="atLeast"/>
        </w:trPr>
        <w:tc>
          <w:tcPr>
            <w:tcW w:w="1467" w:type="dxa"/>
          </w:tcPr>
          <w:p>
            <w:pPr>
              <w:pStyle w:val="TableParagraph"/>
              <w:spacing w:before="5"/>
              <w:ind w:left="56" w:right="81"/>
              <w:jc w:val="center"/>
              <w:rPr>
                <w:sz w:val="18"/>
              </w:rPr>
            </w:pPr>
            <w:r>
              <w:rPr>
                <w:spacing w:val="-2"/>
                <w:sz w:val="18"/>
              </w:rPr>
              <w:t>0.000000</w:t>
            </w:r>
          </w:p>
        </w:tc>
        <w:tc>
          <w:tcPr>
            <w:tcW w:w="1266" w:type="dxa"/>
          </w:tcPr>
          <w:p>
            <w:pPr>
              <w:pStyle w:val="TableParagraph"/>
              <w:spacing w:before="5"/>
              <w:ind w:left="47" w:right="10"/>
              <w:jc w:val="center"/>
              <w:rPr>
                <w:sz w:val="18"/>
              </w:rPr>
            </w:pPr>
            <w:r>
              <w:rPr>
                <w:spacing w:val="-2"/>
                <w:sz w:val="18"/>
              </w:rPr>
              <w:t>0.000000</w:t>
            </w:r>
          </w:p>
        </w:tc>
        <w:tc>
          <w:tcPr>
            <w:tcW w:w="1561" w:type="dxa"/>
          </w:tcPr>
          <w:p>
            <w:pPr>
              <w:pStyle w:val="TableParagraph"/>
              <w:spacing w:before="5"/>
              <w:ind w:left="51" w:right="4"/>
              <w:jc w:val="center"/>
              <w:rPr>
                <w:sz w:val="18"/>
              </w:rPr>
            </w:pPr>
            <w:r>
              <w:rPr>
                <w:spacing w:val="-2"/>
                <w:sz w:val="18"/>
              </w:rPr>
              <w:t>0.000000</w:t>
            </w:r>
          </w:p>
        </w:tc>
        <w:tc>
          <w:tcPr>
            <w:tcW w:w="1350" w:type="dxa"/>
          </w:tcPr>
          <w:p>
            <w:pPr>
              <w:pStyle w:val="TableParagraph"/>
              <w:spacing w:before="5"/>
              <w:ind w:left="51" w:right="74"/>
              <w:jc w:val="center"/>
              <w:rPr>
                <w:sz w:val="18"/>
              </w:rPr>
            </w:pPr>
            <w:r>
              <w:rPr>
                <w:spacing w:val="-2"/>
                <w:sz w:val="18"/>
              </w:rPr>
              <w:t>0.000000</w:t>
            </w:r>
          </w:p>
        </w:tc>
        <w:tc>
          <w:tcPr>
            <w:tcW w:w="1418" w:type="dxa"/>
          </w:tcPr>
          <w:p>
            <w:pPr>
              <w:pStyle w:val="TableParagraph"/>
              <w:spacing w:before="5"/>
              <w:ind w:left="53" w:right="10"/>
              <w:jc w:val="center"/>
              <w:rPr>
                <w:sz w:val="18"/>
              </w:rPr>
            </w:pPr>
            <w:r>
              <w:rPr>
                <w:spacing w:val="-2"/>
                <w:sz w:val="18"/>
              </w:rPr>
              <w:t>1.000000</w:t>
            </w:r>
          </w:p>
        </w:tc>
        <w:tc>
          <w:tcPr>
            <w:tcW w:w="1406" w:type="dxa"/>
          </w:tcPr>
          <w:p>
            <w:pPr>
              <w:pStyle w:val="TableParagraph"/>
              <w:spacing w:before="5"/>
              <w:ind w:left="154" w:right="102"/>
              <w:jc w:val="center"/>
              <w:rPr>
                <w:sz w:val="18"/>
              </w:rPr>
            </w:pPr>
            <w:r>
              <w:rPr>
                <w:spacing w:val="-2"/>
                <w:sz w:val="18"/>
              </w:rPr>
              <w:t>0.131703</w:t>
            </w:r>
          </w:p>
        </w:tc>
        <w:tc>
          <w:tcPr>
            <w:tcW w:w="1439" w:type="dxa"/>
          </w:tcPr>
          <w:p>
            <w:pPr>
              <w:pStyle w:val="TableParagraph"/>
              <w:spacing w:before="5"/>
              <w:ind w:left="50" w:right="7"/>
              <w:jc w:val="center"/>
              <w:rPr>
                <w:sz w:val="18"/>
              </w:rPr>
            </w:pPr>
            <w:r>
              <w:rPr>
                <w:spacing w:val="-2"/>
                <w:sz w:val="18"/>
              </w:rPr>
              <w:t>37.19710</w:t>
            </w:r>
          </w:p>
        </w:tc>
        <w:tc>
          <w:tcPr>
            <w:tcW w:w="1409" w:type="dxa"/>
          </w:tcPr>
          <w:p>
            <w:pPr>
              <w:pStyle w:val="TableParagraph"/>
              <w:spacing w:before="5"/>
              <w:ind w:left="56" w:right="27"/>
              <w:jc w:val="center"/>
              <w:rPr>
                <w:sz w:val="18"/>
              </w:rPr>
            </w:pPr>
            <w:r>
              <w:rPr>
                <w:spacing w:val="-2"/>
                <w:sz w:val="18"/>
              </w:rPr>
              <w:t>20.83252</w:t>
            </w:r>
          </w:p>
        </w:tc>
        <w:tc>
          <w:tcPr>
            <w:tcW w:w="2834" w:type="dxa"/>
          </w:tcPr>
          <w:p>
            <w:pPr>
              <w:pStyle w:val="TableParagraph"/>
              <w:spacing w:before="5"/>
              <w:ind w:right="1425"/>
              <w:jc w:val="center"/>
              <w:rPr>
                <w:sz w:val="18"/>
              </w:rPr>
            </w:pPr>
            <w:r>
              <w:rPr>
                <w:spacing w:val="-2"/>
                <w:sz w:val="18"/>
              </w:rPr>
              <w:t>-14.61470</w:t>
            </w:r>
          </w:p>
        </w:tc>
      </w:tr>
      <w:tr>
        <w:trPr>
          <w:trHeight w:val="338" w:hRule="atLeast"/>
        </w:trPr>
        <w:tc>
          <w:tcPr>
            <w:tcW w:w="1467" w:type="dxa"/>
          </w:tcPr>
          <w:p>
            <w:pPr>
              <w:pStyle w:val="TableParagraph"/>
              <w:spacing w:line="240" w:lineRule="auto" w:before="0"/>
              <w:rPr>
                <w:rFonts w:ascii="Times New Roman"/>
                <w:sz w:val="18"/>
              </w:rPr>
            </w:pPr>
          </w:p>
        </w:tc>
        <w:tc>
          <w:tcPr>
            <w:tcW w:w="1266" w:type="dxa"/>
          </w:tcPr>
          <w:p>
            <w:pPr>
              <w:pStyle w:val="TableParagraph"/>
              <w:spacing w:line="240" w:lineRule="auto" w:before="0"/>
              <w:rPr>
                <w:rFonts w:ascii="Times New Roman"/>
                <w:sz w:val="18"/>
              </w:rPr>
            </w:pPr>
          </w:p>
        </w:tc>
        <w:tc>
          <w:tcPr>
            <w:tcW w:w="1561" w:type="dxa"/>
          </w:tcPr>
          <w:p>
            <w:pPr>
              <w:pStyle w:val="TableParagraph"/>
              <w:spacing w:line="240" w:lineRule="auto" w:before="0"/>
              <w:rPr>
                <w:rFonts w:ascii="Times New Roman"/>
                <w:sz w:val="18"/>
              </w:rPr>
            </w:pPr>
          </w:p>
        </w:tc>
        <w:tc>
          <w:tcPr>
            <w:tcW w:w="1350" w:type="dxa"/>
          </w:tcPr>
          <w:p>
            <w:pPr>
              <w:pStyle w:val="TableParagraph"/>
              <w:spacing w:line="240" w:lineRule="auto" w:before="0"/>
              <w:rPr>
                <w:rFonts w:ascii="Times New Roman"/>
                <w:sz w:val="18"/>
              </w:rPr>
            </w:pPr>
          </w:p>
        </w:tc>
        <w:tc>
          <w:tcPr>
            <w:tcW w:w="1418" w:type="dxa"/>
          </w:tcPr>
          <w:p>
            <w:pPr>
              <w:pStyle w:val="TableParagraph"/>
              <w:spacing w:line="240" w:lineRule="auto" w:before="0"/>
              <w:rPr>
                <w:rFonts w:ascii="Times New Roman"/>
                <w:sz w:val="18"/>
              </w:rPr>
            </w:pPr>
          </w:p>
        </w:tc>
        <w:tc>
          <w:tcPr>
            <w:tcW w:w="1406" w:type="dxa"/>
          </w:tcPr>
          <w:p>
            <w:pPr>
              <w:pStyle w:val="TableParagraph"/>
              <w:spacing w:line="240" w:lineRule="auto"/>
              <w:ind w:left="154" w:right="102"/>
              <w:jc w:val="center"/>
              <w:rPr>
                <w:sz w:val="18"/>
              </w:rPr>
            </w:pPr>
            <w:r>
              <w:rPr>
                <w:spacing w:val="-2"/>
                <w:sz w:val="18"/>
              </w:rPr>
              <w:t>(0.01921)</w:t>
            </w:r>
          </w:p>
        </w:tc>
        <w:tc>
          <w:tcPr>
            <w:tcW w:w="1439" w:type="dxa"/>
          </w:tcPr>
          <w:p>
            <w:pPr>
              <w:pStyle w:val="TableParagraph"/>
              <w:spacing w:line="240" w:lineRule="auto"/>
              <w:ind w:left="51" w:right="7"/>
              <w:jc w:val="center"/>
              <w:rPr>
                <w:sz w:val="18"/>
              </w:rPr>
            </w:pPr>
            <w:r>
              <w:rPr>
                <w:spacing w:val="-2"/>
                <w:sz w:val="18"/>
              </w:rPr>
              <w:t>(14.4430)</w:t>
            </w:r>
          </w:p>
        </w:tc>
        <w:tc>
          <w:tcPr>
            <w:tcW w:w="1409" w:type="dxa"/>
          </w:tcPr>
          <w:p>
            <w:pPr>
              <w:pStyle w:val="TableParagraph"/>
              <w:spacing w:line="240" w:lineRule="auto"/>
              <w:ind w:left="56" w:right="27"/>
              <w:jc w:val="center"/>
              <w:rPr>
                <w:sz w:val="18"/>
              </w:rPr>
            </w:pPr>
            <w:r>
              <w:rPr>
                <w:spacing w:val="-2"/>
                <w:sz w:val="18"/>
              </w:rPr>
              <w:t>(13.4706)</w:t>
            </w:r>
          </w:p>
        </w:tc>
        <w:tc>
          <w:tcPr>
            <w:tcW w:w="2834" w:type="dxa"/>
          </w:tcPr>
          <w:p>
            <w:pPr>
              <w:pStyle w:val="TableParagraph"/>
              <w:spacing w:line="240" w:lineRule="auto"/>
              <w:ind w:left="51" w:right="1425"/>
              <w:jc w:val="center"/>
              <w:rPr>
                <w:sz w:val="18"/>
              </w:rPr>
            </w:pPr>
            <w:r>
              <w:rPr>
                <w:spacing w:val="-2"/>
                <w:sz w:val="18"/>
              </w:rPr>
              <w:t>(1.70615)</w:t>
            </w:r>
          </w:p>
        </w:tc>
      </w:tr>
      <w:tr>
        <w:trPr>
          <w:trHeight w:val="337" w:hRule="atLeast"/>
        </w:trPr>
        <w:tc>
          <w:tcPr>
            <w:tcW w:w="14150" w:type="dxa"/>
            <w:gridSpan w:val="9"/>
          </w:tcPr>
          <w:p>
            <w:pPr>
              <w:pStyle w:val="TableParagraph"/>
              <w:spacing w:line="198" w:lineRule="exact" w:before="119"/>
              <w:rPr>
                <w:sz w:val="18"/>
              </w:rPr>
            </w:pPr>
            <w:r>
              <w:rPr>
                <w:sz w:val="18"/>
              </w:rPr>
              <w:t>Adjustment</w:t>
            </w:r>
            <w:r>
              <w:rPr>
                <w:spacing w:val="-4"/>
                <w:sz w:val="18"/>
              </w:rPr>
              <w:t> </w:t>
            </w:r>
            <w:r>
              <w:rPr>
                <w:sz w:val="18"/>
              </w:rPr>
              <w:t>coefficients</w:t>
            </w:r>
            <w:r>
              <w:rPr>
                <w:spacing w:val="-3"/>
                <w:sz w:val="18"/>
              </w:rPr>
              <w:t> </w:t>
            </w:r>
            <w:r>
              <w:rPr>
                <w:sz w:val="18"/>
              </w:rPr>
              <w:t>(standard</w:t>
            </w:r>
            <w:r>
              <w:rPr>
                <w:spacing w:val="-4"/>
                <w:sz w:val="18"/>
              </w:rPr>
              <w:t> </w:t>
            </w:r>
            <w:r>
              <w:rPr>
                <w:sz w:val="18"/>
              </w:rPr>
              <w:t>error</w:t>
            </w:r>
            <w:r>
              <w:rPr>
                <w:spacing w:val="-6"/>
                <w:sz w:val="18"/>
              </w:rPr>
              <w:t> </w:t>
            </w:r>
            <w:r>
              <w:rPr>
                <w:sz w:val="18"/>
              </w:rPr>
              <w:t>in</w:t>
            </w:r>
            <w:r>
              <w:rPr>
                <w:spacing w:val="-5"/>
                <w:sz w:val="18"/>
              </w:rPr>
              <w:t> </w:t>
            </w:r>
            <w:r>
              <w:rPr>
                <w:spacing w:val="-2"/>
                <w:sz w:val="18"/>
              </w:rPr>
              <w:t>parentheses)</w:t>
            </w:r>
          </w:p>
        </w:tc>
      </w:tr>
      <w:tr>
        <w:trPr>
          <w:trHeight w:val="224" w:hRule="atLeast"/>
        </w:trPr>
        <w:tc>
          <w:tcPr>
            <w:tcW w:w="1467" w:type="dxa"/>
          </w:tcPr>
          <w:p>
            <w:pPr>
              <w:pStyle w:val="TableParagraph"/>
              <w:spacing w:line="200" w:lineRule="exact" w:before="5"/>
              <w:ind w:right="81"/>
              <w:jc w:val="center"/>
              <w:rPr>
                <w:sz w:val="18"/>
              </w:rPr>
            </w:pPr>
            <w:r>
              <w:rPr>
                <w:spacing w:val="-2"/>
                <w:sz w:val="18"/>
              </w:rPr>
              <w:t>D(RGDP)</w:t>
            </w:r>
          </w:p>
        </w:tc>
        <w:tc>
          <w:tcPr>
            <w:tcW w:w="1266" w:type="dxa"/>
          </w:tcPr>
          <w:p>
            <w:pPr>
              <w:pStyle w:val="TableParagraph"/>
              <w:spacing w:line="200" w:lineRule="exact" w:before="5"/>
              <w:ind w:left="38" w:right="48"/>
              <w:jc w:val="center"/>
              <w:rPr>
                <w:sz w:val="18"/>
              </w:rPr>
            </w:pPr>
            <w:r>
              <w:rPr>
                <w:spacing w:val="-2"/>
                <w:sz w:val="18"/>
              </w:rPr>
              <w:t>-0.244525</w:t>
            </w:r>
          </w:p>
        </w:tc>
        <w:tc>
          <w:tcPr>
            <w:tcW w:w="1561" w:type="dxa"/>
          </w:tcPr>
          <w:p>
            <w:pPr>
              <w:pStyle w:val="TableParagraph"/>
              <w:spacing w:line="200" w:lineRule="exact" w:before="5"/>
              <w:ind w:left="51" w:right="4"/>
              <w:jc w:val="center"/>
              <w:rPr>
                <w:sz w:val="18"/>
              </w:rPr>
            </w:pPr>
            <w:r>
              <w:rPr>
                <w:spacing w:val="-2"/>
                <w:sz w:val="18"/>
              </w:rPr>
              <w:t>0.644653</w:t>
            </w:r>
          </w:p>
        </w:tc>
        <w:tc>
          <w:tcPr>
            <w:tcW w:w="1350" w:type="dxa"/>
          </w:tcPr>
          <w:p>
            <w:pPr>
              <w:pStyle w:val="TableParagraph"/>
              <w:spacing w:line="200" w:lineRule="exact" w:before="5"/>
              <w:ind w:left="51" w:right="74"/>
              <w:jc w:val="center"/>
              <w:rPr>
                <w:sz w:val="18"/>
              </w:rPr>
            </w:pPr>
            <w:r>
              <w:rPr>
                <w:spacing w:val="-2"/>
                <w:sz w:val="18"/>
              </w:rPr>
              <w:t>64.51654</w:t>
            </w:r>
          </w:p>
        </w:tc>
        <w:tc>
          <w:tcPr>
            <w:tcW w:w="1418" w:type="dxa"/>
          </w:tcPr>
          <w:p>
            <w:pPr>
              <w:pStyle w:val="TableParagraph"/>
              <w:spacing w:line="200" w:lineRule="exact" w:before="5"/>
              <w:ind w:left="53" w:right="10"/>
              <w:jc w:val="center"/>
              <w:rPr>
                <w:sz w:val="18"/>
              </w:rPr>
            </w:pPr>
            <w:r>
              <w:rPr>
                <w:spacing w:val="-2"/>
                <w:sz w:val="18"/>
              </w:rPr>
              <w:t>34.96967</w:t>
            </w:r>
          </w:p>
        </w:tc>
        <w:tc>
          <w:tcPr>
            <w:tcW w:w="1406" w:type="dxa"/>
          </w:tcPr>
          <w:p>
            <w:pPr>
              <w:pStyle w:val="TableParagraph"/>
              <w:spacing w:line="200" w:lineRule="exact" w:before="5"/>
              <w:ind w:left="103" w:right="102"/>
              <w:jc w:val="center"/>
              <w:rPr>
                <w:sz w:val="18"/>
              </w:rPr>
            </w:pPr>
            <w:r>
              <w:rPr>
                <w:spacing w:val="-2"/>
                <w:sz w:val="18"/>
              </w:rPr>
              <w:t>-2.177747</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(0.06427)</w:t>
            </w:r>
          </w:p>
        </w:tc>
        <w:tc>
          <w:tcPr>
            <w:tcW w:w="1561" w:type="dxa"/>
          </w:tcPr>
          <w:p>
            <w:pPr>
              <w:pStyle w:val="TableParagraph"/>
              <w:ind w:left="52" w:right="4"/>
              <w:jc w:val="center"/>
              <w:rPr>
                <w:sz w:val="18"/>
              </w:rPr>
            </w:pPr>
            <w:r>
              <w:rPr>
                <w:spacing w:val="-2"/>
                <w:sz w:val="18"/>
              </w:rPr>
              <w:t>(0.34001)</w:t>
            </w:r>
          </w:p>
        </w:tc>
        <w:tc>
          <w:tcPr>
            <w:tcW w:w="1350" w:type="dxa"/>
          </w:tcPr>
          <w:p>
            <w:pPr>
              <w:pStyle w:val="TableParagraph"/>
              <w:ind w:left="52" w:right="74"/>
              <w:jc w:val="center"/>
              <w:rPr>
                <w:sz w:val="18"/>
              </w:rPr>
            </w:pPr>
            <w:r>
              <w:rPr>
                <w:spacing w:val="-2"/>
                <w:sz w:val="18"/>
              </w:rPr>
              <w:t>(20.7367)</w:t>
            </w:r>
          </w:p>
        </w:tc>
        <w:tc>
          <w:tcPr>
            <w:tcW w:w="1418" w:type="dxa"/>
          </w:tcPr>
          <w:p>
            <w:pPr>
              <w:pStyle w:val="TableParagraph"/>
              <w:ind w:left="53" w:right="10"/>
              <w:jc w:val="center"/>
              <w:rPr>
                <w:sz w:val="18"/>
              </w:rPr>
            </w:pPr>
            <w:r>
              <w:rPr>
                <w:spacing w:val="-2"/>
                <w:sz w:val="18"/>
              </w:rPr>
              <w:t>(10.1478)</w:t>
            </w:r>
          </w:p>
        </w:tc>
        <w:tc>
          <w:tcPr>
            <w:tcW w:w="1406" w:type="dxa"/>
          </w:tcPr>
          <w:p>
            <w:pPr>
              <w:pStyle w:val="TableParagraph"/>
              <w:ind w:left="154" w:right="102"/>
              <w:jc w:val="center"/>
              <w:rPr>
                <w:sz w:val="18"/>
              </w:rPr>
            </w:pPr>
            <w:r>
              <w:rPr>
                <w:spacing w:val="-2"/>
                <w:sz w:val="18"/>
              </w:rPr>
              <w:t>(0.86362)</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2" w:right="81"/>
              <w:jc w:val="center"/>
              <w:rPr>
                <w:sz w:val="18"/>
              </w:rPr>
            </w:pPr>
            <w:r>
              <w:rPr>
                <w:spacing w:val="-2"/>
                <w:sz w:val="18"/>
              </w:rPr>
              <w:t>D(FDI)</w:t>
            </w:r>
          </w:p>
        </w:tc>
        <w:tc>
          <w:tcPr>
            <w:tcW w:w="1266" w:type="dxa"/>
          </w:tcPr>
          <w:p>
            <w:pPr>
              <w:pStyle w:val="TableParagraph"/>
              <w:ind w:left="47" w:right="10"/>
              <w:jc w:val="center"/>
              <w:rPr>
                <w:sz w:val="18"/>
              </w:rPr>
            </w:pPr>
            <w:r>
              <w:rPr>
                <w:spacing w:val="-2"/>
                <w:sz w:val="18"/>
              </w:rPr>
              <w:t>0.060380</w:t>
            </w:r>
          </w:p>
        </w:tc>
        <w:tc>
          <w:tcPr>
            <w:tcW w:w="1561" w:type="dxa"/>
          </w:tcPr>
          <w:p>
            <w:pPr>
              <w:pStyle w:val="TableParagraph"/>
              <w:ind w:left="48" w:right="48"/>
              <w:jc w:val="center"/>
              <w:rPr>
                <w:sz w:val="18"/>
              </w:rPr>
            </w:pPr>
            <w:r>
              <w:rPr>
                <w:spacing w:val="-2"/>
                <w:sz w:val="18"/>
              </w:rPr>
              <w:t>-0.536298</w:t>
            </w:r>
          </w:p>
        </w:tc>
        <w:tc>
          <w:tcPr>
            <w:tcW w:w="1350" w:type="dxa"/>
          </w:tcPr>
          <w:p>
            <w:pPr>
              <w:pStyle w:val="TableParagraph"/>
              <w:ind w:left="1" w:right="74"/>
              <w:jc w:val="center"/>
              <w:rPr>
                <w:sz w:val="18"/>
              </w:rPr>
            </w:pPr>
            <w:r>
              <w:rPr>
                <w:spacing w:val="-2"/>
                <w:sz w:val="18"/>
              </w:rPr>
              <w:t>-8.187918</w:t>
            </w:r>
          </w:p>
        </w:tc>
        <w:tc>
          <w:tcPr>
            <w:tcW w:w="1418" w:type="dxa"/>
          </w:tcPr>
          <w:p>
            <w:pPr>
              <w:pStyle w:val="TableParagraph"/>
              <w:ind w:left="43" w:right="48"/>
              <w:jc w:val="center"/>
              <w:rPr>
                <w:sz w:val="18"/>
              </w:rPr>
            </w:pPr>
            <w:r>
              <w:rPr>
                <w:spacing w:val="-2"/>
                <w:sz w:val="18"/>
              </w:rPr>
              <w:t>-2.513244</w:t>
            </w:r>
          </w:p>
        </w:tc>
        <w:tc>
          <w:tcPr>
            <w:tcW w:w="1406" w:type="dxa"/>
          </w:tcPr>
          <w:p>
            <w:pPr>
              <w:pStyle w:val="TableParagraph"/>
              <w:ind w:left="154" w:right="102"/>
              <w:jc w:val="center"/>
              <w:rPr>
                <w:sz w:val="18"/>
              </w:rPr>
            </w:pPr>
            <w:r>
              <w:rPr>
                <w:spacing w:val="-2"/>
                <w:sz w:val="18"/>
              </w:rPr>
              <w:t>0.129856</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198" w:lineRule="exact"/>
              <w:ind w:left="48" w:right="10"/>
              <w:jc w:val="center"/>
              <w:rPr>
                <w:sz w:val="18"/>
              </w:rPr>
            </w:pPr>
            <w:r>
              <w:rPr>
                <w:spacing w:val="-2"/>
                <w:sz w:val="18"/>
              </w:rPr>
              <w:t>(0.02615)</w:t>
            </w:r>
          </w:p>
        </w:tc>
        <w:tc>
          <w:tcPr>
            <w:tcW w:w="1561" w:type="dxa"/>
          </w:tcPr>
          <w:p>
            <w:pPr>
              <w:pStyle w:val="TableParagraph"/>
              <w:spacing w:line="198" w:lineRule="exact"/>
              <w:ind w:left="52" w:right="4"/>
              <w:jc w:val="center"/>
              <w:rPr>
                <w:sz w:val="18"/>
              </w:rPr>
            </w:pPr>
            <w:r>
              <w:rPr>
                <w:spacing w:val="-2"/>
                <w:sz w:val="18"/>
              </w:rPr>
              <w:t>(0.13835)</w:t>
            </w:r>
          </w:p>
        </w:tc>
        <w:tc>
          <w:tcPr>
            <w:tcW w:w="1350" w:type="dxa"/>
          </w:tcPr>
          <w:p>
            <w:pPr>
              <w:pStyle w:val="TableParagraph"/>
              <w:spacing w:line="198" w:lineRule="exact"/>
              <w:ind w:left="52" w:right="74"/>
              <w:jc w:val="center"/>
              <w:rPr>
                <w:sz w:val="18"/>
              </w:rPr>
            </w:pPr>
            <w:r>
              <w:rPr>
                <w:spacing w:val="-2"/>
                <w:sz w:val="18"/>
              </w:rPr>
              <w:t>(8.43773)</w:t>
            </w:r>
          </w:p>
        </w:tc>
        <w:tc>
          <w:tcPr>
            <w:tcW w:w="1418" w:type="dxa"/>
          </w:tcPr>
          <w:p>
            <w:pPr>
              <w:pStyle w:val="TableParagraph"/>
              <w:spacing w:line="198" w:lineRule="exact"/>
              <w:ind w:left="53" w:right="10"/>
              <w:jc w:val="center"/>
              <w:rPr>
                <w:sz w:val="18"/>
              </w:rPr>
            </w:pPr>
            <w:r>
              <w:rPr>
                <w:spacing w:val="-2"/>
                <w:sz w:val="18"/>
              </w:rPr>
              <w:t>(4.12912)</w:t>
            </w:r>
          </w:p>
        </w:tc>
        <w:tc>
          <w:tcPr>
            <w:tcW w:w="1406" w:type="dxa"/>
          </w:tcPr>
          <w:p>
            <w:pPr>
              <w:pStyle w:val="TableParagraph"/>
              <w:spacing w:line="198" w:lineRule="exact"/>
              <w:ind w:left="154" w:right="102"/>
              <w:jc w:val="center"/>
              <w:rPr>
                <w:sz w:val="18"/>
              </w:rPr>
            </w:pPr>
            <w:r>
              <w:rPr>
                <w:spacing w:val="-2"/>
                <w:sz w:val="18"/>
              </w:rPr>
              <w:t>(0.35140)</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before="5"/>
              <w:ind w:left="2" w:right="81"/>
              <w:jc w:val="center"/>
              <w:rPr>
                <w:sz w:val="18"/>
              </w:rPr>
            </w:pPr>
            <w:r>
              <w:rPr>
                <w:spacing w:val="-2"/>
                <w:sz w:val="18"/>
              </w:rPr>
              <w:t>D(FPI)</w:t>
            </w:r>
          </w:p>
        </w:tc>
        <w:tc>
          <w:tcPr>
            <w:tcW w:w="1266" w:type="dxa"/>
          </w:tcPr>
          <w:p>
            <w:pPr>
              <w:pStyle w:val="TableParagraph"/>
              <w:spacing w:before="5"/>
              <w:ind w:left="47" w:right="10"/>
              <w:jc w:val="center"/>
              <w:rPr>
                <w:sz w:val="18"/>
              </w:rPr>
            </w:pPr>
            <w:r>
              <w:rPr>
                <w:spacing w:val="-2"/>
                <w:sz w:val="18"/>
              </w:rPr>
              <w:t>0.000204</w:t>
            </w:r>
          </w:p>
        </w:tc>
        <w:tc>
          <w:tcPr>
            <w:tcW w:w="1561" w:type="dxa"/>
          </w:tcPr>
          <w:p>
            <w:pPr>
              <w:pStyle w:val="TableParagraph"/>
              <w:spacing w:before="5"/>
              <w:ind w:left="51" w:right="4"/>
              <w:jc w:val="center"/>
              <w:rPr>
                <w:sz w:val="18"/>
              </w:rPr>
            </w:pPr>
            <w:r>
              <w:rPr>
                <w:spacing w:val="-2"/>
                <w:sz w:val="18"/>
              </w:rPr>
              <w:t>0.008792</w:t>
            </w:r>
          </w:p>
        </w:tc>
        <w:tc>
          <w:tcPr>
            <w:tcW w:w="1350" w:type="dxa"/>
          </w:tcPr>
          <w:p>
            <w:pPr>
              <w:pStyle w:val="TableParagraph"/>
              <w:spacing w:before="5"/>
              <w:ind w:left="1" w:right="74"/>
              <w:jc w:val="center"/>
              <w:rPr>
                <w:sz w:val="18"/>
              </w:rPr>
            </w:pPr>
            <w:r>
              <w:rPr>
                <w:spacing w:val="-2"/>
                <w:sz w:val="18"/>
              </w:rPr>
              <w:t>-0.921209</w:t>
            </w:r>
          </w:p>
        </w:tc>
        <w:tc>
          <w:tcPr>
            <w:tcW w:w="1418" w:type="dxa"/>
          </w:tcPr>
          <w:p>
            <w:pPr>
              <w:pStyle w:val="TableParagraph"/>
              <w:spacing w:before="5"/>
              <w:ind w:left="43" w:right="48"/>
              <w:jc w:val="center"/>
              <w:rPr>
                <w:sz w:val="18"/>
              </w:rPr>
            </w:pPr>
            <w:r>
              <w:rPr>
                <w:spacing w:val="-2"/>
                <w:sz w:val="18"/>
              </w:rPr>
              <w:t>-0.535798</w:t>
            </w:r>
          </w:p>
        </w:tc>
        <w:tc>
          <w:tcPr>
            <w:tcW w:w="1406" w:type="dxa"/>
          </w:tcPr>
          <w:p>
            <w:pPr>
              <w:pStyle w:val="TableParagraph"/>
              <w:spacing w:before="5"/>
              <w:ind w:left="103" w:right="102"/>
              <w:jc w:val="center"/>
              <w:rPr>
                <w:sz w:val="18"/>
              </w:rPr>
            </w:pPr>
            <w:r>
              <w:rPr>
                <w:spacing w:val="-2"/>
                <w:sz w:val="18"/>
              </w:rPr>
              <w:t>-0.007348</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(0.00106)</w:t>
            </w:r>
          </w:p>
        </w:tc>
        <w:tc>
          <w:tcPr>
            <w:tcW w:w="1561" w:type="dxa"/>
          </w:tcPr>
          <w:p>
            <w:pPr>
              <w:pStyle w:val="TableParagraph"/>
              <w:ind w:left="52" w:right="4"/>
              <w:jc w:val="center"/>
              <w:rPr>
                <w:sz w:val="18"/>
              </w:rPr>
            </w:pPr>
            <w:r>
              <w:rPr>
                <w:spacing w:val="-2"/>
                <w:sz w:val="18"/>
              </w:rPr>
              <w:t>(0.00560)</w:t>
            </w:r>
          </w:p>
        </w:tc>
        <w:tc>
          <w:tcPr>
            <w:tcW w:w="1350" w:type="dxa"/>
          </w:tcPr>
          <w:p>
            <w:pPr>
              <w:pStyle w:val="TableParagraph"/>
              <w:ind w:left="52" w:right="74"/>
              <w:jc w:val="center"/>
              <w:rPr>
                <w:sz w:val="18"/>
              </w:rPr>
            </w:pPr>
            <w:r>
              <w:rPr>
                <w:spacing w:val="-2"/>
                <w:sz w:val="18"/>
              </w:rPr>
              <w:t>(0.34150)</w:t>
            </w:r>
          </w:p>
        </w:tc>
        <w:tc>
          <w:tcPr>
            <w:tcW w:w="1418" w:type="dxa"/>
          </w:tcPr>
          <w:p>
            <w:pPr>
              <w:pStyle w:val="TableParagraph"/>
              <w:ind w:left="53" w:right="10"/>
              <w:jc w:val="center"/>
              <w:rPr>
                <w:sz w:val="18"/>
              </w:rPr>
            </w:pPr>
            <w:r>
              <w:rPr>
                <w:spacing w:val="-2"/>
                <w:sz w:val="18"/>
              </w:rPr>
              <w:t>(0.16712)</w:t>
            </w:r>
          </w:p>
        </w:tc>
        <w:tc>
          <w:tcPr>
            <w:tcW w:w="1406" w:type="dxa"/>
          </w:tcPr>
          <w:p>
            <w:pPr>
              <w:pStyle w:val="TableParagraph"/>
              <w:ind w:left="154" w:right="102"/>
              <w:jc w:val="center"/>
              <w:rPr>
                <w:sz w:val="18"/>
              </w:rPr>
            </w:pPr>
            <w:r>
              <w:rPr>
                <w:spacing w:val="-2"/>
                <w:sz w:val="18"/>
              </w:rPr>
              <w:t>(0.01422)</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5" w:right="81"/>
              <w:jc w:val="center"/>
              <w:rPr>
                <w:sz w:val="18"/>
              </w:rPr>
            </w:pPr>
            <w:r>
              <w:rPr>
                <w:spacing w:val="-2"/>
                <w:sz w:val="18"/>
              </w:rPr>
              <w:t>D(TOP)</w:t>
            </w:r>
          </w:p>
        </w:tc>
        <w:tc>
          <w:tcPr>
            <w:tcW w:w="1266" w:type="dxa"/>
          </w:tcPr>
          <w:p>
            <w:pPr>
              <w:pStyle w:val="TableParagraph"/>
              <w:ind w:left="38" w:right="48"/>
              <w:jc w:val="center"/>
              <w:rPr>
                <w:sz w:val="18"/>
              </w:rPr>
            </w:pPr>
            <w:r>
              <w:rPr>
                <w:spacing w:val="-2"/>
                <w:sz w:val="18"/>
              </w:rPr>
              <w:t>-0.000957</w:t>
            </w:r>
          </w:p>
        </w:tc>
        <w:tc>
          <w:tcPr>
            <w:tcW w:w="1561" w:type="dxa"/>
          </w:tcPr>
          <w:p>
            <w:pPr>
              <w:pStyle w:val="TableParagraph"/>
              <w:ind w:left="51" w:right="4"/>
              <w:jc w:val="center"/>
              <w:rPr>
                <w:sz w:val="18"/>
              </w:rPr>
            </w:pPr>
            <w:r>
              <w:rPr>
                <w:spacing w:val="-2"/>
                <w:sz w:val="18"/>
              </w:rPr>
              <w:t>0.001918</w:t>
            </w:r>
          </w:p>
        </w:tc>
        <w:tc>
          <w:tcPr>
            <w:tcW w:w="1350" w:type="dxa"/>
          </w:tcPr>
          <w:p>
            <w:pPr>
              <w:pStyle w:val="TableParagraph"/>
              <w:ind w:left="51" w:right="74"/>
              <w:jc w:val="center"/>
              <w:rPr>
                <w:sz w:val="18"/>
              </w:rPr>
            </w:pPr>
            <w:r>
              <w:rPr>
                <w:spacing w:val="-2"/>
                <w:sz w:val="18"/>
              </w:rPr>
              <w:t>0.263412</w:t>
            </w:r>
          </w:p>
        </w:tc>
        <w:tc>
          <w:tcPr>
            <w:tcW w:w="1418" w:type="dxa"/>
          </w:tcPr>
          <w:p>
            <w:pPr>
              <w:pStyle w:val="TableParagraph"/>
              <w:ind w:left="53" w:right="10"/>
              <w:jc w:val="center"/>
              <w:rPr>
                <w:sz w:val="18"/>
              </w:rPr>
            </w:pPr>
            <w:r>
              <w:rPr>
                <w:spacing w:val="-2"/>
                <w:sz w:val="18"/>
              </w:rPr>
              <w:t>0.083804</w:t>
            </w:r>
          </w:p>
        </w:tc>
        <w:tc>
          <w:tcPr>
            <w:tcW w:w="1406" w:type="dxa"/>
          </w:tcPr>
          <w:p>
            <w:pPr>
              <w:pStyle w:val="TableParagraph"/>
              <w:ind w:left="103" w:right="102"/>
              <w:jc w:val="center"/>
              <w:rPr>
                <w:sz w:val="18"/>
              </w:rPr>
            </w:pPr>
            <w:r>
              <w:rPr>
                <w:spacing w:val="-2"/>
                <w:sz w:val="18"/>
              </w:rPr>
              <w:t>-0.017567</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198" w:lineRule="exact"/>
              <w:ind w:left="48" w:right="10"/>
              <w:jc w:val="center"/>
              <w:rPr>
                <w:sz w:val="18"/>
              </w:rPr>
            </w:pPr>
            <w:r>
              <w:rPr>
                <w:spacing w:val="-2"/>
                <w:sz w:val="18"/>
              </w:rPr>
              <w:t>(0.00069)</w:t>
            </w:r>
          </w:p>
        </w:tc>
        <w:tc>
          <w:tcPr>
            <w:tcW w:w="1561" w:type="dxa"/>
          </w:tcPr>
          <w:p>
            <w:pPr>
              <w:pStyle w:val="TableParagraph"/>
              <w:spacing w:line="198" w:lineRule="exact"/>
              <w:ind w:left="52" w:right="4"/>
              <w:jc w:val="center"/>
              <w:rPr>
                <w:sz w:val="18"/>
              </w:rPr>
            </w:pPr>
            <w:r>
              <w:rPr>
                <w:spacing w:val="-2"/>
                <w:sz w:val="18"/>
              </w:rPr>
              <w:t>(0.00368)</w:t>
            </w:r>
          </w:p>
        </w:tc>
        <w:tc>
          <w:tcPr>
            <w:tcW w:w="1350" w:type="dxa"/>
          </w:tcPr>
          <w:p>
            <w:pPr>
              <w:pStyle w:val="TableParagraph"/>
              <w:spacing w:line="198" w:lineRule="exact"/>
              <w:ind w:left="52" w:right="74"/>
              <w:jc w:val="center"/>
              <w:rPr>
                <w:sz w:val="18"/>
              </w:rPr>
            </w:pPr>
            <w:r>
              <w:rPr>
                <w:spacing w:val="-2"/>
                <w:sz w:val="18"/>
              </w:rPr>
              <w:t>(0.22416)</w:t>
            </w:r>
          </w:p>
        </w:tc>
        <w:tc>
          <w:tcPr>
            <w:tcW w:w="1418" w:type="dxa"/>
          </w:tcPr>
          <w:p>
            <w:pPr>
              <w:pStyle w:val="TableParagraph"/>
              <w:spacing w:line="198" w:lineRule="exact"/>
              <w:ind w:left="53" w:right="10"/>
              <w:jc w:val="center"/>
              <w:rPr>
                <w:sz w:val="18"/>
              </w:rPr>
            </w:pPr>
            <w:r>
              <w:rPr>
                <w:spacing w:val="-2"/>
                <w:sz w:val="18"/>
              </w:rPr>
              <w:t>(0.10970)</w:t>
            </w:r>
          </w:p>
        </w:tc>
        <w:tc>
          <w:tcPr>
            <w:tcW w:w="1406" w:type="dxa"/>
          </w:tcPr>
          <w:p>
            <w:pPr>
              <w:pStyle w:val="TableParagraph"/>
              <w:spacing w:line="198" w:lineRule="exact"/>
              <w:ind w:left="154" w:right="102"/>
              <w:jc w:val="center"/>
              <w:rPr>
                <w:sz w:val="18"/>
              </w:rPr>
            </w:pPr>
            <w:r>
              <w:rPr>
                <w:spacing w:val="-2"/>
                <w:sz w:val="18"/>
              </w:rPr>
              <w:t>(0.00934)</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before="5"/>
              <w:ind w:left="2" w:right="81"/>
              <w:jc w:val="center"/>
              <w:rPr>
                <w:sz w:val="18"/>
              </w:rPr>
            </w:pPr>
            <w:r>
              <w:rPr>
                <w:spacing w:val="-2"/>
                <w:sz w:val="18"/>
              </w:rPr>
              <w:t>D(REM)</w:t>
            </w:r>
          </w:p>
        </w:tc>
        <w:tc>
          <w:tcPr>
            <w:tcW w:w="1266" w:type="dxa"/>
          </w:tcPr>
          <w:p>
            <w:pPr>
              <w:pStyle w:val="TableParagraph"/>
              <w:spacing w:before="5"/>
              <w:ind w:left="38" w:right="48"/>
              <w:jc w:val="center"/>
              <w:rPr>
                <w:sz w:val="18"/>
              </w:rPr>
            </w:pPr>
            <w:r>
              <w:rPr>
                <w:spacing w:val="-2"/>
                <w:sz w:val="18"/>
              </w:rPr>
              <w:t>-0.050777</w:t>
            </w:r>
          </w:p>
        </w:tc>
        <w:tc>
          <w:tcPr>
            <w:tcW w:w="1561" w:type="dxa"/>
          </w:tcPr>
          <w:p>
            <w:pPr>
              <w:pStyle w:val="TableParagraph"/>
              <w:spacing w:before="5"/>
              <w:ind w:left="51" w:right="4"/>
              <w:jc w:val="center"/>
              <w:rPr>
                <w:sz w:val="18"/>
              </w:rPr>
            </w:pPr>
            <w:r>
              <w:rPr>
                <w:spacing w:val="-2"/>
                <w:sz w:val="18"/>
              </w:rPr>
              <w:t>0.257985</w:t>
            </w:r>
          </w:p>
        </w:tc>
        <w:tc>
          <w:tcPr>
            <w:tcW w:w="1350" w:type="dxa"/>
          </w:tcPr>
          <w:p>
            <w:pPr>
              <w:pStyle w:val="TableParagraph"/>
              <w:spacing w:before="5"/>
              <w:ind w:left="51" w:right="74"/>
              <w:jc w:val="center"/>
              <w:rPr>
                <w:sz w:val="18"/>
              </w:rPr>
            </w:pPr>
            <w:r>
              <w:rPr>
                <w:spacing w:val="-2"/>
                <w:sz w:val="18"/>
              </w:rPr>
              <w:t>8.482789</w:t>
            </w:r>
          </w:p>
        </w:tc>
        <w:tc>
          <w:tcPr>
            <w:tcW w:w="1418" w:type="dxa"/>
          </w:tcPr>
          <w:p>
            <w:pPr>
              <w:pStyle w:val="TableParagraph"/>
              <w:spacing w:before="5"/>
              <w:ind w:left="53" w:right="10"/>
              <w:jc w:val="center"/>
              <w:rPr>
                <w:sz w:val="18"/>
              </w:rPr>
            </w:pPr>
            <w:r>
              <w:rPr>
                <w:spacing w:val="-2"/>
                <w:sz w:val="18"/>
              </w:rPr>
              <w:t>2.232857</w:t>
            </w:r>
          </w:p>
        </w:tc>
        <w:tc>
          <w:tcPr>
            <w:tcW w:w="1406" w:type="dxa"/>
          </w:tcPr>
          <w:p>
            <w:pPr>
              <w:pStyle w:val="TableParagraph"/>
              <w:spacing w:before="5"/>
              <w:ind w:left="103" w:right="102"/>
              <w:jc w:val="center"/>
              <w:rPr>
                <w:sz w:val="18"/>
              </w:rPr>
            </w:pPr>
            <w:r>
              <w:rPr>
                <w:spacing w:val="-2"/>
                <w:sz w:val="18"/>
              </w:rPr>
              <w:t>-0.606119</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(0.02273)</w:t>
            </w:r>
          </w:p>
        </w:tc>
        <w:tc>
          <w:tcPr>
            <w:tcW w:w="1561" w:type="dxa"/>
          </w:tcPr>
          <w:p>
            <w:pPr>
              <w:pStyle w:val="TableParagraph"/>
              <w:ind w:left="52" w:right="4"/>
              <w:jc w:val="center"/>
              <w:rPr>
                <w:sz w:val="18"/>
              </w:rPr>
            </w:pPr>
            <w:r>
              <w:rPr>
                <w:spacing w:val="-2"/>
                <w:sz w:val="18"/>
              </w:rPr>
              <w:t>(0.12027)</w:t>
            </w:r>
          </w:p>
        </w:tc>
        <w:tc>
          <w:tcPr>
            <w:tcW w:w="1350" w:type="dxa"/>
          </w:tcPr>
          <w:p>
            <w:pPr>
              <w:pStyle w:val="TableParagraph"/>
              <w:ind w:left="52" w:right="74"/>
              <w:jc w:val="center"/>
              <w:rPr>
                <w:sz w:val="18"/>
              </w:rPr>
            </w:pPr>
            <w:r>
              <w:rPr>
                <w:spacing w:val="-2"/>
                <w:sz w:val="18"/>
              </w:rPr>
              <w:t>(7.33529)</w:t>
            </w:r>
          </w:p>
        </w:tc>
        <w:tc>
          <w:tcPr>
            <w:tcW w:w="1418" w:type="dxa"/>
          </w:tcPr>
          <w:p>
            <w:pPr>
              <w:pStyle w:val="TableParagraph"/>
              <w:ind w:left="53" w:right="10"/>
              <w:jc w:val="center"/>
              <w:rPr>
                <w:sz w:val="18"/>
              </w:rPr>
            </w:pPr>
            <w:r>
              <w:rPr>
                <w:spacing w:val="-2"/>
                <w:sz w:val="18"/>
              </w:rPr>
              <w:t>(3.58963)</w:t>
            </w:r>
          </w:p>
        </w:tc>
        <w:tc>
          <w:tcPr>
            <w:tcW w:w="1406" w:type="dxa"/>
          </w:tcPr>
          <w:p>
            <w:pPr>
              <w:pStyle w:val="TableParagraph"/>
              <w:ind w:left="154" w:right="102"/>
              <w:jc w:val="center"/>
              <w:rPr>
                <w:sz w:val="18"/>
              </w:rPr>
            </w:pPr>
            <w:r>
              <w:rPr>
                <w:spacing w:val="-2"/>
                <w:sz w:val="18"/>
              </w:rPr>
              <w:t>(0.30549)</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right="81"/>
              <w:jc w:val="center"/>
              <w:rPr>
                <w:sz w:val="18"/>
              </w:rPr>
            </w:pPr>
            <w:r>
              <w:rPr>
                <w:spacing w:val="-2"/>
                <w:sz w:val="18"/>
              </w:rPr>
              <w:t>D(ODA)</w:t>
            </w:r>
          </w:p>
        </w:tc>
        <w:tc>
          <w:tcPr>
            <w:tcW w:w="1266" w:type="dxa"/>
          </w:tcPr>
          <w:p>
            <w:pPr>
              <w:pStyle w:val="TableParagraph"/>
              <w:ind w:left="47" w:right="10"/>
              <w:jc w:val="center"/>
              <w:rPr>
                <w:sz w:val="18"/>
              </w:rPr>
            </w:pPr>
            <w:r>
              <w:rPr>
                <w:spacing w:val="-2"/>
                <w:sz w:val="18"/>
              </w:rPr>
              <w:t>0.292578</w:t>
            </w:r>
          </w:p>
        </w:tc>
        <w:tc>
          <w:tcPr>
            <w:tcW w:w="1561" w:type="dxa"/>
          </w:tcPr>
          <w:p>
            <w:pPr>
              <w:pStyle w:val="TableParagraph"/>
              <w:ind w:left="51" w:right="4"/>
              <w:jc w:val="center"/>
              <w:rPr>
                <w:sz w:val="18"/>
              </w:rPr>
            </w:pPr>
            <w:r>
              <w:rPr>
                <w:spacing w:val="-2"/>
                <w:sz w:val="18"/>
              </w:rPr>
              <w:t>1.019333</w:t>
            </w:r>
          </w:p>
        </w:tc>
        <w:tc>
          <w:tcPr>
            <w:tcW w:w="1350" w:type="dxa"/>
          </w:tcPr>
          <w:p>
            <w:pPr>
              <w:pStyle w:val="TableParagraph"/>
              <w:ind w:left="1" w:right="74"/>
              <w:jc w:val="center"/>
              <w:rPr>
                <w:sz w:val="18"/>
              </w:rPr>
            </w:pPr>
            <w:r>
              <w:rPr>
                <w:spacing w:val="-2"/>
                <w:sz w:val="18"/>
              </w:rPr>
              <w:t>-104.5876</w:t>
            </w:r>
          </w:p>
        </w:tc>
        <w:tc>
          <w:tcPr>
            <w:tcW w:w="1418" w:type="dxa"/>
          </w:tcPr>
          <w:p>
            <w:pPr>
              <w:pStyle w:val="TableParagraph"/>
              <w:ind w:left="43" w:right="48"/>
              <w:jc w:val="center"/>
              <w:rPr>
                <w:sz w:val="18"/>
              </w:rPr>
            </w:pPr>
            <w:r>
              <w:rPr>
                <w:spacing w:val="-2"/>
                <w:sz w:val="18"/>
              </w:rPr>
              <w:t>-12.80374</w:t>
            </w:r>
          </w:p>
        </w:tc>
        <w:tc>
          <w:tcPr>
            <w:tcW w:w="1406" w:type="dxa"/>
          </w:tcPr>
          <w:p>
            <w:pPr>
              <w:pStyle w:val="TableParagraph"/>
              <w:ind w:left="154" w:right="102"/>
              <w:jc w:val="center"/>
              <w:rPr>
                <w:sz w:val="18"/>
              </w:rPr>
            </w:pPr>
            <w:r>
              <w:rPr>
                <w:spacing w:val="-2"/>
                <w:sz w:val="18"/>
              </w:rPr>
              <w:t>9.440064</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198" w:lineRule="exact"/>
              <w:ind w:left="48" w:right="10"/>
              <w:jc w:val="center"/>
              <w:rPr>
                <w:sz w:val="18"/>
              </w:rPr>
            </w:pPr>
            <w:r>
              <w:rPr>
                <w:spacing w:val="-2"/>
                <w:sz w:val="18"/>
              </w:rPr>
              <w:t>(0.16065)</w:t>
            </w:r>
          </w:p>
        </w:tc>
        <w:tc>
          <w:tcPr>
            <w:tcW w:w="1561" w:type="dxa"/>
          </w:tcPr>
          <w:p>
            <w:pPr>
              <w:pStyle w:val="TableParagraph"/>
              <w:spacing w:line="198" w:lineRule="exact"/>
              <w:ind w:left="52" w:right="4"/>
              <w:jc w:val="center"/>
              <w:rPr>
                <w:sz w:val="18"/>
              </w:rPr>
            </w:pPr>
            <w:r>
              <w:rPr>
                <w:spacing w:val="-2"/>
                <w:sz w:val="18"/>
              </w:rPr>
              <w:t>(0.84993)</w:t>
            </w:r>
          </w:p>
        </w:tc>
        <w:tc>
          <w:tcPr>
            <w:tcW w:w="1350" w:type="dxa"/>
          </w:tcPr>
          <w:p>
            <w:pPr>
              <w:pStyle w:val="TableParagraph"/>
              <w:spacing w:line="198" w:lineRule="exact"/>
              <w:ind w:left="52" w:right="74"/>
              <w:jc w:val="center"/>
              <w:rPr>
                <w:sz w:val="18"/>
              </w:rPr>
            </w:pPr>
            <w:r>
              <w:rPr>
                <w:spacing w:val="-2"/>
                <w:sz w:val="18"/>
              </w:rPr>
              <w:t>(51.8355)</w:t>
            </w:r>
          </w:p>
        </w:tc>
        <w:tc>
          <w:tcPr>
            <w:tcW w:w="1418" w:type="dxa"/>
          </w:tcPr>
          <w:p>
            <w:pPr>
              <w:pStyle w:val="TableParagraph"/>
              <w:spacing w:line="198" w:lineRule="exact"/>
              <w:ind w:left="53" w:right="10"/>
              <w:jc w:val="center"/>
              <w:rPr>
                <w:sz w:val="18"/>
              </w:rPr>
            </w:pPr>
            <w:r>
              <w:rPr>
                <w:spacing w:val="-2"/>
                <w:sz w:val="18"/>
              </w:rPr>
              <w:t>(25.3664)</w:t>
            </w:r>
          </w:p>
        </w:tc>
        <w:tc>
          <w:tcPr>
            <w:tcW w:w="1406" w:type="dxa"/>
          </w:tcPr>
          <w:p>
            <w:pPr>
              <w:pStyle w:val="TableParagraph"/>
              <w:spacing w:line="198" w:lineRule="exact"/>
              <w:ind w:left="154" w:right="102"/>
              <w:jc w:val="center"/>
              <w:rPr>
                <w:sz w:val="18"/>
              </w:rPr>
            </w:pPr>
            <w:r>
              <w:rPr>
                <w:spacing w:val="-2"/>
                <w:sz w:val="18"/>
              </w:rPr>
              <w:t>(2.15878)</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before="5"/>
              <w:ind w:right="81"/>
              <w:jc w:val="center"/>
              <w:rPr>
                <w:sz w:val="18"/>
              </w:rPr>
            </w:pPr>
            <w:r>
              <w:rPr>
                <w:spacing w:val="-2"/>
                <w:sz w:val="18"/>
              </w:rPr>
              <w:t>D(CPS_GDP)</w:t>
            </w:r>
          </w:p>
        </w:tc>
        <w:tc>
          <w:tcPr>
            <w:tcW w:w="1266" w:type="dxa"/>
          </w:tcPr>
          <w:p>
            <w:pPr>
              <w:pStyle w:val="TableParagraph"/>
              <w:spacing w:before="5"/>
              <w:ind w:left="47" w:right="10"/>
              <w:jc w:val="center"/>
              <w:rPr>
                <w:sz w:val="18"/>
              </w:rPr>
            </w:pPr>
            <w:r>
              <w:rPr>
                <w:spacing w:val="-2"/>
                <w:sz w:val="18"/>
              </w:rPr>
              <w:t>0.000295</w:t>
            </w:r>
          </w:p>
        </w:tc>
        <w:tc>
          <w:tcPr>
            <w:tcW w:w="1561" w:type="dxa"/>
          </w:tcPr>
          <w:p>
            <w:pPr>
              <w:pStyle w:val="TableParagraph"/>
              <w:spacing w:before="5"/>
              <w:ind w:left="48" w:right="48"/>
              <w:jc w:val="center"/>
              <w:rPr>
                <w:sz w:val="18"/>
              </w:rPr>
            </w:pPr>
            <w:r>
              <w:rPr>
                <w:spacing w:val="-2"/>
                <w:sz w:val="18"/>
              </w:rPr>
              <w:t>-0.001151</w:t>
            </w:r>
          </w:p>
        </w:tc>
        <w:tc>
          <w:tcPr>
            <w:tcW w:w="1350" w:type="dxa"/>
          </w:tcPr>
          <w:p>
            <w:pPr>
              <w:pStyle w:val="TableParagraph"/>
              <w:spacing w:before="5"/>
              <w:ind w:left="51" w:right="74"/>
              <w:jc w:val="center"/>
              <w:rPr>
                <w:sz w:val="18"/>
              </w:rPr>
            </w:pPr>
            <w:r>
              <w:rPr>
                <w:spacing w:val="-2"/>
                <w:sz w:val="18"/>
              </w:rPr>
              <w:t>0.044935</w:t>
            </w:r>
          </w:p>
        </w:tc>
        <w:tc>
          <w:tcPr>
            <w:tcW w:w="1418" w:type="dxa"/>
          </w:tcPr>
          <w:p>
            <w:pPr>
              <w:pStyle w:val="TableParagraph"/>
              <w:spacing w:before="5"/>
              <w:ind w:left="53" w:right="10"/>
              <w:jc w:val="center"/>
              <w:rPr>
                <w:sz w:val="18"/>
              </w:rPr>
            </w:pPr>
            <w:r>
              <w:rPr>
                <w:spacing w:val="-2"/>
                <w:sz w:val="18"/>
              </w:rPr>
              <w:t>0.001045</w:t>
            </w:r>
          </w:p>
        </w:tc>
        <w:tc>
          <w:tcPr>
            <w:tcW w:w="1406" w:type="dxa"/>
          </w:tcPr>
          <w:p>
            <w:pPr>
              <w:pStyle w:val="TableParagraph"/>
              <w:spacing w:before="5"/>
              <w:ind w:left="103" w:right="102"/>
              <w:jc w:val="center"/>
              <w:rPr>
                <w:sz w:val="18"/>
              </w:rPr>
            </w:pPr>
            <w:r>
              <w:rPr>
                <w:spacing w:val="-2"/>
                <w:sz w:val="18"/>
              </w:rPr>
              <w:t>-0.004898</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(0.00015)</w:t>
            </w:r>
          </w:p>
        </w:tc>
        <w:tc>
          <w:tcPr>
            <w:tcW w:w="1561" w:type="dxa"/>
          </w:tcPr>
          <w:p>
            <w:pPr>
              <w:pStyle w:val="TableParagraph"/>
              <w:ind w:left="52" w:right="4"/>
              <w:jc w:val="center"/>
              <w:rPr>
                <w:sz w:val="18"/>
              </w:rPr>
            </w:pPr>
            <w:r>
              <w:rPr>
                <w:spacing w:val="-2"/>
                <w:sz w:val="18"/>
              </w:rPr>
              <w:t>(0.00079)</w:t>
            </w:r>
          </w:p>
        </w:tc>
        <w:tc>
          <w:tcPr>
            <w:tcW w:w="1350" w:type="dxa"/>
          </w:tcPr>
          <w:p>
            <w:pPr>
              <w:pStyle w:val="TableParagraph"/>
              <w:ind w:left="52" w:right="74"/>
              <w:jc w:val="center"/>
              <w:rPr>
                <w:sz w:val="18"/>
              </w:rPr>
            </w:pPr>
            <w:r>
              <w:rPr>
                <w:spacing w:val="-2"/>
                <w:sz w:val="18"/>
              </w:rPr>
              <w:t>(0.04846)</w:t>
            </w:r>
          </w:p>
        </w:tc>
        <w:tc>
          <w:tcPr>
            <w:tcW w:w="1418" w:type="dxa"/>
          </w:tcPr>
          <w:p>
            <w:pPr>
              <w:pStyle w:val="TableParagraph"/>
              <w:ind w:left="53" w:right="10"/>
              <w:jc w:val="center"/>
              <w:rPr>
                <w:sz w:val="18"/>
              </w:rPr>
            </w:pPr>
            <w:r>
              <w:rPr>
                <w:spacing w:val="-2"/>
                <w:sz w:val="18"/>
              </w:rPr>
              <w:t>(0.02371)</w:t>
            </w:r>
          </w:p>
        </w:tc>
        <w:tc>
          <w:tcPr>
            <w:tcW w:w="1406" w:type="dxa"/>
          </w:tcPr>
          <w:p>
            <w:pPr>
              <w:pStyle w:val="TableParagraph"/>
              <w:ind w:left="154" w:right="102"/>
              <w:jc w:val="center"/>
              <w:rPr>
                <w:sz w:val="18"/>
              </w:rPr>
            </w:pPr>
            <w:r>
              <w:rPr>
                <w:spacing w:val="-2"/>
                <w:sz w:val="18"/>
              </w:rPr>
              <w:t>(0.00202)</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2" w:right="81"/>
              <w:jc w:val="center"/>
              <w:rPr>
                <w:sz w:val="18"/>
              </w:rPr>
            </w:pPr>
            <w:r>
              <w:rPr>
                <w:spacing w:val="-2"/>
                <w:sz w:val="18"/>
              </w:rPr>
              <w:t>D(INT)</w:t>
            </w:r>
          </w:p>
        </w:tc>
        <w:tc>
          <w:tcPr>
            <w:tcW w:w="1266" w:type="dxa"/>
          </w:tcPr>
          <w:p>
            <w:pPr>
              <w:pStyle w:val="TableParagraph"/>
              <w:ind w:left="38" w:right="48"/>
              <w:jc w:val="center"/>
              <w:rPr>
                <w:sz w:val="18"/>
              </w:rPr>
            </w:pPr>
            <w:r>
              <w:rPr>
                <w:spacing w:val="-2"/>
                <w:sz w:val="18"/>
              </w:rPr>
              <w:t>-0.000639</w:t>
            </w:r>
          </w:p>
        </w:tc>
        <w:tc>
          <w:tcPr>
            <w:tcW w:w="1561" w:type="dxa"/>
          </w:tcPr>
          <w:p>
            <w:pPr>
              <w:pStyle w:val="TableParagraph"/>
              <w:ind w:left="51" w:right="4"/>
              <w:jc w:val="center"/>
              <w:rPr>
                <w:sz w:val="18"/>
              </w:rPr>
            </w:pPr>
            <w:r>
              <w:rPr>
                <w:spacing w:val="-2"/>
                <w:sz w:val="18"/>
              </w:rPr>
              <w:t>0.001802</w:t>
            </w:r>
          </w:p>
        </w:tc>
        <w:tc>
          <w:tcPr>
            <w:tcW w:w="1350" w:type="dxa"/>
          </w:tcPr>
          <w:p>
            <w:pPr>
              <w:pStyle w:val="TableParagraph"/>
              <w:ind w:left="51" w:right="74"/>
              <w:jc w:val="center"/>
              <w:rPr>
                <w:sz w:val="18"/>
              </w:rPr>
            </w:pPr>
            <w:r>
              <w:rPr>
                <w:spacing w:val="-2"/>
                <w:sz w:val="18"/>
              </w:rPr>
              <w:t>0.195163</w:t>
            </w:r>
          </w:p>
        </w:tc>
        <w:tc>
          <w:tcPr>
            <w:tcW w:w="1418" w:type="dxa"/>
          </w:tcPr>
          <w:p>
            <w:pPr>
              <w:pStyle w:val="TableParagraph"/>
              <w:ind w:left="53" w:right="10"/>
              <w:jc w:val="center"/>
              <w:rPr>
                <w:sz w:val="18"/>
              </w:rPr>
            </w:pPr>
            <w:r>
              <w:rPr>
                <w:spacing w:val="-2"/>
                <w:sz w:val="18"/>
              </w:rPr>
              <w:t>0.109478</w:t>
            </w:r>
          </w:p>
        </w:tc>
        <w:tc>
          <w:tcPr>
            <w:tcW w:w="1406" w:type="dxa"/>
          </w:tcPr>
          <w:p>
            <w:pPr>
              <w:pStyle w:val="TableParagraph"/>
              <w:ind w:left="103" w:right="102"/>
              <w:jc w:val="center"/>
              <w:rPr>
                <w:sz w:val="18"/>
              </w:rPr>
            </w:pPr>
            <w:r>
              <w:rPr>
                <w:spacing w:val="-2"/>
                <w:sz w:val="18"/>
              </w:rPr>
              <w:t>-0.002346</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198" w:lineRule="exact"/>
              <w:ind w:left="48" w:right="10"/>
              <w:jc w:val="center"/>
              <w:rPr>
                <w:sz w:val="18"/>
              </w:rPr>
            </w:pPr>
            <w:r>
              <w:rPr>
                <w:spacing w:val="-2"/>
                <w:sz w:val="18"/>
              </w:rPr>
              <w:t>(0.00044)</w:t>
            </w:r>
          </w:p>
        </w:tc>
        <w:tc>
          <w:tcPr>
            <w:tcW w:w="1561" w:type="dxa"/>
          </w:tcPr>
          <w:p>
            <w:pPr>
              <w:pStyle w:val="TableParagraph"/>
              <w:spacing w:line="198" w:lineRule="exact"/>
              <w:ind w:left="52" w:right="4"/>
              <w:jc w:val="center"/>
              <w:rPr>
                <w:sz w:val="18"/>
              </w:rPr>
            </w:pPr>
            <w:r>
              <w:rPr>
                <w:spacing w:val="-2"/>
                <w:sz w:val="18"/>
              </w:rPr>
              <w:t>(0.00234)</w:t>
            </w:r>
          </w:p>
        </w:tc>
        <w:tc>
          <w:tcPr>
            <w:tcW w:w="1350" w:type="dxa"/>
          </w:tcPr>
          <w:p>
            <w:pPr>
              <w:pStyle w:val="TableParagraph"/>
              <w:spacing w:line="198" w:lineRule="exact"/>
              <w:ind w:left="52" w:right="74"/>
              <w:jc w:val="center"/>
              <w:rPr>
                <w:sz w:val="18"/>
              </w:rPr>
            </w:pPr>
            <w:r>
              <w:rPr>
                <w:spacing w:val="-2"/>
                <w:sz w:val="18"/>
              </w:rPr>
              <w:t>(0.14295)</w:t>
            </w:r>
          </w:p>
        </w:tc>
        <w:tc>
          <w:tcPr>
            <w:tcW w:w="1418" w:type="dxa"/>
          </w:tcPr>
          <w:p>
            <w:pPr>
              <w:pStyle w:val="TableParagraph"/>
              <w:spacing w:line="198" w:lineRule="exact"/>
              <w:ind w:left="53" w:right="10"/>
              <w:jc w:val="center"/>
              <w:rPr>
                <w:sz w:val="18"/>
              </w:rPr>
            </w:pPr>
            <w:r>
              <w:rPr>
                <w:spacing w:val="-2"/>
                <w:sz w:val="18"/>
              </w:rPr>
              <w:t>(0.06996)</w:t>
            </w:r>
          </w:p>
        </w:tc>
        <w:tc>
          <w:tcPr>
            <w:tcW w:w="1406" w:type="dxa"/>
          </w:tcPr>
          <w:p>
            <w:pPr>
              <w:pStyle w:val="TableParagraph"/>
              <w:spacing w:line="198" w:lineRule="exact"/>
              <w:ind w:left="154" w:right="102"/>
              <w:jc w:val="center"/>
              <w:rPr>
                <w:sz w:val="18"/>
              </w:rPr>
            </w:pPr>
            <w:r>
              <w:rPr>
                <w:spacing w:val="-2"/>
                <w:sz w:val="18"/>
              </w:rPr>
              <w:t>(0.00595)</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before="5"/>
              <w:ind w:right="81"/>
              <w:jc w:val="center"/>
              <w:rPr>
                <w:sz w:val="18"/>
              </w:rPr>
            </w:pPr>
            <w:r>
              <w:rPr>
                <w:spacing w:val="-2"/>
                <w:sz w:val="18"/>
              </w:rPr>
              <w:t>D(EXCH)</w:t>
            </w:r>
          </w:p>
        </w:tc>
        <w:tc>
          <w:tcPr>
            <w:tcW w:w="1266" w:type="dxa"/>
          </w:tcPr>
          <w:p>
            <w:pPr>
              <w:pStyle w:val="TableParagraph"/>
              <w:spacing w:before="5"/>
              <w:ind w:left="47" w:right="10"/>
              <w:jc w:val="center"/>
              <w:rPr>
                <w:sz w:val="18"/>
              </w:rPr>
            </w:pPr>
            <w:r>
              <w:rPr>
                <w:spacing w:val="-2"/>
                <w:sz w:val="18"/>
              </w:rPr>
              <w:t>0.001547</w:t>
            </w:r>
          </w:p>
        </w:tc>
        <w:tc>
          <w:tcPr>
            <w:tcW w:w="1561" w:type="dxa"/>
          </w:tcPr>
          <w:p>
            <w:pPr>
              <w:pStyle w:val="TableParagraph"/>
              <w:spacing w:before="5"/>
              <w:ind w:left="48" w:right="48"/>
              <w:jc w:val="center"/>
              <w:rPr>
                <w:sz w:val="18"/>
              </w:rPr>
            </w:pPr>
            <w:r>
              <w:rPr>
                <w:spacing w:val="-2"/>
                <w:sz w:val="18"/>
              </w:rPr>
              <w:t>-0.016300</w:t>
            </w:r>
          </w:p>
        </w:tc>
        <w:tc>
          <w:tcPr>
            <w:tcW w:w="1350" w:type="dxa"/>
          </w:tcPr>
          <w:p>
            <w:pPr>
              <w:pStyle w:val="TableParagraph"/>
              <w:spacing w:before="5"/>
              <w:ind w:left="1" w:right="74"/>
              <w:jc w:val="center"/>
              <w:rPr>
                <w:sz w:val="18"/>
              </w:rPr>
            </w:pPr>
            <w:r>
              <w:rPr>
                <w:spacing w:val="-2"/>
                <w:sz w:val="18"/>
              </w:rPr>
              <w:t>-0.019489</w:t>
            </w:r>
          </w:p>
        </w:tc>
        <w:tc>
          <w:tcPr>
            <w:tcW w:w="1418" w:type="dxa"/>
          </w:tcPr>
          <w:p>
            <w:pPr>
              <w:pStyle w:val="TableParagraph"/>
              <w:spacing w:before="5"/>
              <w:ind w:left="53" w:right="10"/>
              <w:jc w:val="center"/>
              <w:rPr>
                <w:sz w:val="18"/>
              </w:rPr>
            </w:pPr>
            <w:r>
              <w:rPr>
                <w:spacing w:val="-2"/>
                <w:sz w:val="18"/>
              </w:rPr>
              <w:t>0.211865</w:t>
            </w:r>
          </w:p>
        </w:tc>
        <w:tc>
          <w:tcPr>
            <w:tcW w:w="1406" w:type="dxa"/>
          </w:tcPr>
          <w:p>
            <w:pPr>
              <w:pStyle w:val="TableParagraph"/>
              <w:spacing w:before="5"/>
              <w:ind w:left="154" w:right="102"/>
              <w:jc w:val="center"/>
              <w:rPr>
                <w:sz w:val="18"/>
              </w:rPr>
            </w:pPr>
            <w:r>
              <w:rPr>
                <w:spacing w:val="-2"/>
                <w:sz w:val="18"/>
              </w:rPr>
              <w:t>0.029963</w:t>
            </w: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303" w:hRule="atLeast"/>
        </w:trPr>
        <w:tc>
          <w:tcPr>
            <w:tcW w:w="1467" w:type="dxa"/>
            <w:tcBorders>
              <w:bottom w:val="double" w:sz="6" w:space="0" w:color="000000"/>
            </w:tcBorders>
          </w:tcPr>
          <w:p>
            <w:pPr>
              <w:pStyle w:val="TableParagraph"/>
              <w:spacing w:line="240" w:lineRule="auto" w:before="0"/>
              <w:rPr>
                <w:rFonts w:ascii="Times New Roman"/>
                <w:sz w:val="18"/>
              </w:rPr>
            </w:pPr>
          </w:p>
        </w:tc>
        <w:tc>
          <w:tcPr>
            <w:tcW w:w="1266" w:type="dxa"/>
            <w:tcBorders>
              <w:bottom w:val="double" w:sz="6" w:space="0" w:color="000000"/>
            </w:tcBorders>
          </w:tcPr>
          <w:p>
            <w:pPr>
              <w:pStyle w:val="TableParagraph"/>
              <w:spacing w:line="240" w:lineRule="auto"/>
              <w:ind w:left="48" w:right="10"/>
              <w:jc w:val="center"/>
              <w:rPr>
                <w:sz w:val="18"/>
              </w:rPr>
            </w:pPr>
            <w:r>
              <w:rPr>
                <w:spacing w:val="-2"/>
                <w:sz w:val="18"/>
              </w:rPr>
              <w:t>(0.00150)</w:t>
            </w:r>
          </w:p>
        </w:tc>
        <w:tc>
          <w:tcPr>
            <w:tcW w:w="1561" w:type="dxa"/>
            <w:tcBorders>
              <w:bottom w:val="double" w:sz="6" w:space="0" w:color="000000"/>
            </w:tcBorders>
          </w:tcPr>
          <w:p>
            <w:pPr>
              <w:pStyle w:val="TableParagraph"/>
              <w:spacing w:line="240" w:lineRule="auto"/>
              <w:ind w:left="52" w:right="4"/>
              <w:jc w:val="center"/>
              <w:rPr>
                <w:sz w:val="18"/>
              </w:rPr>
            </w:pPr>
            <w:r>
              <w:rPr>
                <w:spacing w:val="-2"/>
                <w:sz w:val="18"/>
              </w:rPr>
              <w:t>(0.00792)</w:t>
            </w:r>
          </w:p>
        </w:tc>
        <w:tc>
          <w:tcPr>
            <w:tcW w:w="1350" w:type="dxa"/>
            <w:tcBorders>
              <w:bottom w:val="double" w:sz="6" w:space="0" w:color="000000"/>
            </w:tcBorders>
          </w:tcPr>
          <w:p>
            <w:pPr>
              <w:pStyle w:val="TableParagraph"/>
              <w:spacing w:line="240" w:lineRule="auto"/>
              <w:ind w:left="52" w:right="74"/>
              <w:jc w:val="center"/>
              <w:rPr>
                <w:sz w:val="18"/>
              </w:rPr>
            </w:pPr>
            <w:r>
              <w:rPr>
                <w:spacing w:val="-2"/>
                <w:sz w:val="18"/>
              </w:rPr>
              <w:t>(0.48297)</w:t>
            </w:r>
          </w:p>
        </w:tc>
        <w:tc>
          <w:tcPr>
            <w:tcW w:w="1418" w:type="dxa"/>
            <w:tcBorders>
              <w:bottom w:val="double" w:sz="6" w:space="0" w:color="000000"/>
            </w:tcBorders>
          </w:tcPr>
          <w:p>
            <w:pPr>
              <w:pStyle w:val="TableParagraph"/>
              <w:spacing w:line="240" w:lineRule="auto"/>
              <w:ind w:left="53" w:right="10"/>
              <w:jc w:val="center"/>
              <w:rPr>
                <w:sz w:val="18"/>
              </w:rPr>
            </w:pPr>
            <w:r>
              <w:rPr>
                <w:spacing w:val="-2"/>
                <w:sz w:val="18"/>
              </w:rPr>
              <w:t>(0.23635)</w:t>
            </w:r>
          </w:p>
        </w:tc>
        <w:tc>
          <w:tcPr>
            <w:tcW w:w="1406" w:type="dxa"/>
            <w:tcBorders>
              <w:bottom w:val="double" w:sz="6" w:space="0" w:color="000000"/>
            </w:tcBorders>
          </w:tcPr>
          <w:p>
            <w:pPr>
              <w:pStyle w:val="TableParagraph"/>
              <w:spacing w:line="240" w:lineRule="auto"/>
              <w:ind w:left="154" w:right="102"/>
              <w:jc w:val="center"/>
              <w:rPr>
                <w:sz w:val="18"/>
              </w:rPr>
            </w:pPr>
            <w:r>
              <w:rPr>
                <w:spacing w:val="-2"/>
                <w:sz w:val="18"/>
              </w:rPr>
              <w:t>(0.02011)</w:t>
            </w:r>
          </w:p>
        </w:tc>
        <w:tc>
          <w:tcPr>
            <w:tcW w:w="1439" w:type="dxa"/>
            <w:tcBorders>
              <w:bottom w:val="double" w:sz="6" w:space="0" w:color="000000"/>
            </w:tcBorders>
          </w:tcPr>
          <w:p>
            <w:pPr>
              <w:pStyle w:val="TableParagraph"/>
              <w:spacing w:line="240" w:lineRule="auto" w:before="0"/>
              <w:rPr>
                <w:rFonts w:ascii="Times New Roman"/>
                <w:sz w:val="18"/>
              </w:rPr>
            </w:pPr>
          </w:p>
        </w:tc>
        <w:tc>
          <w:tcPr>
            <w:tcW w:w="1409" w:type="dxa"/>
            <w:tcBorders>
              <w:bottom w:val="double" w:sz="6" w:space="0" w:color="000000"/>
            </w:tcBorders>
          </w:tcPr>
          <w:p>
            <w:pPr>
              <w:pStyle w:val="TableParagraph"/>
              <w:spacing w:line="240" w:lineRule="auto" w:before="0"/>
              <w:rPr>
                <w:rFonts w:ascii="Times New Roman"/>
                <w:sz w:val="18"/>
              </w:rPr>
            </w:pPr>
          </w:p>
        </w:tc>
        <w:tc>
          <w:tcPr>
            <w:tcW w:w="2834" w:type="dxa"/>
            <w:tcBorders>
              <w:bottom w:val="double" w:sz="6" w:space="0" w:color="000000"/>
            </w:tcBorders>
          </w:tcPr>
          <w:p>
            <w:pPr>
              <w:pStyle w:val="TableParagraph"/>
              <w:spacing w:line="240" w:lineRule="auto" w:before="0"/>
              <w:rPr>
                <w:rFonts w:ascii="Times New Roman"/>
                <w:sz w:val="18"/>
              </w:rPr>
            </w:pPr>
          </w:p>
        </w:tc>
      </w:tr>
      <w:tr>
        <w:trPr>
          <w:trHeight w:val="629" w:hRule="atLeast"/>
        </w:trPr>
        <w:tc>
          <w:tcPr>
            <w:tcW w:w="2733" w:type="dxa"/>
            <w:gridSpan w:val="2"/>
            <w:tcBorders>
              <w:top w:val="double" w:sz="6" w:space="0" w:color="000000"/>
              <w:bottom w:val="double" w:sz="6" w:space="0" w:color="000000"/>
            </w:tcBorders>
          </w:tcPr>
          <w:p>
            <w:pPr>
              <w:pStyle w:val="TableParagraph"/>
              <w:spacing w:line="240" w:lineRule="auto" w:before="124"/>
              <w:rPr>
                <w:rFonts w:ascii="Times New Roman"/>
                <w:b/>
                <w:sz w:val="18"/>
              </w:rPr>
            </w:pPr>
          </w:p>
          <w:p>
            <w:pPr>
              <w:pStyle w:val="TableParagraph"/>
              <w:spacing w:line="240" w:lineRule="auto" w:before="1"/>
              <w:rPr>
                <w:sz w:val="18"/>
              </w:rPr>
            </w:pPr>
            <w:r>
              <w:rPr>
                <w:sz w:val="18"/>
              </w:rPr>
              <w:t>6</w:t>
            </w:r>
            <w:r>
              <w:rPr>
                <w:spacing w:val="-5"/>
                <w:sz w:val="18"/>
              </w:rPr>
              <w:t> </w:t>
            </w:r>
            <w:r>
              <w:rPr>
                <w:sz w:val="18"/>
              </w:rPr>
              <w:t>Cointegrating</w:t>
            </w:r>
            <w:r>
              <w:rPr>
                <w:spacing w:val="-5"/>
                <w:sz w:val="18"/>
              </w:rPr>
              <w:t> </w:t>
            </w:r>
            <w:r>
              <w:rPr>
                <w:spacing w:val="-2"/>
                <w:sz w:val="18"/>
              </w:rPr>
              <w:t>Equation(s):</w:t>
            </w:r>
          </w:p>
        </w:tc>
        <w:tc>
          <w:tcPr>
            <w:tcW w:w="1561" w:type="dxa"/>
            <w:tcBorders>
              <w:top w:val="double" w:sz="6" w:space="0" w:color="000000"/>
              <w:bottom w:val="double" w:sz="6" w:space="0" w:color="000000"/>
            </w:tcBorders>
          </w:tcPr>
          <w:p>
            <w:pPr>
              <w:pStyle w:val="TableParagraph"/>
              <w:spacing w:line="240" w:lineRule="auto" w:before="124"/>
              <w:rPr>
                <w:rFonts w:ascii="Times New Roman"/>
                <w:b/>
                <w:sz w:val="18"/>
              </w:rPr>
            </w:pPr>
          </w:p>
          <w:p>
            <w:pPr>
              <w:pStyle w:val="TableParagraph"/>
              <w:spacing w:line="240" w:lineRule="auto" w:before="1"/>
              <w:ind w:left="48" w:right="51"/>
              <w:jc w:val="center"/>
              <w:rPr>
                <w:sz w:val="18"/>
              </w:rPr>
            </w:pPr>
            <w:r>
              <w:rPr>
                <w:sz w:val="18"/>
              </w:rPr>
              <w:t>Log</w:t>
            </w:r>
            <w:r>
              <w:rPr>
                <w:spacing w:val="-3"/>
                <w:sz w:val="18"/>
              </w:rPr>
              <w:t> </w:t>
            </w:r>
            <w:r>
              <w:rPr>
                <w:spacing w:val="-2"/>
                <w:sz w:val="18"/>
              </w:rPr>
              <w:t>likelihood</w:t>
            </w:r>
          </w:p>
        </w:tc>
        <w:tc>
          <w:tcPr>
            <w:tcW w:w="1350" w:type="dxa"/>
            <w:tcBorders>
              <w:top w:val="double" w:sz="6" w:space="0" w:color="000000"/>
              <w:bottom w:val="double" w:sz="6" w:space="0" w:color="000000"/>
            </w:tcBorders>
          </w:tcPr>
          <w:p>
            <w:pPr>
              <w:pStyle w:val="TableParagraph"/>
              <w:spacing w:line="240" w:lineRule="auto" w:before="124"/>
              <w:rPr>
                <w:rFonts w:ascii="Times New Roman"/>
                <w:b/>
                <w:sz w:val="18"/>
              </w:rPr>
            </w:pPr>
          </w:p>
          <w:p>
            <w:pPr>
              <w:pStyle w:val="TableParagraph"/>
              <w:spacing w:line="240" w:lineRule="auto" w:before="1"/>
              <w:ind w:right="74"/>
              <w:jc w:val="center"/>
              <w:rPr>
                <w:sz w:val="18"/>
              </w:rPr>
            </w:pPr>
            <w:r>
              <w:rPr>
                <w:spacing w:val="-2"/>
                <w:sz w:val="18"/>
              </w:rPr>
              <w:t>-1369.794</w:t>
            </w:r>
          </w:p>
        </w:tc>
        <w:tc>
          <w:tcPr>
            <w:tcW w:w="1418"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06"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39"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09"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834" w:type="dxa"/>
            <w:tcBorders>
              <w:top w:val="double" w:sz="6" w:space="0" w:color="000000"/>
              <w:bottom w:val="double" w:sz="6" w:space="0" w:color="000000"/>
            </w:tcBorders>
          </w:tcPr>
          <w:p>
            <w:pPr>
              <w:pStyle w:val="TableParagraph"/>
              <w:spacing w:line="240" w:lineRule="auto" w:before="0"/>
              <w:rPr>
                <w:rFonts w:ascii="Times New Roman"/>
                <w:sz w:val="18"/>
              </w:rPr>
            </w:pPr>
          </w:p>
        </w:tc>
      </w:tr>
      <w:tr>
        <w:trPr>
          <w:trHeight w:val="327" w:hRule="atLeast"/>
        </w:trPr>
        <w:tc>
          <w:tcPr>
            <w:tcW w:w="14150" w:type="dxa"/>
            <w:gridSpan w:val="9"/>
            <w:tcBorders>
              <w:top w:val="double" w:sz="6" w:space="0" w:color="000000"/>
            </w:tcBorders>
          </w:tcPr>
          <w:p>
            <w:pPr>
              <w:pStyle w:val="TableParagraph"/>
              <w:spacing w:before="108"/>
              <w:rPr>
                <w:sz w:val="18"/>
              </w:rPr>
            </w:pPr>
            <w:r>
              <w:rPr>
                <w:sz w:val="18"/>
              </w:rPr>
              <w:t>Normalized</w:t>
            </w:r>
            <w:r>
              <w:rPr>
                <w:spacing w:val="-11"/>
                <w:sz w:val="18"/>
              </w:rPr>
              <w:t> </w:t>
            </w:r>
            <w:r>
              <w:rPr>
                <w:sz w:val="18"/>
              </w:rPr>
              <w:t>cointegrating</w:t>
            </w:r>
            <w:r>
              <w:rPr>
                <w:spacing w:val="-12"/>
                <w:sz w:val="18"/>
              </w:rPr>
              <w:t> </w:t>
            </w:r>
            <w:r>
              <w:rPr>
                <w:sz w:val="18"/>
              </w:rPr>
              <w:t>coefficients</w:t>
            </w:r>
            <w:r>
              <w:rPr>
                <w:spacing w:val="-12"/>
                <w:sz w:val="18"/>
              </w:rPr>
              <w:t> </w:t>
            </w:r>
            <w:r>
              <w:rPr>
                <w:sz w:val="18"/>
              </w:rPr>
              <w:t>(standard</w:t>
            </w:r>
            <w:r>
              <w:rPr>
                <w:spacing w:val="-10"/>
                <w:sz w:val="18"/>
              </w:rPr>
              <w:t> </w:t>
            </w:r>
            <w:r>
              <w:rPr>
                <w:sz w:val="18"/>
              </w:rPr>
              <w:t>error</w:t>
            </w:r>
            <w:r>
              <w:rPr>
                <w:spacing w:val="-13"/>
                <w:sz w:val="18"/>
              </w:rPr>
              <w:t> </w:t>
            </w:r>
            <w:r>
              <w:rPr>
                <w:sz w:val="18"/>
              </w:rPr>
              <w:t>in</w:t>
            </w:r>
            <w:r>
              <w:rPr>
                <w:spacing w:val="-12"/>
                <w:sz w:val="18"/>
              </w:rPr>
              <w:t> </w:t>
            </w:r>
            <w:r>
              <w:rPr>
                <w:spacing w:val="-2"/>
                <w:sz w:val="18"/>
              </w:rPr>
              <w:t>parentheses)</w:t>
            </w:r>
          </w:p>
        </w:tc>
      </w:tr>
      <w:tr>
        <w:trPr>
          <w:trHeight w:val="224" w:hRule="atLeast"/>
        </w:trPr>
        <w:tc>
          <w:tcPr>
            <w:tcW w:w="1467" w:type="dxa"/>
          </w:tcPr>
          <w:p>
            <w:pPr>
              <w:pStyle w:val="TableParagraph"/>
              <w:spacing w:line="198" w:lineRule="exact"/>
              <w:ind w:right="81"/>
              <w:jc w:val="center"/>
              <w:rPr>
                <w:sz w:val="18"/>
              </w:rPr>
            </w:pPr>
            <w:r>
              <w:rPr>
                <w:spacing w:val="-4"/>
                <w:sz w:val="18"/>
              </w:rPr>
              <w:t>RGDP</w:t>
            </w:r>
          </w:p>
        </w:tc>
        <w:tc>
          <w:tcPr>
            <w:tcW w:w="1266" w:type="dxa"/>
          </w:tcPr>
          <w:p>
            <w:pPr>
              <w:pStyle w:val="TableParagraph"/>
              <w:spacing w:line="198" w:lineRule="exact"/>
              <w:ind w:left="38" w:right="47"/>
              <w:jc w:val="center"/>
              <w:rPr>
                <w:sz w:val="18"/>
              </w:rPr>
            </w:pPr>
            <w:r>
              <w:rPr>
                <w:spacing w:val="-5"/>
                <w:sz w:val="18"/>
              </w:rPr>
              <w:t>FDI</w:t>
            </w:r>
          </w:p>
        </w:tc>
        <w:tc>
          <w:tcPr>
            <w:tcW w:w="1561" w:type="dxa"/>
          </w:tcPr>
          <w:p>
            <w:pPr>
              <w:pStyle w:val="TableParagraph"/>
              <w:spacing w:line="198" w:lineRule="exact"/>
              <w:ind w:left="48" w:right="52"/>
              <w:jc w:val="center"/>
              <w:rPr>
                <w:sz w:val="18"/>
              </w:rPr>
            </w:pPr>
            <w:r>
              <w:rPr>
                <w:spacing w:val="-5"/>
                <w:sz w:val="18"/>
              </w:rPr>
              <w:t>FPI</w:t>
            </w:r>
          </w:p>
        </w:tc>
        <w:tc>
          <w:tcPr>
            <w:tcW w:w="1350" w:type="dxa"/>
          </w:tcPr>
          <w:p>
            <w:pPr>
              <w:pStyle w:val="TableParagraph"/>
              <w:spacing w:line="198" w:lineRule="exact"/>
              <w:ind w:right="74"/>
              <w:jc w:val="center"/>
              <w:rPr>
                <w:sz w:val="18"/>
              </w:rPr>
            </w:pPr>
            <w:r>
              <w:rPr>
                <w:spacing w:val="-5"/>
                <w:sz w:val="18"/>
              </w:rPr>
              <w:t>TOP</w:t>
            </w:r>
          </w:p>
        </w:tc>
        <w:tc>
          <w:tcPr>
            <w:tcW w:w="1418" w:type="dxa"/>
          </w:tcPr>
          <w:p>
            <w:pPr>
              <w:pStyle w:val="TableParagraph"/>
              <w:spacing w:line="198" w:lineRule="exact"/>
              <w:ind w:left="43" w:right="52"/>
              <w:jc w:val="center"/>
              <w:rPr>
                <w:sz w:val="18"/>
              </w:rPr>
            </w:pPr>
            <w:r>
              <w:rPr>
                <w:spacing w:val="-5"/>
                <w:sz w:val="18"/>
              </w:rPr>
              <w:t>REM</w:t>
            </w:r>
          </w:p>
        </w:tc>
        <w:tc>
          <w:tcPr>
            <w:tcW w:w="1406" w:type="dxa"/>
          </w:tcPr>
          <w:p>
            <w:pPr>
              <w:pStyle w:val="TableParagraph"/>
              <w:spacing w:line="198" w:lineRule="exact"/>
              <w:ind w:left="103" w:right="102"/>
              <w:jc w:val="center"/>
              <w:rPr>
                <w:sz w:val="18"/>
              </w:rPr>
            </w:pPr>
            <w:r>
              <w:rPr>
                <w:spacing w:val="-5"/>
                <w:sz w:val="18"/>
              </w:rPr>
              <w:t>ODA</w:t>
            </w:r>
          </w:p>
        </w:tc>
        <w:tc>
          <w:tcPr>
            <w:tcW w:w="1439" w:type="dxa"/>
          </w:tcPr>
          <w:p>
            <w:pPr>
              <w:pStyle w:val="TableParagraph"/>
              <w:spacing w:line="198" w:lineRule="exact"/>
              <w:ind w:left="44" w:right="48"/>
              <w:jc w:val="center"/>
              <w:rPr>
                <w:sz w:val="18"/>
              </w:rPr>
            </w:pPr>
            <w:r>
              <w:rPr>
                <w:spacing w:val="-2"/>
                <w:sz w:val="18"/>
              </w:rPr>
              <w:t>CPS_GDP</w:t>
            </w:r>
          </w:p>
        </w:tc>
        <w:tc>
          <w:tcPr>
            <w:tcW w:w="1409" w:type="dxa"/>
          </w:tcPr>
          <w:p>
            <w:pPr>
              <w:pStyle w:val="TableParagraph"/>
              <w:spacing w:line="198" w:lineRule="exact"/>
              <w:ind w:left="56" w:right="74"/>
              <w:jc w:val="center"/>
              <w:rPr>
                <w:sz w:val="18"/>
              </w:rPr>
            </w:pPr>
            <w:r>
              <w:rPr>
                <w:spacing w:val="-5"/>
                <w:sz w:val="18"/>
              </w:rPr>
              <w:t>INT</w:t>
            </w:r>
          </w:p>
        </w:tc>
        <w:tc>
          <w:tcPr>
            <w:tcW w:w="2834" w:type="dxa"/>
          </w:tcPr>
          <w:p>
            <w:pPr>
              <w:pStyle w:val="TableParagraph"/>
              <w:spacing w:line="198" w:lineRule="exact"/>
              <w:ind w:right="1425"/>
              <w:jc w:val="center"/>
              <w:rPr>
                <w:sz w:val="18"/>
              </w:rPr>
            </w:pPr>
            <w:r>
              <w:rPr>
                <w:spacing w:val="-4"/>
                <w:sz w:val="18"/>
              </w:rPr>
              <w:t>EXCH</w:t>
            </w:r>
          </w:p>
        </w:tc>
      </w:tr>
      <w:tr>
        <w:trPr>
          <w:trHeight w:val="224" w:hRule="atLeast"/>
        </w:trPr>
        <w:tc>
          <w:tcPr>
            <w:tcW w:w="1467" w:type="dxa"/>
          </w:tcPr>
          <w:p>
            <w:pPr>
              <w:pStyle w:val="TableParagraph"/>
              <w:spacing w:before="5"/>
              <w:ind w:left="56" w:right="81"/>
              <w:jc w:val="center"/>
              <w:rPr>
                <w:sz w:val="18"/>
              </w:rPr>
            </w:pPr>
            <w:r>
              <w:rPr>
                <w:spacing w:val="-2"/>
                <w:sz w:val="18"/>
              </w:rPr>
              <w:t>1.000000</w:t>
            </w:r>
          </w:p>
        </w:tc>
        <w:tc>
          <w:tcPr>
            <w:tcW w:w="1266" w:type="dxa"/>
          </w:tcPr>
          <w:p>
            <w:pPr>
              <w:pStyle w:val="TableParagraph"/>
              <w:spacing w:before="5"/>
              <w:ind w:left="47" w:right="10"/>
              <w:jc w:val="center"/>
              <w:rPr>
                <w:sz w:val="18"/>
              </w:rPr>
            </w:pPr>
            <w:r>
              <w:rPr>
                <w:spacing w:val="-2"/>
                <w:sz w:val="18"/>
              </w:rPr>
              <w:t>0.000000</w:t>
            </w:r>
          </w:p>
        </w:tc>
        <w:tc>
          <w:tcPr>
            <w:tcW w:w="1561" w:type="dxa"/>
          </w:tcPr>
          <w:p>
            <w:pPr>
              <w:pStyle w:val="TableParagraph"/>
              <w:spacing w:before="5"/>
              <w:ind w:left="51" w:right="4"/>
              <w:jc w:val="center"/>
              <w:rPr>
                <w:sz w:val="18"/>
              </w:rPr>
            </w:pPr>
            <w:r>
              <w:rPr>
                <w:spacing w:val="-2"/>
                <w:sz w:val="18"/>
              </w:rPr>
              <w:t>0.000000</w:t>
            </w:r>
          </w:p>
        </w:tc>
        <w:tc>
          <w:tcPr>
            <w:tcW w:w="1350" w:type="dxa"/>
          </w:tcPr>
          <w:p>
            <w:pPr>
              <w:pStyle w:val="TableParagraph"/>
              <w:spacing w:before="5"/>
              <w:ind w:left="51" w:right="74"/>
              <w:jc w:val="center"/>
              <w:rPr>
                <w:sz w:val="18"/>
              </w:rPr>
            </w:pPr>
            <w:r>
              <w:rPr>
                <w:spacing w:val="-2"/>
                <w:sz w:val="18"/>
              </w:rPr>
              <w:t>0.000000</w:t>
            </w:r>
          </w:p>
        </w:tc>
        <w:tc>
          <w:tcPr>
            <w:tcW w:w="1418" w:type="dxa"/>
          </w:tcPr>
          <w:p>
            <w:pPr>
              <w:pStyle w:val="TableParagraph"/>
              <w:spacing w:before="5"/>
              <w:ind w:left="53" w:right="10"/>
              <w:jc w:val="center"/>
              <w:rPr>
                <w:sz w:val="18"/>
              </w:rPr>
            </w:pPr>
            <w:r>
              <w:rPr>
                <w:spacing w:val="-2"/>
                <w:sz w:val="18"/>
              </w:rPr>
              <w:t>0.000000</w:t>
            </w:r>
          </w:p>
        </w:tc>
        <w:tc>
          <w:tcPr>
            <w:tcW w:w="1406" w:type="dxa"/>
          </w:tcPr>
          <w:p>
            <w:pPr>
              <w:pStyle w:val="TableParagraph"/>
              <w:spacing w:before="5"/>
              <w:ind w:left="154" w:right="102"/>
              <w:jc w:val="center"/>
              <w:rPr>
                <w:sz w:val="18"/>
              </w:rPr>
            </w:pPr>
            <w:r>
              <w:rPr>
                <w:spacing w:val="-2"/>
                <w:sz w:val="18"/>
              </w:rPr>
              <w:t>0.000000</w:t>
            </w:r>
          </w:p>
        </w:tc>
        <w:tc>
          <w:tcPr>
            <w:tcW w:w="1439" w:type="dxa"/>
          </w:tcPr>
          <w:p>
            <w:pPr>
              <w:pStyle w:val="TableParagraph"/>
              <w:spacing w:before="5"/>
              <w:ind w:left="44" w:right="48"/>
              <w:jc w:val="center"/>
              <w:rPr>
                <w:sz w:val="18"/>
              </w:rPr>
            </w:pPr>
            <w:r>
              <w:rPr>
                <w:spacing w:val="-2"/>
                <w:sz w:val="18"/>
              </w:rPr>
              <w:t>-2320.958</w:t>
            </w:r>
          </w:p>
        </w:tc>
        <w:tc>
          <w:tcPr>
            <w:tcW w:w="1409" w:type="dxa"/>
          </w:tcPr>
          <w:p>
            <w:pPr>
              <w:pStyle w:val="TableParagraph"/>
              <w:spacing w:before="5"/>
              <w:ind w:left="56" w:right="27"/>
              <w:jc w:val="center"/>
              <w:rPr>
                <w:sz w:val="18"/>
              </w:rPr>
            </w:pPr>
            <w:r>
              <w:rPr>
                <w:spacing w:val="-2"/>
                <w:sz w:val="18"/>
              </w:rPr>
              <w:t>264.9487</w:t>
            </w:r>
          </w:p>
        </w:tc>
        <w:tc>
          <w:tcPr>
            <w:tcW w:w="2834" w:type="dxa"/>
          </w:tcPr>
          <w:p>
            <w:pPr>
              <w:pStyle w:val="TableParagraph"/>
              <w:spacing w:before="5"/>
              <w:ind w:right="1425"/>
              <w:jc w:val="center"/>
              <w:rPr>
                <w:sz w:val="18"/>
              </w:rPr>
            </w:pPr>
            <w:r>
              <w:rPr>
                <w:spacing w:val="-2"/>
                <w:sz w:val="18"/>
              </w:rPr>
              <w:t>-108.8369</w:t>
            </w: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ind w:left="51" w:right="7"/>
              <w:jc w:val="center"/>
              <w:rPr>
                <w:sz w:val="18"/>
              </w:rPr>
            </w:pPr>
            <w:r>
              <w:rPr>
                <w:spacing w:val="-2"/>
                <w:sz w:val="18"/>
              </w:rPr>
              <w:t>(127.211)</w:t>
            </w:r>
          </w:p>
        </w:tc>
        <w:tc>
          <w:tcPr>
            <w:tcW w:w="1409" w:type="dxa"/>
          </w:tcPr>
          <w:p>
            <w:pPr>
              <w:pStyle w:val="TableParagraph"/>
              <w:ind w:left="56" w:right="27"/>
              <w:jc w:val="center"/>
              <w:rPr>
                <w:sz w:val="18"/>
              </w:rPr>
            </w:pPr>
            <w:r>
              <w:rPr>
                <w:spacing w:val="-2"/>
                <w:sz w:val="18"/>
              </w:rPr>
              <w:t>(133.963)</w:t>
            </w:r>
          </w:p>
        </w:tc>
        <w:tc>
          <w:tcPr>
            <w:tcW w:w="2834" w:type="dxa"/>
          </w:tcPr>
          <w:p>
            <w:pPr>
              <w:pStyle w:val="TableParagraph"/>
              <w:ind w:left="51" w:right="1425"/>
              <w:jc w:val="center"/>
              <w:rPr>
                <w:sz w:val="18"/>
              </w:rPr>
            </w:pPr>
            <w:r>
              <w:rPr>
                <w:spacing w:val="-2"/>
                <w:sz w:val="18"/>
              </w:rPr>
              <w:t>(14.2042)</w:t>
            </w:r>
          </w:p>
        </w:tc>
      </w:tr>
      <w:tr>
        <w:trPr>
          <w:trHeight w:val="225" w:hRule="atLeast"/>
        </w:trPr>
        <w:tc>
          <w:tcPr>
            <w:tcW w:w="1467" w:type="dxa"/>
          </w:tcPr>
          <w:p>
            <w:pPr>
              <w:pStyle w:val="TableParagraph"/>
              <w:ind w:left="56" w:right="81"/>
              <w:jc w:val="center"/>
              <w:rPr>
                <w:sz w:val="18"/>
              </w:rPr>
            </w:pPr>
            <w:r>
              <w:rPr>
                <w:spacing w:val="-2"/>
                <w:sz w:val="18"/>
              </w:rPr>
              <w:t>0.000000</w:t>
            </w:r>
          </w:p>
        </w:tc>
        <w:tc>
          <w:tcPr>
            <w:tcW w:w="1266" w:type="dxa"/>
          </w:tcPr>
          <w:p>
            <w:pPr>
              <w:pStyle w:val="TableParagraph"/>
              <w:ind w:left="47" w:right="10"/>
              <w:jc w:val="center"/>
              <w:rPr>
                <w:sz w:val="18"/>
              </w:rPr>
            </w:pPr>
            <w:r>
              <w:rPr>
                <w:spacing w:val="-2"/>
                <w:sz w:val="18"/>
              </w:rPr>
              <w:t>1.000000</w:t>
            </w:r>
          </w:p>
        </w:tc>
        <w:tc>
          <w:tcPr>
            <w:tcW w:w="1561" w:type="dxa"/>
          </w:tcPr>
          <w:p>
            <w:pPr>
              <w:pStyle w:val="TableParagraph"/>
              <w:ind w:left="51" w:right="4"/>
              <w:jc w:val="center"/>
              <w:rPr>
                <w:sz w:val="18"/>
              </w:rPr>
            </w:pPr>
            <w:r>
              <w:rPr>
                <w:spacing w:val="-2"/>
                <w:sz w:val="18"/>
              </w:rPr>
              <w:t>0.000000</w:t>
            </w:r>
          </w:p>
        </w:tc>
        <w:tc>
          <w:tcPr>
            <w:tcW w:w="1350" w:type="dxa"/>
          </w:tcPr>
          <w:p>
            <w:pPr>
              <w:pStyle w:val="TableParagraph"/>
              <w:ind w:left="51" w:right="74"/>
              <w:jc w:val="center"/>
              <w:rPr>
                <w:sz w:val="18"/>
              </w:rPr>
            </w:pPr>
            <w:r>
              <w:rPr>
                <w:spacing w:val="-2"/>
                <w:sz w:val="18"/>
              </w:rPr>
              <w:t>0.000000</w:t>
            </w:r>
          </w:p>
        </w:tc>
        <w:tc>
          <w:tcPr>
            <w:tcW w:w="1418" w:type="dxa"/>
          </w:tcPr>
          <w:p>
            <w:pPr>
              <w:pStyle w:val="TableParagraph"/>
              <w:ind w:left="53" w:right="10"/>
              <w:jc w:val="center"/>
              <w:rPr>
                <w:sz w:val="18"/>
              </w:rPr>
            </w:pPr>
            <w:r>
              <w:rPr>
                <w:spacing w:val="-2"/>
                <w:sz w:val="18"/>
              </w:rPr>
              <w:t>0.000000</w:t>
            </w:r>
          </w:p>
        </w:tc>
        <w:tc>
          <w:tcPr>
            <w:tcW w:w="1406" w:type="dxa"/>
          </w:tcPr>
          <w:p>
            <w:pPr>
              <w:pStyle w:val="TableParagraph"/>
              <w:ind w:left="154" w:right="102"/>
              <w:jc w:val="center"/>
              <w:rPr>
                <w:sz w:val="18"/>
              </w:rPr>
            </w:pPr>
            <w:r>
              <w:rPr>
                <w:spacing w:val="-2"/>
                <w:sz w:val="18"/>
              </w:rPr>
              <w:t>0.000000</w:t>
            </w:r>
          </w:p>
        </w:tc>
        <w:tc>
          <w:tcPr>
            <w:tcW w:w="1439" w:type="dxa"/>
          </w:tcPr>
          <w:p>
            <w:pPr>
              <w:pStyle w:val="TableParagraph"/>
              <w:ind w:left="44" w:right="48"/>
              <w:jc w:val="center"/>
              <w:rPr>
                <w:sz w:val="18"/>
              </w:rPr>
            </w:pPr>
            <w:r>
              <w:rPr>
                <w:spacing w:val="-2"/>
                <w:sz w:val="18"/>
              </w:rPr>
              <w:t>-205.2066</w:t>
            </w:r>
          </w:p>
        </w:tc>
        <w:tc>
          <w:tcPr>
            <w:tcW w:w="1409" w:type="dxa"/>
          </w:tcPr>
          <w:p>
            <w:pPr>
              <w:pStyle w:val="TableParagraph"/>
              <w:ind w:left="56" w:right="27"/>
              <w:jc w:val="center"/>
              <w:rPr>
                <w:sz w:val="18"/>
              </w:rPr>
            </w:pPr>
            <w:r>
              <w:rPr>
                <w:spacing w:val="-2"/>
                <w:sz w:val="18"/>
              </w:rPr>
              <w:t>15.80848</w:t>
            </w:r>
          </w:p>
        </w:tc>
        <w:tc>
          <w:tcPr>
            <w:tcW w:w="2834" w:type="dxa"/>
          </w:tcPr>
          <w:p>
            <w:pPr>
              <w:pStyle w:val="TableParagraph"/>
              <w:ind w:left="50" w:right="1425"/>
              <w:jc w:val="center"/>
              <w:rPr>
                <w:sz w:val="18"/>
              </w:rPr>
            </w:pPr>
            <w:r>
              <w:rPr>
                <w:spacing w:val="-2"/>
                <w:sz w:val="18"/>
              </w:rPr>
              <w:t>4.817872</w:t>
            </w: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198" w:lineRule="exact"/>
              <w:ind w:left="51" w:right="7"/>
              <w:jc w:val="center"/>
              <w:rPr>
                <w:sz w:val="18"/>
              </w:rPr>
            </w:pPr>
            <w:r>
              <w:rPr>
                <w:spacing w:val="-2"/>
                <w:sz w:val="18"/>
              </w:rPr>
              <w:t>(19.1155)</w:t>
            </w:r>
          </w:p>
        </w:tc>
        <w:tc>
          <w:tcPr>
            <w:tcW w:w="1409" w:type="dxa"/>
          </w:tcPr>
          <w:p>
            <w:pPr>
              <w:pStyle w:val="TableParagraph"/>
              <w:spacing w:line="198" w:lineRule="exact"/>
              <w:ind w:left="56" w:right="27"/>
              <w:jc w:val="center"/>
              <w:rPr>
                <w:sz w:val="18"/>
              </w:rPr>
            </w:pPr>
            <w:r>
              <w:rPr>
                <w:spacing w:val="-2"/>
                <w:sz w:val="18"/>
              </w:rPr>
              <w:t>(20.1301)</w:t>
            </w:r>
          </w:p>
        </w:tc>
        <w:tc>
          <w:tcPr>
            <w:tcW w:w="2834" w:type="dxa"/>
          </w:tcPr>
          <w:p>
            <w:pPr>
              <w:pStyle w:val="TableParagraph"/>
              <w:spacing w:line="198" w:lineRule="exact"/>
              <w:ind w:left="51" w:right="1425"/>
              <w:jc w:val="center"/>
              <w:rPr>
                <w:sz w:val="18"/>
              </w:rPr>
            </w:pPr>
            <w:r>
              <w:rPr>
                <w:spacing w:val="-2"/>
                <w:sz w:val="18"/>
              </w:rPr>
              <w:t>(2.13441)</w:t>
            </w:r>
          </w:p>
        </w:tc>
      </w:tr>
      <w:tr>
        <w:trPr>
          <w:trHeight w:val="224" w:hRule="atLeast"/>
        </w:trPr>
        <w:tc>
          <w:tcPr>
            <w:tcW w:w="1467" w:type="dxa"/>
          </w:tcPr>
          <w:p>
            <w:pPr>
              <w:pStyle w:val="TableParagraph"/>
              <w:spacing w:before="5"/>
              <w:ind w:left="56" w:right="81"/>
              <w:jc w:val="center"/>
              <w:rPr>
                <w:sz w:val="18"/>
              </w:rPr>
            </w:pPr>
            <w:r>
              <w:rPr>
                <w:spacing w:val="-2"/>
                <w:sz w:val="18"/>
              </w:rPr>
              <w:t>0.000000</w:t>
            </w:r>
          </w:p>
        </w:tc>
        <w:tc>
          <w:tcPr>
            <w:tcW w:w="1266" w:type="dxa"/>
          </w:tcPr>
          <w:p>
            <w:pPr>
              <w:pStyle w:val="TableParagraph"/>
              <w:spacing w:before="5"/>
              <w:ind w:left="47" w:right="10"/>
              <w:jc w:val="center"/>
              <w:rPr>
                <w:sz w:val="18"/>
              </w:rPr>
            </w:pPr>
            <w:r>
              <w:rPr>
                <w:spacing w:val="-2"/>
                <w:sz w:val="18"/>
              </w:rPr>
              <w:t>0.000000</w:t>
            </w:r>
          </w:p>
        </w:tc>
        <w:tc>
          <w:tcPr>
            <w:tcW w:w="1561" w:type="dxa"/>
          </w:tcPr>
          <w:p>
            <w:pPr>
              <w:pStyle w:val="TableParagraph"/>
              <w:spacing w:before="5"/>
              <w:ind w:left="51" w:right="4"/>
              <w:jc w:val="center"/>
              <w:rPr>
                <w:sz w:val="18"/>
              </w:rPr>
            </w:pPr>
            <w:r>
              <w:rPr>
                <w:spacing w:val="-2"/>
                <w:sz w:val="18"/>
              </w:rPr>
              <w:t>1.000000</w:t>
            </w:r>
          </w:p>
        </w:tc>
        <w:tc>
          <w:tcPr>
            <w:tcW w:w="1350" w:type="dxa"/>
          </w:tcPr>
          <w:p>
            <w:pPr>
              <w:pStyle w:val="TableParagraph"/>
              <w:spacing w:before="5"/>
              <w:ind w:left="51" w:right="74"/>
              <w:jc w:val="center"/>
              <w:rPr>
                <w:sz w:val="18"/>
              </w:rPr>
            </w:pPr>
            <w:r>
              <w:rPr>
                <w:spacing w:val="-2"/>
                <w:sz w:val="18"/>
              </w:rPr>
              <w:t>0.000000</w:t>
            </w:r>
          </w:p>
        </w:tc>
        <w:tc>
          <w:tcPr>
            <w:tcW w:w="1418" w:type="dxa"/>
          </w:tcPr>
          <w:p>
            <w:pPr>
              <w:pStyle w:val="TableParagraph"/>
              <w:spacing w:before="5"/>
              <w:ind w:left="53" w:right="10"/>
              <w:jc w:val="center"/>
              <w:rPr>
                <w:sz w:val="18"/>
              </w:rPr>
            </w:pPr>
            <w:r>
              <w:rPr>
                <w:spacing w:val="-2"/>
                <w:sz w:val="18"/>
              </w:rPr>
              <w:t>0.000000</w:t>
            </w:r>
          </w:p>
        </w:tc>
        <w:tc>
          <w:tcPr>
            <w:tcW w:w="1406" w:type="dxa"/>
          </w:tcPr>
          <w:p>
            <w:pPr>
              <w:pStyle w:val="TableParagraph"/>
              <w:spacing w:before="5"/>
              <w:ind w:left="154" w:right="102"/>
              <w:jc w:val="center"/>
              <w:rPr>
                <w:sz w:val="18"/>
              </w:rPr>
            </w:pPr>
            <w:r>
              <w:rPr>
                <w:spacing w:val="-2"/>
                <w:sz w:val="18"/>
              </w:rPr>
              <w:t>0.000000</w:t>
            </w:r>
          </w:p>
        </w:tc>
        <w:tc>
          <w:tcPr>
            <w:tcW w:w="1439" w:type="dxa"/>
          </w:tcPr>
          <w:p>
            <w:pPr>
              <w:pStyle w:val="TableParagraph"/>
              <w:spacing w:before="5"/>
              <w:ind w:left="44" w:right="48"/>
              <w:jc w:val="center"/>
              <w:rPr>
                <w:sz w:val="18"/>
              </w:rPr>
            </w:pPr>
            <w:r>
              <w:rPr>
                <w:spacing w:val="-2"/>
                <w:sz w:val="18"/>
              </w:rPr>
              <w:t>-1.914883</w:t>
            </w:r>
          </w:p>
        </w:tc>
        <w:tc>
          <w:tcPr>
            <w:tcW w:w="1409" w:type="dxa"/>
          </w:tcPr>
          <w:p>
            <w:pPr>
              <w:pStyle w:val="TableParagraph"/>
              <w:spacing w:before="5"/>
              <w:ind w:left="56" w:right="75"/>
              <w:jc w:val="center"/>
              <w:rPr>
                <w:sz w:val="18"/>
              </w:rPr>
            </w:pPr>
            <w:r>
              <w:rPr>
                <w:spacing w:val="-2"/>
                <w:sz w:val="18"/>
              </w:rPr>
              <w:t>-0.765507</w:t>
            </w:r>
          </w:p>
        </w:tc>
        <w:tc>
          <w:tcPr>
            <w:tcW w:w="2834" w:type="dxa"/>
          </w:tcPr>
          <w:p>
            <w:pPr>
              <w:pStyle w:val="TableParagraph"/>
              <w:spacing w:before="5"/>
              <w:ind w:right="1425"/>
              <w:jc w:val="center"/>
              <w:rPr>
                <w:sz w:val="18"/>
              </w:rPr>
            </w:pPr>
            <w:r>
              <w:rPr>
                <w:spacing w:val="-2"/>
                <w:sz w:val="18"/>
              </w:rPr>
              <w:t>-0.895904</w:t>
            </w: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ind w:left="51" w:right="7"/>
              <w:jc w:val="center"/>
              <w:rPr>
                <w:sz w:val="18"/>
              </w:rPr>
            </w:pPr>
            <w:r>
              <w:rPr>
                <w:spacing w:val="-2"/>
                <w:sz w:val="18"/>
              </w:rPr>
              <w:t>(0.45313)</w:t>
            </w:r>
          </w:p>
        </w:tc>
        <w:tc>
          <w:tcPr>
            <w:tcW w:w="1409" w:type="dxa"/>
          </w:tcPr>
          <w:p>
            <w:pPr>
              <w:pStyle w:val="TableParagraph"/>
              <w:ind w:left="56" w:right="27"/>
              <w:jc w:val="center"/>
              <w:rPr>
                <w:sz w:val="18"/>
              </w:rPr>
            </w:pPr>
            <w:r>
              <w:rPr>
                <w:spacing w:val="-2"/>
                <w:sz w:val="18"/>
              </w:rPr>
              <w:t>(0.47718)</w:t>
            </w:r>
          </w:p>
        </w:tc>
        <w:tc>
          <w:tcPr>
            <w:tcW w:w="2834" w:type="dxa"/>
          </w:tcPr>
          <w:p>
            <w:pPr>
              <w:pStyle w:val="TableParagraph"/>
              <w:ind w:left="51" w:right="1425"/>
              <w:jc w:val="center"/>
              <w:rPr>
                <w:sz w:val="18"/>
              </w:rPr>
            </w:pPr>
            <w:r>
              <w:rPr>
                <w:spacing w:val="-2"/>
                <w:sz w:val="18"/>
              </w:rPr>
              <w:t>(0.05060)</w:t>
            </w:r>
          </w:p>
        </w:tc>
      </w:tr>
      <w:tr>
        <w:trPr>
          <w:trHeight w:val="225" w:hRule="atLeast"/>
        </w:trPr>
        <w:tc>
          <w:tcPr>
            <w:tcW w:w="1467" w:type="dxa"/>
          </w:tcPr>
          <w:p>
            <w:pPr>
              <w:pStyle w:val="TableParagraph"/>
              <w:ind w:left="56" w:right="81"/>
              <w:jc w:val="center"/>
              <w:rPr>
                <w:sz w:val="18"/>
              </w:rPr>
            </w:pPr>
            <w:r>
              <w:rPr>
                <w:spacing w:val="-2"/>
                <w:sz w:val="18"/>
              </w:rPr>
              <w:t>0.000000</w:t>
            </w:r>
          </w:p>
        </w:tc>
        <w:tc>
          <w:tcPr>
            <w:tcW w:w="1266" w:type="dxa"/>
          </w:tcPr>
          <w:p>
            <w:pPr>
              <w:pStyle w:val="TableParagraph"/>
              <w:ind w:left="47" w:right="10"/>
              <w:jc w:val="center"/>
              <w:rPr>
                <w:sz w:val="18"/>
              </w:rPr>
            </w:pPr>
            <w:r>
              <w:rPr>
                <w:spacing w:val="-2"/>
                <w:sz w:val="18"/>
              </w:rPr>
              <w:t>0.000000</w:t>
            </w:r>
          </w:p>
        </w:tc>
        <w:tc>
          <w:tcPr>
            <w:tcW w:w="1561" w:type="dxa"/>
          </w:tcPr>
          <w:p>
            <w:pPr>
              <w:pStyle w:val="TableParagraph"/>
              <w:ind w:left="51" w:right="4"/>
              <w:jc w:val="center"/>
              <w:rPr>
                <w:sz w:val="18"/>
              </w:rPr>
            </w:pPr>
            <w:r>
              <w:rPr>
                <w:spacing w:val="-2"/>
                <w:sz w:val="18"/>
              </w:rPr>
              <w:t>0.000000</w:t>
            </w:r>
          </w:p>
        </w:tc>
        <w:tc>
          <w:tcPr>
            <w:tcW w:w="1350" w:type="dxa"/>
          </w:tcPr>
          <w:p>
            <w:pPr>
              <w:pStyle w:val="TableParagraph"/>
              <w:ind w:left="51" w:right="74"/>
              <w:jc w:val="center"/>
              <w:rPr>
                <w:sz w:val="18"/>
              </w:rPr>
            </w:pPr>
            <w:r>
              <w:rPr>
                <w:spacing w:val="-2"/>
                <w:sz w:val="18"/>
              </w:rPr>
              <w:t>1.000000</w:t>
            </w:r>
          </w:p>
        </w:tc>
        <w:tc>
          <w:tcPr>
            <w:tcW w:w="1418" w:type="dxa"/>
          </w:tcPr>
          <w:p>
            <w:pPr>
              <w:pStyle w:val="TableParagraph"/>
              <w:ind w:left="53" w:right="10"/>
              <w:jc w:val="center"/>
              <w:rPr>
                <w:sz w:val="18"/>
              </w:rPr>
            </w:pPr>
            <w:r>
              <w:rPr>
                <w:spacing w:val="-2"/>
                <w:sz w:val="18"/>
              </w:rPr>
              <w:t>0.000000</w:t>
            </w:r>
          </w:p>
        </w:tc>
        <w:tc>
          <w:tcPr>
            <w:tcW w:w="1406" w:type="dxa"/>
          </w:tcPr>
          <w:p>
            <w:pPr>
              <w:pStyle w:val="TableParagraph"/>
              <w:ind w:left="154" w:right="102"/>
              <w:jc w:val="center"/>
              <w:rPr>
                <w:sz w:val="18"/>
              </w:rPr>
            </w:pPr>
            <w:r>
              <w:rPr>
                <w:spacing w:val="-2"/>
                <w:sz w:val="18"/>
              </w:rPr>
              <w:t>0.000000</w:t>
            </w:r>
          </w:p>
        </w:tc>
        <w:tc>
          <w:tcPr>
            <w:tcW w:w="1439" w:type="dxa"/>
          </w:tcPr>
          <w:p>
            <w:pPr>
              <w:pStyle w:val="TableParagraph"/>
              <w:ind w:left="44" w:right="48"/>
              <w:jc w:val="center"/>
              <w:rPr>
                <w:sz w:val="18"/>
              </w:rPr>
            </w:pPr>
            <w:r>
              <w:rPr>
                <w:spacing w:val="-2"/>
                <w:sz w:val="18"/>
              </w:rPr>
              <w:t>-0.510735</w:t>
            </w:r>
          </w:p>
        </w:tc>
        <w:tc>
          <w:tcPr>
            <w:tcW w:w="1409" w:type="dxa"/>
          </w:tcPr>
          <w:p>
            <w:pPr>
              <w:pStyle w:val="TableParagraph"/>
              <w:ind w:left="56" w:right="27"/>
              <w:jc w:val="center"/>
              <w:rPr>
                <w:sz w:val="18"/>
              </w:rPr>
            </w:pPr>
            <w:r>
              <w:rPr>
                <w:spacing w:val="-2"/>
                <w:sz w:val="18"/>
              </w:rPr>
              <w:t>2.887752</w:t>
            </w:r>
          </w:p>
        </w:tc>
        <w:tc>
          <w:tcPr>
            <w:tcW w:w="2834" w:type="dxa"/>
          </w:tcPr>
          <w:p>
            <w:pPr>
              <w:pStyle w:val="TableParagraph"/>
              <w:ind w:left="50" w:right="1425"/>
              <w:jc w:val="center"/>
              <w:rPr>
                <w:sz w:val="18"/>
              </w:rPr>
            </w:pPr>
            <w:r>
              <w:rPr>
                <w:spacing w:val="-2"/>
                <w:sz w:val="18"/>
              </w:rPr>
              <w:t>0.121386</w:t>
            </w:r>
          </w:p>
        </w:tc>
      </w:tr>
      <w:tr>
        <w:trPr>
          <w:trHeight w:val="213" w:hRule="atLeast"/>
        </w:trPr>
        <w:tc>
          <w:tcPr>
            <w:tcW w:w="1467" w:type="dxa"/>
          </w:tcPr>
          <w:p>
            <w:pPr>
              <w:pStyle w:val="TableParagraph"/>
              <w:spacing w:line="240" w:lineRule="auto" w:before="0"/>
              <w:rPr>
                <w:rFonts w:ascii="Times New Roman"/>
                <w:sz w:val="14"/>
              </w:rPr>
            </w:pPr>
          </w:p>
        </w:tc>
        <w:tc>
          <w:tcPr>
            <w:tcW w:w="1266" w:type="dxa"/>
          </w:tcPr>
          <w:p>
            <w:pPr>
              <w:pStyle w:val="TableParagraph"/>
              <w:spacing w:line="240" w:lineRule="auto" w:before="0"/>
              <w:rPr>
                <w:rFonts w:ascii="Times New Roman"/>
                <w:sz w:val="14"/>
              </w:rPr>
            </w:pPr>
          </w:p>
        </w:tc>
        <w:tc>
          <w:tcPr>
            <w:tcW w:w="1561" w:type="dxa"/>
          </w:tcPr>
          <w:p>
            <w:pPr>
              <w:pStyle w:val="TableParagraph"/>
              <w:spacing w:line="240" w:lineRule="auto" w:before="0"/>
              <w:rPr>
                <w:rFonts w:ascii="Times New Roman"/>
                <w:sz w:val="14"/>
              </w:rPr>
            </w:pPr>
          </w:p>
        </w:tc>
        <w:tc>
          <w:tcPr>
            <w:tcW w:w="1350" w:type="dxa"/>
          </w:tcPr>
          <w:p>
            <w:pPr>
              <w:pStyle w:val="TableParagraph"/>
              <w:spacing w:line="240" w:lineRule="auto" w:before="0"/>
              <w:rPr>
                <w:rFonts w:ascii="Times New Roman"/>
                <w:sz w:val="14"/>
              </w:rPr>
            </w:pPr>
          </w:p>
        </w:tc>
        <w:tc>
          <w:tcPr>
            <w:tcW w:w="1418" w:type="dxa"/>
          </w:tcPr>
          <w:p>
            <w:pPr>
              <w:pStyle w:val="TableParagraph"/>
              <w:spacing w:line="240" w:lineRule="auto" w:before="0"/>
              <w:rPr>
                <w:rFonts w:ascii="Times New Roman"/>
                <w:sz w:val="14"/>
              </w:rPr>
            </w:pPr>
          </w:p>
        </w:tc>
        <w:tc>
          <w:tcPr>
            <w:tcW w:w="1406" w:type="dxa"/>
          </w:tcPr>
          <w:p>
            <w:pPr>
              <w:pStyle w:val="TableParagraph"/>
              <w:spacing w:line="240" w:lineRule="auto" w:before="0"/>
              <w:rPr>
                <w:rFonts w:ascii="Times New Roman"/>
                <w:sz w:val="14"/>
              </w:rPr>
            </w:pPr>
          </w:p>
        </w:tc>
        <w:tc>
          <w:tcPr>
            <w:tcW w:w="1439" w:type="dxa"/>
          </w:tcPr>
          <w:p>
            <w:pPr>
              <w:pStyle w:val="TableParagraph"/>
              <w:spacing w:line="187" w:lineRule="exact"/>
              <w:ind w:left="51" w:right="7"/>
              <w:jc w:val="center"/>
              <w:rPr>
                <w:sz w:val="18"/>
              </w:rPr>
            </w:pPr>
            <w:r>
              <w:rPr>
                <w:spacing w:val="-2"/>
                <w:sz w:val="18"/>
              </w:rPr>
              <w:t>(0.62996)</w:t>
            </w:r>
          </w:p>
        </w:tc>
        <w:tc>
          <w:tcPr>
            <w:tcW w:w="1409" w:type="dxa"/>
          </w:tcPr>
          <w:p>
            <w:pPr>
              <w:pStyle w:val="TableParagraph"/>
              <w:spacing w:line="187" w:lineRule="exact"/>
              <w:ind w:left="56" w:right="27"/>
              <w:jc w:val="center"/>
              <w:rPr>
                <w:sz w:val="18"/>
              </w:rPr>
            </w:pPr>
            <w:r>
              <w:rPr>
                <w:spacing w:val="-2"/>
                <w:sz w:val="18"/>
              </w:rPr>
              <w:t>(0.66340)</w:t>
            </w:r>
          </w:p>
        </w:tc>
        <w:tc>
          <w:tcPr>
            <w:tcW w:w="2834" w:type="dxa"/>
          </w:tcPr>
          <w:p>
            <w:pPr>
              <w:pStyle w:val="TableParagraph"/>
              <w:spacing w:line="187" w:lineRule="exact"/>
              <w:ind w:left="51" w:right="1425"/>
              <w:jc w:val="center"/>
              <w:rPr>
                <w:sz w:val="18"/>
              </w:rPr>
            </w:pPr>
            <w:r>
              <w:rPr>
                <w:spacing w:val="-2"/>
                <w:sz w:val="18"/>
              </w:rPr>
              <w:t>(0.07034)</w:t>
            </w:r>
          </w:p>
        </w:tc>
      </w:tr>
    </w:tbl>
    <w:p>
      <w:pPr>
        <w:spacing w:after="0" w:line="187" w:lineRule="exact"/>
        <w:jc w:val="center"/>
        <w:rPr>
          <w:sz w:val="18"/>
        </w:rPr>
        <w:sectPr>
          <w:pgSz w:w="15840" w:h="12240" w:orient="landscape"/>
          <w:pgMar w:header="0" w:footer="1012" w:top="1380" w:bottom="1200" w:left="1340" w:right="120"/>
        </w:sectPr>
      </w:pPr>
    </w:p>
    <w:p>
      <w:pPr>
        <w:pStyle w:val="BodyText"/>
        <w:spacing w:before="4"/>
        <w:ind w:left="0"/>
        <w:rPr>
          <w:b/>
          <w:sz w:val="7"/>
        </w:rPr>
      </w:pP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7"/>
        <w:gridCol w:w="1266"/>
        <w:gridCol w:w="1561"/>
        <w:gridCol w:w="1350"/>
        <w:gridCol w:w="1418"/>
        <w:gridCol w:w="1406"/>
        <w:gridCol w:w="1439"/>
        <w:gridCol w:w="1409"/>
        <w:gridCol w:w="2834"/>
      </w:tblGrid>
      <w:tr>
        <w:trPr>
          <w:trHeight w:val="212" w:hRule="atLeast"/>
        </w:trPr>
        <w:tc>
          <w:tcPr>
            <w:tcW w:w="1467" w:type="dxa"/>
          </w:tcPr>
          <w:p>
            <w:pPr>
              <w:pStyle w:val="TableParagraph"/>
              <w:spacing w:line="192" w:lineRule="exact" w:before="0"/>
              <w:ind w:left="56" w:right="81"/>
              <w:jc w:val="center"/>
              <w:rPr>
                <w:sz w:val="18"/>
              </w:rPr>
            </w:pPr>
            <w:r>
              <w:rPr>
                <w:spacing w:val="-2"/>
                <w:sz w:val="18"/>
              </w:rPr>
              <w:t>0.000000</w:t>
            </w:r>
          </w:p>
        </w:tc>
        <w:tc>
          <w:tcPr>
            <w:tcW w:w="1266" w:type="dxa"/>
          </w:tcPr>
          <w:p>
            <w:pPr>
              <w:pStyle w:val="TableParagraph"/>
              <w:spacing w:line="192" w:lineRule="exact" w:before="0"/>
              <w:ind w:left="47" w:right="10"/>
              <w:jc w:val="center"/>
              <w:rPr>
                <w:sz w:val="18"/>
              </w:rPr>
            </w:pPr>
            <w:r>
              <w:rPr/>
              <mc:AlternateContent>
                <mc:Choice Requires="wps">
                  <w:drawing>
                    <wp:anchor distT="0" distB="0" distL="0" distR="0" allowOverlap="1" layoutInCell="1" locked="0" behindDoc="1" simplePos="0" relativeHeight="478143488">
                      <wp:simplePos x="0" y="0"/>
                      <wp:positionH relativeFrom="column">
                        <wp:posOffset>227431</wp:posOffset>
                      </wp:positionH>
                      <wp:positionV relativeFrom="paragraph">
                        <wp:posOffset>124300</wp:posOffset>
                      </wp:positionV>
                      <wp:extent cx="5505450" cy="5661025"/>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5505450" cy="5661025"/>
                                <a:chExt cx="5505450" cy="5661025"/>
                              </a:xfrm>
                            </wpg:grpSpPr>
                            <wps:wsp>
                              <wps:cNvPr id="291" name="Graphic 291"/>
                              <wps:cNvSpPr/>
                              <wps:spPr>
                                <a:xfrm>
                                  <a:off x="0" y="0"/>
                                  <a:ext cx="5505450" cy="5661025"/>
                                </a:xfrm>
                                <a:custGeom>
                                  <a:avLst/>
                                  <a:gdLst/>
                                  <a:ahLst/>
                                  <a:cxnLst/>
                                  <a:rect l="l" t="t" r="r" b="b"/>
                                  <a:pathLst>
                                    <a:path w="5505450" h="5661025">
                                      <a:moveTo>
                                        <a:pt x="677037" y="5536984"/>
                                      </a:moveTo>
                                      <a:lnTo>
                                        <a:pt x="123825" y="4983861"/>
                                      </a:lnTo>
                                      <a:lnTo>
                                        <a:pt x="0" y="5107686"/>
                                      </a:lnTo>
                                      <a:lnTo>
                                        <a:pt x="553212" y="5660809"/>
                                      </a:lnTo>
                                      <a:lnTo>
                                        <a:pt x="677037" y="5536984"/>
                                      </a:lnTo>
                                      <a:close/>
                                    </a:path>
                                    <a:path w="5505450" h="5661025">
                                      <a:moveTo>
                                        <a:pt x="1052703" y="5107749"/>
                                      </a:moveTo>
                                      <a:lnTo>
                                        <a:pt x="1049020" y="5055489"/>
                                      </a:lnTo>
                                      <a:lnTo>
                                        <a:pt x="1033995" y="4999825"/>
                                      </a:lnTo>
                                      <a:lnTo>
                                        <a:pt x="1007364" y="4944618"/>
                                      </a:lnTo>
                                      <a:lnTo>
                                        <a:pt x="970749" y="4891671"/>
                                      </a:lnTo>
                                      <a:lnTo>
                                        <a:pt x="925957" y="4841367"/>
                                      </a:lnTo>
                                      <a:lnTo>
                                        <a:pt x="596138" y="4511548"/>
                                      </a:lnTo>
                                      <a:lnTo>
                                        <a:pt x="472821" y="4634865"/>
                                      </a:lnTo>
                                      <a:lnTo>
                                        <a:pt x="810387" y="4972558"/>
                                      </a:lnTo>
                                      <a:lnTo>
                                        <a:pt x="830897" y="4995367"/>
                                      </a:lnTo>
                                      <a:lnTo>
                                        <a:pt x="846543" y="5017833"/>
                                      </a:lnTo>
                                      <a:lnTo>
                                        <a:pt x="857389" y="5039931"/>
                                      </a:lnTo>
                                      <a:lnTo>
                                        <a:pt x="863473" y="5061585"/>
                                      </a:lnTo>
                                      <a:lnTo>
                                        <a:pt x="864425" y="5082425"/>
                                      </a:lnTo>
                                      <a:lnTo>
                                        <a:pt x="860488" y="5101869"/>
                                      </a:lnTo>
                                      <a:lnTo>
                                        <a:pt x="838073" y="5136515"/>
                                      </a:lnTo>
                                      <a:lnTo>
                                        <a:pt x="803160" y="5159083"/>
                                      </a:lnTo>
                                      <a:lnTo>
                                        <a:pt x="783615" y="5162867"/>
                                      </a:lnTo>
                                      <a:lnTo>
                                        <a:pt x="762635" y="5161534"/>
                                      </a:lnTo>
                                      <a:lnTo>
                                        <a:pt x="718566" y="5144859"/>
                                      </a:lnTo>
                                      <a:lnTo>
                                        <a:pt x="673735" y="5109210"/>
                                      </a:lnTo>
                                      <a:lnTo>
                                        <a:pt x="336169" y="4771517"/>
                                      </a:lnTo>
                                      <a:lnTo>
                                        <a:pt x="212725" y="4894834"/>
                                      </a:lnTo>
                                      <a:lnTo>
                                        <a:pt x="542544" y="5224653"/>
                                      </a:lnTo>
                                      <a:lnTo>
                                        <a:pt x="589292" y="5265547"/>
                                      </a:lnTo>
                                      <a:lnTo>
                                        <a:pt x="647573" y="5306822"/>
                                      </a:lnTo>
                                      <a:lnTo>
                                        <a:pt x="690054" y="5328818"/>
                                      </a:lnTo>
                                      <a:lnTo>
                                        <a:pt x="737870" y="5344033"/>
                                      </a:lnTo>
                                      <a:lnTo>
                                        <a:pt x="785342" y="5351424"/>
                                      </a:lnTo>
                                      <a:lnTo>
                                        <a:pt x="807173" y="5351526"/>
                                      </a:lnTo>
                                      <a:lnTo>
                                        <a:pt x="827786" y="5349367"/>
                                      </a:lnTo>
                                      <a:lnTo>
                                        <a:pt x="867879" y="5337492"/>
                                      </a:lnTo>
                                      <a:lnTo>
                                        <a:pt x="908177" y="5314188"/>
                                      </a:lnTo>
                                      <a:lnTo>
                                        <a:pt x="945210" y="5284952"/>
                                      </a:lnTo>
                                      <a:lnTo>
                                        <a:pt x="977011" y="5255895"/>
                                      </a:lnTo>
                                      <a:lnTo>
                                        <a:pt x="1019365" y="5204485"/>
                                      </a:lnTo>
                                      <a:lnTo>
                                        <a:pt x="1045337" y="5151247"/>
                                      </a:lnTo>
                                      <a:lnTo>
                                        <a:pt x="1050340" y="5130609"/>
                                      </a:lnTo>
                                      <a:lnTo>
                                        <a:pt x="1052703" y="5107749"/>
                                      </a:lnTo>
                                      <a:close/>
                                    </a:path>
                                    <a:path w="5505450" h="5661025">
                                      <a:moveTo>
                                        <a:pt x="1514906" y="4610379"/>
                                      </a:moveTo>
                                      <a:lnTo>
                                        <a:pt x="1510944" y="4569625"/>
                                      </a:lnTo>
                                      <a:lnTo>
                                        <a:pt x="1500924" y="4528058"/>
                                      </a:lnTo>
                                      <a:lnTo>
                                        <a:pt x="1484630" y="4485640"/>
                                      </a:lnTo>
                                      <a:lnTo>
                                        <a:pt x="1466799" y="4451121"/>
                                      </a:lnTo>
                                      <a:lnTo>
                                        <a:pt x="1444396" y="4415548"/>
                                      </a:lnTo>
                                      <a:lnTo>
                                        <a:pt x="1417332" y="4378972"/>
                                      </a:lnTo>
                                      <a:lnTo>
                                        <a:pt x="1385658" y="4341507"/>
                                      </a:lnTo>
                                      <a:lnTo>
                                        <a:pt x="1374343" y="4329595"/>
                                      </a:lnTo>
                                      <a:lnTo>
                                        <a:pt x="1349248" y="4303141"/>
                                      </a:lnTo>
                                      <a:lnTo>
                                        <a:pt x="1334071" y="4289018"/>
                                      </a:lnTo>
                                      <a:lnTo>
                                        <a:pt x="1334071" y="4602658"/>
                                      </a:lnTo>
                                      <a:lnTo>
                                        <a:pt x="1330960" y="4628210"/>
                                      </a:lnTo>
                                      <a:lnTo>
                                        <a:pt x="1304544" y="4672584"/>
                                      </a:lnTo>
                                      <a:lnTo>
                                        <a:pt x="1260627" y="4698276"/>
                                      </a:lnTo>
                                      <a:lnTo>
                                        <a:pt x="1234922" y="4701095"/>
                                      </a:lnTo>
                                      <a:lnTo>
                                        <a:pt x="1206627" y="4697095"/>
                                      </a:lnTo>
                                      <a:lnTo>
                                        <a:pt x="1141310" y="4665548"/>
                                      </a:lnTo>
                                      <a:lnTo>
                                        <a:pt x="1103998" y="4636846"/>
                                      </a:lnTo>
                                      <a:lnTo>
                                        <a:pt x="1063625" y="4599305"/>
                                      </a:lnTo>
                                      <a:lnTo>
                                        <a:pt x="1025956" y="4558728"/>
                                      </a:lnTo>
                                      <a:lnTo>
                                        <a:pt x="997077" y="4521200"/>
                                      </a:lnTo>
                                      <a:lnTo>
                                        <a:pt x="976858" y="4486834"/>
                                      </a:lnTo>
                                      <a:lnTo>
                                        <a:pt x="961186" y="4427385"/>
                                      </a:lnTo>
                                      <a:lnTo>
                                        <a:pt x="963891" y="4401807"/>
                                      </a:lnTo>
                                      <a:lnTo>
                                        <a:pt x="988695" y="4358894"/>
                                      </a:lnTo>
                                      <a:lnTo>
                                        <a:pt x="1032675" y="4332884"/>
                                      </a:lnTo>
                                      <a:lnTo>
                                        <a:pt x="1058392" y="4329595"/>
                                      </a:lnTo>
                                      <a:lnTo>
                                        <a:pt x="1086523" y="4332884"/>
                                      </a:lnTo>
                                      <a:lnTo>
                                        <a:pt x="1150073" y="4362755"/>
                                      </a:lnTo>
                                      <a:lnTo>
                                        <a:pt x="1185532" y="4389602"/>
                                      </a:lnTo>
                                      <a:lnTo>
                                        <a:pt x="1223391" y="4424553"/>
                                      </a:lnTo>
                                      <a:lnTo>
                                        <a:pt x="1264805" y="4468812"/>
                                      </a:lnTo>
                                      <a:lnTo>
                                        <a:pt x="1296377" y="4508716"/>
                                      </a:lnTo>
                                      <a:lnTo>
                                        <a:pt x="1318183" y="4544161"/>
                                      </a:lnTo>
                                      <a:lnTo>
                                        <a:pt x="1334071" y="4602658"/>
                                      </a:lnTo>
                                      <a:lnTo>
                                        <a:pt x="1334071" y="4289018"/>
                                      </a:lnTo>
                                      <a:lnTo>
                                        <a:pt x="1304861" y="4261828"/>
                                      </a:lnTo>
                                      <a:lnTo>
                                        <a:pt x="1260741" y="4226865"/>
                                      </a:lnTo>
                                      <a:lnTo>
                                        <a:pt x="1216926" y="4198201"/>
                                      </a:lnTo>
                                      <a:lnTo>
                                        <a:pt x="1173403" y="4175760"/>
                                      </a:lnTo>
                                      <a:lnTo>
                                        <a:pt x="1130211" y="4159504"/>
                                      </a:lnTo>
                                      <a:lnTo>
                                        <a:pt x="1087374" y="4149344"/>
                                      </a:lnTo>
                                      <a:lnTo>
                                        <a:pt x="1037336" y="4145813"/>
                                      </a:lnTo>
                                      <a:lnTo>
                                        <a:pt x="989520" y="4152163"/>
                                      </a:lnTo>
                                      <a:lnTo>
                                        <a:pt x="943940" y="4168292"/>
                                      </a:lnTo>
                                      <a:lnTo>
                                        <a:pt x="900595" y="4194073"/>
                                      </a:lnTo>
                                      <a:lnTo>
                                        <a:pt x="859536" y="4229354"/>
                                      </a:lnTo>
                                      <a:lnTo>
                                        <a:pt x="825195" y="4269638"/>
                                      </a:lnTo>
                                      <a:lnTo>
                                        <a:pt x="800277" y="4312539"/>
                                      </a:lnTo>
                                      <a:lnTo>
                                        <a:pt x="784872" y="4358056"/>
                                      </a:lnTo>
                                      <a:lnTo>
                                        <a:pt x="779068" y="4406112"/>
                                      </a:lnTo>
                                      <a:lnTo>
                                        <a:pt x="782955" y="4456684"/>
                                      </a:lnTo>
                                      <a:lnTo>
                                        <a:pt x="793432" y="4500080"/>
                                      </a:lnTo>
                                      <a:lnTo>
                                        <a:pt x="810082" y="4543882"/>
                                      </a:lnTo>
                                      <a:lnTo>
                                        <a:pt x="832942" y="4588040"/>
                                      </a:lnTo>
                                      <a:lnTo>
                                        <a:pt x="862076" y="4632515"/>
                                      </a:lnTo>
                                      <a:lnTo>
                                        <a:pt x="897547" y="4677270"/>
                                      </a:lnTo>
                                      <a:lnTo>
                                        <a:pt x="939419" y="4722241"/>
                                      </a:lnTo>
                                      <a:lnTo>
                                        <a:pt x="977925" y="4758525"/>
                                      </a:lnTo>
                                      <a:lnTo>
                                        <a:pt x="1016152" y="4789995"/>
                                      </a:lnTo>
                                      <a:lnTo>
                                        <a:pt x="1054023" y="4816703"/>
                                      </a:lnTo>
                                      <a:lnTo>
                                        <a:pt x="1091463" y="4838725"/>
                                      </a:lnTo>
                                      <a:lnTo>
                                        <a:pt x="1128395" y="4856099"/>
                                      </a:lnTo>
                                      <a:lnTo>
                                        <a:pt x="1173149" y="4871567"/>
                                      </a:lnTo>
                                      <a:lnTo>
                                        <a:pt x="1215809" y="4880241"/>
                                      </a:lnTo>
                                      <a:lnTo>
                                        <a:pt x="1256347" y="4882426"/>
                                      </a:lnTo>
                                      <a:lnTo>
                                        <a:pt x="1294765" y="4878451"/>
                                      </a:lnTo>
                                      <a:lnTo>
                                        <a:pt x="1331455" y="4868176"/>
                                      </a:lnTo>
                                      <a:lnTo>
                                        <a:pt x="1367294" y="4850955"/>
                                      </a:lnTo>
                                      <a:lnTo>
                                        <a:pt x="1402295" y="4826990"/>
                                      </a:lnTo>
                                      <a:lnTo>
                                        <a:pt x="1436497" y="4796409"/>
                                      </a:lnTo>
                                      <a:lnTo>
                                        <a:pt x="1466329" y="4762271"/>
                                      </a:lnTo>
                                      <a:lnTo>
                                        <a:pt x="1489113" y="4726533"/>
                                      </a:lnTo>
                                      <a:lnTo>
                                        <a:pt x="1504734" y="4689221"/>
                                      </a:lnTo>
                                      <a:lnTo>
                                        <a:pt x="1513078" y="4650359"/>
                                      </a:lnTo>
                                      <a:lnTo>
                                        <a:pt x="1514906" y="4610379"/>
                                      </a:lnTo>
                                      <a:close/>
                                    </a:path>
                                    <a:path w="5505450" h="5661025">
                                      <a:moveTo>
                                        <a:pt x="1687068" y="4242308"/>
                                      </a:moveTo>
                                      <a:lnTo>
                                        <a:pt x="1568323" y="4123436"/>
                                      </a:lnTo>
                                      <a:lnTo>
                                        <a:pt x="1406906" y="4284980"/>
                                      </a:lnTo>
                                      <a:lnTo>
                                        <a:pt x="1525651" y="4403725"/>
                                      </a:lnTo>
                                      <a:lnTo>
                                        <a:pt x="1687068" y="4242308"/>
                                      </a:lnTo>
                                      <a:close/>
                                    </a:path>
                                    <a:path w="5505450" h="5661025">
                                      <a:moveTo>
                                        <a:pt x="2011426" y="4202557"/>
                                      </a:moveTo>
                                      <a:lnTo>
                                        <a:pt x="1458214" y="3649345"/>
                                      </a:lnTo>
                                      <a:lnTo>
                                        <a:pt x="1334389" y="3773170"/>
                                      </a:lnTo>
                                      <a:lnTo>
                                        <a:pt x="1887601" y="4326382"/>
                                      </a:lnTo>
                                      <a:lnTo>
                                        <a:pt x="2011426" y="4202557"/>
                                      </a:lnTo>
                                      <a:close/>
                                    </a:path>
                                    <a:path w="5505450" h="5661025">
                                      <a:moveTo>
                                        <a:pt x="2223643" y="3990340"/>
                                      </a:moveTo>
                                      <a:lnTo>
                                        <a:pt x="2018411" y="3784981"/>
                                      </a:lnTo>
                                      <a:lnTo>
                                        <a:pt x="2086102" y="3717290"/>
                                      </a:lnTo>
                                      <a:lnTo>
                                        <a:pt x="2118220" y="3679304"/>
                                      </a:lnTo>
                                      <a:lnTo>
                                        <a:pt x="2121700" y="3672967"/>
                                      </a:lnTo>
                                      <a:lnTo>
                                        <a:pt x="2139683" y="3640201"/>
                                      </a:lnTo>
                                      <a:lnTo>
                                        <a:pt x="2150389" y="3600069"/>
                                      </a:lnTo>
                                      <a:lnTo>
                                        <a:pt x="2150237" y="3558921"/>
                                      </a:lnTo>
                                      <a:lnTo>
                                        <a:pt x="2140077" y="3517239"/>
                                      </a:lnTo>
                                      <a:lnTo>
                                        <a:pt x="2125307" y="3484930"/>
                                      </a:lnTo>
                                      <a:lnTo>
                                        <a:pt x="2120976" y="3475444"/>
                                      </a:lnTo>
                                      <a:lnTo>
                                        <a:pt x="2092845" y="3433572"/>
                                      </a:lnTo>
                                      <a:lnTo>
                                        <a:pt x="2055622" y="3391662"/>
                                      </a:lnTo>
                                      <a:lnTo>
                                        <a:pt x="2015096" y="3355416"/>
                                      </a:lnTo>
                                      <a:lnTo>
                                        <a:pt x="1975065" y="3328060"/>
                                      </a:lnTo>
                                      <a:lnTo>
                                        <a:pt x="1969516" y="3325444"/>
                                      </a:lnTo>
                                      <a:lnTo>
                                        <a:pt x="1969516" y="3575050"/>
                                      </a:lnTo>
                                      <a:lnTo>
                                        <a:pt x="1968728" y="3591293"/>
                                      </a:lnTo>
                                      <a:lnTo>
                                        <a:pt x="1962873" y="3607993"/>
                                      </a:lnTo>
                                      <a:lnTo>
                                        <a:pt x="1952117" y="3625151"/>
                                      </a:lnTo>
                                      <a:lnTo>
                                        <a:pt x="1936623" y="3642741"/>
                                      </a:lnTo>
                                      <a:lnTo>
                                        <a:pt x="1906397" y="3672967"/>
                                      </a:lnTo>
                                      <a:lnTo>
                                        <a:pt x="1782953" y="3549523"/>
                                      </a:lnTo>
                                      <a:lnTo>
                                        <a:pt x="1818132" y="3514344"/>
                                      </a:lnTo>
                                      <a:lnTo>
                                        <a:pt x="1835251" y="3499459"/>
                                      </a:lnTo>
                                      <a:lnTo>
                                        <a:pt x="1851812" y="3489668"/>
                                      </a:lnTo>
                                      <a:lnTo>
                                        <a:pt x="1867852" y="3484930"/>
                                      </a:lnTo>
                                      <a:lnTo>
                                        <a:pt x="1883410" y="3485261"/>
                                      </a:lnTo>
                                      <a:lnTo>
                                        <a:pt x="1926856" y="3505149"/>
                                      </a:lnTo>
                                      <a:lnTo>
                                        <a:pt x="1960791" y="3544824"/>
                                      </a:lnTo>
                                      <a:lnTo>
                                        <a:pt x="1969516" y="3575050"/>
                                      </a:lnTo>
                                      <a:lnTo>
                                        <a:pt x="1969516" y="3325444"/>
                                      </a:lnTo>
                                      <a:lnTo>
                                        <a:pt x="1935568" y="3309391"/>
                                      </a:lnTo>
                                      <a:lnTo>
                                        <a:pt x="1896618" y="3299206"/>
                                      </a:lnTo>
                                      <a:lnTo>
                                        <a:pt x="1858467" y="3298609"/>
                                      </a:lnTo>
                                      <a:lnTo>
                                        <a:pt x="1821599" y="3307956"/>
                                      </a:lnTo>
                                      <a:lnTo>
                                        <a:pt x="1786039" y="3327095"/>
                                      </a:lnTo>
                                      <a:lnTo>
                                        <a:pt x="1751838" y="3355848"/>
                                      </a:lnTo>
                                      <a:lnTo>
                                        <a:pt x="1546352" y="3561207"/>
                                      </a:lnTo>
                                      <a:lnTo>
                                        <a:pt x="2099564" y="4114419"/>
                                      </a:lnTo>
                                      <a:lnTo>
                                        <a:pt x="2223643" y="3990340"/>
                                      </a:lnTo>
                                      <a:close/>
                                    </a:path>
                                    <a:path w="5505450" h="5661025">
                                      <a:moveTo>
                                        <a:pt x="2725166" y="3488817"/>
                                      </a:moveTo>
                                      <a:lnTo>
                                        <a:pt x="2308479" y="3072257"/>
                                      </a:lnTo>
                                      <a:lnTo>
                                        <a:pt x="2434590" y="2946146"/>
                                      </a:lnTo>
                                      <a:lnTo>
                                        <a:pt x="2298065" y="2809621"/>
                                      </a:lnTo>
                                      <a:lnTo>
                                        <a:pt x="1922399" y="3185287"/>
                                      </a:lnTo>
                                      <a:lnTo>
                                        <a:pt x="2058924" y="3321812"/>
                                      </a:lnTo>
                                      <a:lnTo>
                                        <a:pt x="2184908" y="3195828"/>
                                      </a:lnTo>
                                      <a:lnTo>
                                        <a:pt x="2601595" y="3612388"/>
                                      </a:lnTo>
                                      <a:lnTo>
                                        <a:pt x="2725166" y="3488817"/>
                                      </a:lnTo>
                                      <a:close/>
                                    </a:path>
                                    <a:path w="5505450" h="5661025">
                                      <a:moveTo>
                                        <a:pt x="3128645" y="3085338"/>
                                      </a:moveTo>
                                      <a:lnTo>
                                        <a:pt x="2712085" y="2668651"/>
                                      </a:lnTo>
                                      <a:lnTo>
                                        <a:pt x="2838069" y="2542667"/>
                                      </a:lnTo>
                                      <a:lnTo>
                                        <a:pt x="2701544" y="2406142"/>
                                      </a:lnTo>
                                      <a:lnTo>
                                        <a:pt x="2325878" y="2781808"/>
                                      </a:lnTo>
                                      <a:lnTo>
                                        <a:pt x="2462530" y="2918333"/>
                                      </a:lnTo>
                                      <a:lnTo>
                                        <a:pt x="2588514" y="2792349"/>
                                      </a:lnTo>
                                      <a:lnTo>
                                        <a:pt x="3005074" y="3208909"/>
                                      </a:lnTo>
                                      <a:lnTo>
                                        <a:pt x="3128645" y="3085338"/>
                                      </a:lnTo>
                                      <a:close/>
                                    </a:path>
                                    <a:path w="5505450" h="5661025">
                                      <a:moveTo>
                                        <a:pt x="3594430" y="2530856"/>
                                      </a:moveTo>
                                      <a:lnTo>
                                        <a:pt x="3590506" y="2490063"/>
                                      </a:lnTo>
                                      <a:lnTo>
                                        <a:pt x="3580536" y="2448458"/>
                                      </a:lnTo>
                                      <a:lnTo>
                                        <a:pt x="3564255" y="2406015"/>
                                      </a:lnTo>
                                      <a:lnTo>
                                        <a:pt x="3546360" y="2371560"/>
                                      </a:lnTo>
                                      <a:lnTo>
                                        <a:pt x="3523919" y="2336038"/>
                                      </a:lnTo>
                                      <a:lnTo>
                                        <a:pt x="3496805" y="2299449"/>
                                      </a:lnTo>
                                      <a:lnTo>
                                        <a:pt x="3465157" y="2262073"/>
                                      </a:lnTo>
                                      <a:lnTo>
                                        <a:pt x="3453765" y="2250097"/>
                                      </a:lnTo>
                                      <a:lnTo>
                                        <a:pt x="3428746" y="2223770"/>
                                      </a:lnTo>
                                      <a:lnTo>
                                        <a:pt x="3413569" y="2209635"/>
                                      </a:lnTo>
                                      <a:lnTo>
                                        <a:pt x="3413569" y="2523134"/>
                                      </a:lnTo>
                                      <a:lnTo>
                                        <a:pt x="3410432" y="2548661"/>
                                      </a:lnTo>
                                      <a:lnTo>
                                        <a:pt x="3383915" y="2593086"/>
                                      </a:lnTo>
                                      <a:lnTo>
                                        <a:pt x="3340176" y="2618714"/>
                                      </a:lnTo>
                                      <a:lnTo>
                                        <a:pt x="3314522" y="2621483"/>
                                      </a:lnTo>
                                      <a:lnTo>
                                        <a:pt x="3286252" y="2617470"/>
                                      </a:lnTo>
                                      <a:lnTo>
                                        <a:pt x="3220936" y="2585936"/>
                                      </a:lnTo>
                                      <a:lnTo>
                                        <a:pt x="3183623" y="2557272"/>
                                      </a:lnTo>
                                      <a:lnTo>
                                        <a:pt x="3143250" y="2519807"/>
                                      </a:lnTo>
                                      <a:lnTo>
                                        <a:pt x="3105505" y="2479154"/>
                                      </a:lnTo>
                                      <a:lnTo>
                                        <a:pt x="3076600" y="2441600"/>
                                      </a:lnTo>
                                      <a:lnTo>
                                        <a:pt x="3056407" y="2407208"/>
                                      </a:lnTo>
                                      <a:lnTo>
                                        <a:pt x="3040786" y="2347785"/>
                                      </a:lnTo>
                                      <a:lnTo>
                                        <a:pt x="3043453" y="2322245"/>
                                      </a:lnTo>
                                      <a:lnTo>
                                        <a:pt x="3068193" y="2279396"/>
                                      </a:lnTo>
                                      <a:lnTo>
                                        <a:pt x="3112173" y="2253386"/>
                                      </a:lnTo>
                                      <a:lnTo>
                                        <a:pt x="3137890" y="2250097"/>
                                      </a:lnTo>
                                      <a:lnTo>
                                        <a:pt x="3166021" y="2253386"/>
                                      </a:lnTo>
                                      <a:lnTo>
                                        <a:pt x="3229521" y="2283256"/>
                                      </a:lnTo>
                                      <a:lnTo>
                                        <a:pt x="3265005" y="2310104"/>
                                      </a:lnTo>
                                      <a:lnTo>
                                        <a:pt x="3302889" y="2345055"/>
                                      </a:lnTo>
                                      <a:lnTo>
                                        <a:pt x="3344329" y="2389289"/>
                                      </a:lnTo>
                                      <a:lnTo>
                                        <a:pt x="3375926" y="2429167"/>
                                      </a:lnTo>
                                      <a:lnTo>
                                        <a:pt x="3397732" y="2464612"/>
                                      </a:lnTo>
                                      <a:lnTo>
                                        <a:pt x="3413569" y="2523134"/>
                                      </a:lnTo>
                                      <a:lnTo>
                                        <a:pt x="3413569" y="2209635"/>
                                      </a:lnTo>
                                      <a:lnTo>
                                        <a:pt x="3384359" y="2182406"/>
                                      </a:lnTo>
                                      <a:lnTo>
                                        <a:pt x="3340239" y="2147405"/>
                                      </a:lnTo>
                                      <a:lnTo>
                                        <a:pt x="3296424" y="2118715"/>
                                      </a:lnTo>
                                      <a:lnTo>
                                        <a:pt x="3252901" y="2096274"/>
                                      </a:lnTo>
                                      <a:lnTo>
                                        <a:pt x="3209709" y="2080006"/>
                                      </a:lnTo>
                                      <a:lnTo>
                                        <a:pt x="3166872" y="2069846"/>
                                      </a:lnTo>
                                      <a:lnTo>
                                        <a:pt x="3116834" y="2066315"/>
                                      </a:lnTo>
                                      <a:lnTo>
                                        <a:pt x="3069018" y="2072665"/>
                                      </a:lnTo>
                                      <a:lnTo>
                                        <a:pt x="3023438" y="2088769"/>
                                      </a:lnTo>
                                      <a:lnTo>
                                        <a:pt x="2980093" y="2114512"/>
                                      </a:lnTo>
                                      <a:lnTo>
                                        <a:pt x="2939034" y="2149729"/>
                                      </a:lnTo>
                                      <a:lnTo>
                                        <a:pt x="2904744" y="2190026"/>
                                      </a:lnTo>
                                      <a:lnTo>
                                        <a:pt x="2879839" y="2232964"/>
                                      </a:lnTo>
                                      <a:lnTo>
                                        <a:pt x="2864434" y="2278507"/>
                                      </a:lnTo>
                                      <a:lnTo>
                                        <a:pt x="2858643" y="2326602"/>
                                      </a:lnTo>
                                      <a:lnTo>
                                        <a:pt x="2862580" y="2377186"/>
                                      </a:lnTo>
                                      <a:lnTo>
                                        <a:pt x="2873006" y="2420582"/>
                                      </a:lnTo>
                                      <a:lnTo>
                                        <a:pt x="2889618" y="2464346"/>
                                      </a:lnTo>
                                      <a:lnTo>
                                        <a:pt x="2912453" y="2508478"/>
                                      </a:lnTo>
                                      <a:lnTo>
                                        <a:pt x="2941574" y="2552928"/>
                                      </a:lnTo>
                                      <a:lnTo>
                                        <a:pt x="2977045" y="2597645"/>
                                      </a:lnTo>
                                      <a:lnTo>
                                        <a:pt x="3018917" y="2642616"/>
                                      </a:lnTo>
                                      <a:lnTo>
                                        <a:pt x="3057474" y="2678912"/>
                                      </a:lnTo>
                                      <a:lnTo>
                                        <a:pt x="3095714" y="2710408"/>
                                      </a:lnTo>
                                      <a:lnTo>
                                        <a:pt x="3133560" y="2737167"/>
                                      </a:lnTo>
                                      <a:lnTo>
                                        <a:pt x="3170974" y="2759214"/>
                                      </a:lnTo>
                                      <a:lnTo>
                                        <a:pt x="3207893" y="2776601"/>
                                      </a:lnTo>
                                      <a:lnTo>
                                        <a:pt x="3252711" y="2792006"/>
                                      </a:lnTo>
                                      <a:lnTo>
                                        <a:pt x="3295358" y="2800693"/>
                                      </a:lnTo>
                                      <a:lnTo>
                                        <a:pt x="3335871" y="2802915"/>
                                      </a:lnTo>
                                      <a:lnTo>
                                        <a:pt x="3374263" y="2798953"/>
                                      </a:lnTo>
                                      <a:lnTo>
                                        <a:pt x="3410978" y="2788602"/>
                                      </a:lnTo>
                                      <a:lnTo>
                                        <a:pt x="3446843" y="2771368"/>
                                      </a:lnTo>
                                      <a:lnTo>
                                        <a:pt x="3481844" y="2747416"/>
                                      </a:lnTo>
                                      <a:lnTo>
                                        <a:pt x="3515995" y="2716911"/>
                                      </a:lnTo>
                                      <a:lnTo>
                                        <a:pt x="3545852" y="2682722"/>
                                      </a:lnTo>
                                      <a:lnTo>
                                        <a:pt x="3568662" y="2646984"/>
                                      </a:lnTo>
                                      <a:lnTo>
                                        <a:pt x="3579342" y="2621483"/>
                                      </a:lnTo>
                                      <a:lnTo>
                                        <a:pt x="3584283" y="2609710"/>
                                      </a:lnTo>
                                      <a:lnTo>
                                        <a:pt x="3592576" y="2570861"/>
                                      </a:lnTo>
                                      <a:lnTo>
                                        <a:pt x="3594430" y="2530856"/>
                                      </a:lnTo>
                                      <a:close/>
                                    </a:path>
                                    <a:path w="5505450" h="5661025">
                                      <a:moveTo>
                                        <a:pt x="4237799" y="1898713"/>
                                      </a:moveTo>
                                      <a:lnTo>
                                        <a:pt x="4226814" y="1835531"/>
                                      </a:lnTo>
                                      <a:lnTo>
                                        <a:pt x="4199420" y="1767636"/>
                                      </a:lnTo>
                                      <a:lnTo>
                                        <a:pt x="4179786" y="1732191"/>
                                      </a:lnTo>
                                      <a:lnTo>
                                        <a:pt x="4155948" y="1695831"/>
                                      </a:lnTo>
                                      <a:lnTo>
                                        <a:pt x="4117517" y="1711452"/>
                                      </a:lnTo>
                                      <a:lnTo>
                                        <a:pt x="4002278" y="1758823"/>
                                      </a:lnTo>
                                      <a:lnTo>
                                        <a:pt x="4022331" y="1788236"/>
                                      </a:lnTo>
                                      <a:lnTo>
                                        <a:pt x="4037863" y="1815719"/>
                                      </a:lnTo>
                                      <a:lnTo>
                                        <a:pt x="4049064" y="1841309"/>
                                      </a:lnTo>
                                      <a:lnTo>
                                        <a:pt x="4056126" y="1864995"/>
                                      </a:lnTo>
                                      <a:lnTo>
                                        <a:pt x="4058107" y="1887347"/>
                                      </a:lnTo>
                                      <a:lnTo>
                                        <a:pt x="4054373" y="1908327"/>
                                      </a:lnTo>
                                      <a:lnTo>
                                        <a:pt x="4029964" y="1946402"/>
                                      </a:lnTo>
                                      <a:lnTo>
                                        <a:pt x="3988892" y="1970443"/>
                                      </a:lnTo>
                                      <a:lnTo>
                                        <a:pt x="3965079" y="1973021"/>
                                      </a:lnTo>
                                      <a:lnTo>
                                        <a:pt x="3939159" y="1969135"/>
                                      </a:lnTo>
                                      <a:lnTo>
                                        <a:pt x="3875684" y="1935657"/>
                                      </a:lnTo>
                                      <a:lnTo>
                                        <a:pt x="3836708" y="1904365"/>
                                      </a:lnTo>
                                      <a:lnTo>
                                        <a:pt x="3792982" y="1863217"/>
                                      </a:lnTo>
                                      <a:lnTo>
                                        <a:pt x="3759441" y="1827504"/>
                                      </a:lnTo>
                                      <a:lnTo>
                                        <a:pt x="3732936" y="1794510"/>
                                      </a:lnTo>
                                      <a:lnTo>
                                        <a:pt x="3700907" y="1737233"/>
                                      </a:lnTo>
                                      <a:lnTo>
                                        <a:pt x="3692626" y="1704390"/>
                                      </a:lnTo>
                                      <a:lnTo>
                                        <a:pt x="3692868" y="1674964"/>
                                      </a:lnTo>
                                      <a:lnTo>
                                        <a:pt x="3718560" y="1626108"/>
                                      </a:lnTo>
                                      <a:lnTo>
                                        <a:pt x="3762629" y="1603121"/>
                                      </a:lnTo>
                                      <a:lnTo>
                                        <a:pt x="3775773" y="1601851"/>
                                      </a:lnTo>
                                      <a:lnTo>
                                        <a:pt x="3789375" y="1602105"/>
                                      </a:lnTo>
                                      <a:lnTo>
                                        <a:pt x="3827894" y="1611642"/>
                                      </a:lnTo>
                                      <a:lnTo>
                                        <a:pt x="3867150" y="1632966"/>
                                      </a:lnTo>
                                      <a:lnTo>
                                        <a:pt x="3942588" y="1490218"/>
                                      </a:lnTo>
                                      <a:lnTo>
                                        <a:pt x="3889870" y="1461084"/>
                                      </a:lnTo>
                                      <a:lnTo>
                                        <a:pt x="3839959" y="1440662"/>
                                      </a:lnTo>
                                      <a:lnTo>
                                        <a:pt x="3792918" y="1428572"/>
                                      </a:lnTo>
                                      <a:lnTo>
                                        <a:pt x="3748786" y="1424432"/>
                                      </a:lnTo>
                                      <a:lnTo>
                                        <a:pt x="3706520" y="1429385"/>
                                      </a:lnTo>
                                      <a:lnTo>
                                        <a:pt x="3665626" y="1443939"/>
                                      </a:lnTo>
                                      <a:lnTo>
                                        <a:pt x="3626015" y="1467904"/>
                                      </a:lnTo>
                                      <a:lnTo>
                                        <a:pt x="3587623" y="1501140"/>
                                      </a:lnTo>
                                      <a:lnTo>
                                        <a:pt x="3553612" y="1540979"/>
                                      </a:lnTo>
                                      <a:lnTo>
                                        <a:pt x="3528949" y="1583207"/>
                                      </a:lnTo>
                                      <a:lnTo>
                                        <a:pt x="3513709" y="1627797"/>
                                      </a:lnTo>
                                      <a:lnTo>
                                        <a:pt x="3508006" y="1674749"/>
                                      </a:lnTo>
                                      <a:lnTo>
                                        <a:pt x="3511931" y="1724025"/>
                                      </a:lnTo>
                                      <a:lnTo>
                                        <a:pt x="3522535" y="1766570"/>
                                      </a:lnTo>
                                      <a:lnTo>
                                        <a:pt x="3539325" y="1809699"/>
                                      </a:lnTo>
                                      <a:lnTo>
                                        <a:pt x="3562375" y="1853438"/>
                                      </a:lnTo>
                                      <a:lnTo>
                                        <a:pt x="3591801" y="1897773"/>
                                      </a:lnTo>
                                      <a:lnTo>
                                        <a:pt x="3627704" y="1942693"/>
                                      </a:lnTo>
                                      <a:lnTo>
                                        <a:pt x="3670173" y="1988185"/>
                                      </a:lnTo>
                                      <a:lnTo>
                                        <a:pt x="3711130" y="2026716"/>
                                      </a:lnTo>
                                      <a:lnTo>
                                        <a:pt x="3751542" y="2059787"/>
                                      </a:lnTo>
                                      <a:lnTo>
                                        <a:pt x="3791394" y="2087511"/>
                                      </a:lnTo>
                                      <a:lnTo>
                                        <a:pt x="3830663" y="2110003"/>
                                      </a:lnTo>
                                      <a:lnTo>
                                        <a:pt x="3869309" y="2127377"/>
                                      </a:lnTo>
                                      <a:lnTo>
                                        <a:pt x="3915486" y="2142363"/>
                                      </a:lnTo>
                                      <a:lnTo>
                                        <a:pt x="3958183" y="2150580"/>
                                      </a:lnTo>
                                      <a:lnTo>
                                        <a:pt x="3997337" y="2152332"/>
                                      </a:lnTo>
                                      <a:lnTo>
                                        <a:pt x="4032885" y="2147951"/>
                                      </a:lnTo>
                                      <a:lnTo>
                                        <a:pt x="4099725" y="2120328"/>
                                      </a:lnTo>
                                      <a:lnTo>
                                        <a:pt x="4132694" y="2097024"/>
                                      </a:lnTo>
                                      <a:lnTo>
                                        <a:pt x="4165346" y="2067560"/>
                                      </a:lnTo>
                                      <a:lnTo>
                                        <a:pt x="4209059" y="2013115"/>
                                      </a:lnTo>
                                      <a:lnTo>
                                        <a:pt x="4232402" y="1957324"/>
                                      </a:lnTo>
                                      <a:lnTo>
                                        <a:pt x="4237025" y="1928583"/>
                                      </a:lnTo>
                                      <a:lnTo>
                                        <a:pt x="4237799" y="1898713"/>
                                      </a:lnTo>
                                      <a:close/>
                                    </a:path>
                                    <a:path w="5505450" h="5661025">
                                      <a:moveTo>
                                        <a:pt x="4680788" y="1444447"/>
                                      </a:moveTo>
                                      <a:lnTo>
                                        <a:pt x="4676864" y="1403692"/>
                                      </a:lnTo>
                                      <a:lnTo>
                                        <a:pt x="4666894" y="1362100"/>
                                      </a:lnTo>
                                      <a:lnTo>
                                        <a:pt x="4650613" y="1319657"/>
                                      </a:lnTo>
                                      <a:lnTo>
                                        <a:pt x="4632769" y="1285138"/>
                                      </a:lnTo>
                                      <a:lnTo>
                                        <a:pt x="4610341" y="1249578"/>
                                      </a:lnTo>
                                      <a:lnTo>
                                        <a:pt x="4583290" y="1213040"/>
                                      </a:lnTo>
                                      <a:lnTo>
                                        <a:pt x="4551591" y="1175588"/>
                                      </a:lnTo>
                                      <a:lnTo>
                                        <a:pt x="4515231" y="1137285"/>
                                      </a:lnTo>
                                      <a:lnTo>
                                        <a:pt x="4499927" y="1123035"/>
                                      </a:lnTo>
                                      <a:lnTo>
                                        <a:pt x="4499927" y="1436776"/>
                                      </a:lnTo>
                                      <a:lnTo>
                                        <a:pt x="4496816" y="1462278"/>
                                      </a:lnTo>
                                      <a:lnTo>
                                        <a:pt x="4470387" y="1506601"/>
                                      </a:lnTo>
                                      <a:lnTo>
                                        <a:pt x="4426597" y="1532293"/>
                                      </a:lnTo>
                                      <a:lnTo>
                                        <a:pt x="4400905" y="1535112"/>
                                      </a:lnTo>
                                      <a:lnTo>
                                        <a:pt x="4372610" y="1531112"/>
                                      </a:lnTo>
                                      <a:lnTo>
                                        <a:pt x="4307294" y="1499577"/>
                                      </a:lnTo>
                                      <a:lnTo>
                                        <a:pt x="4269981" y="1470914"/>
                                      </a:lnTo>
                                      <a:lnTo>
                                        <a:pt x="4229608" y="1433449"/>
                                      </a:lnTo>
                                      <a:lnTo>
                                        <a:pt x="4191863" y="1392796"/>
                                      </a:lnTo>
                                      <a:lnTo>
                                        <a:pt x="4162958" y="1355242"/>
                                      </a:lnTo>
                                      <a:lnTo>
                                        <a:pt x="4142765" y="1320850"/>
                                      </a:lnTo>
                                      <a:lnTo>
                                        <a:pt x="4127169" y="1261414"/>
                                      </a:lnTo>
                                      <a:lnTo>
                                        <a:pt x="4129862" y="1235837"/>
                                      </a:lnTo>
                                      <a:lnTo>
                                        <a:pt x="4154551" y="1193038"/>
                                      </a:lnTo>
                                      <a:lnTo>
                                        <a:pt x="4198556" y="1166964"/>
                                      </a:lnTo>
                                      <a:lnTo>
                                        <a:pt x="4224299" y="1163624"/>
                                      </a:lnTo>
                                      <a:lnTo>
                                        <a:pt x="4252468" y="1166876"/>
                                      </a:lnTo>
                                      <a:lnTo>
                                        <a:pt x="4316006" y="1196771"/>
                                      </a:lnTo>
                                      <a:lnTo>
                                        <a:pt x="4351490" y="1223619"/>
                                      </a:lnTo>
                                      <a:lnTo>
                                        <a:pt x="4389374" y="1258570"/>
                                      </a:lnTo>
                                      <a:lnTo>
                                        <a:pt x="4430788" y="1302829"/>
                                      </a:lnTo>
                                      <a:lnTo>
                                        <a:pt x="4462348" y="1342745"/>
                                      </a:lnTo>
                                      <a:lnTo>
                                        <a:pt x="4484116" y="1378229"/>
                                      </a:lnTo>
                                      <a:lnTo>
                                        <a:pt x="4499927" y="1436776"/>
                                      </a:lnTo>
                                      <a:lnTo>
                                        <a:pt x="4499927" y="1123035"/>
                                      </a:lnTo>
                                      <a:lnTo>
                                        <a:pt x="4470844" y="1095921"/>
                                      </a:lnTo>
                                      <a:lnTo>
                                        <a:pt x="4426724" y="1060919"/>
                                      </a:lnTo>
                                      <a:lnTo>
                                        <a:pt x="4382909" y="1032230"/>
                                      </a:lnTo>
                                      <a:lnTo>
                                        <a:pt x="4339387" y="1009789"/>
                                      </a:lnTo>
                                      <a:lnTo>
                                        <a:pt x="4296194" y="993521"/>
                                      </a:lnTo>
                                      <a:lnTo>
                                        <a:pt x="4253357" y="983361"/>
                                      </a:lnTo>
                                      <a:lnTo>
                                        <a:pt x="4203268" y="979881"/>
                                      </a:lnTo>
                                      <a:lnTo>
                                        <a:pt x="4155440" y="986269"/>
                                      </a:lnTo>
                                      <a:lnTo>
                                        <a:pt x="4109859" y="1002411"/>
                                      </a:lnTo>
                                      <a:lnTo>
                                        <a:pt x="4066502" y="1028153"/>
                                      </a:lnTo>
                                      <a:lnTo>
                                        <a:pt x="4025392" y="1063371"/>
                                      </a:lnTo>
                                      <a:lnTo>
                                        <a:pt x="3991102" y="1103668"/>
                                      </a:lnTo>
                                      <a:lnTo>
                                        <a:pt x="3966197" y="1146606"/>
                                      </a:lnTo>
                                      <a:lnTo>
                                        <a:pt x="3950792" y="1192149"/>
                                      </a:lnTo>
                                      <a:lnTo>
                                        <a:pt x="3945001" y="1240243"/>
                                      </a:lnTo>
                                      <a:lnTo>
                                        <a:pt x="3948938" y="1290828"/>
                                      </a:lnTo>
                                      <a:lnTo>
                                        <a:pt x="3959364" y="1334223"/>
                                      </a:lnTo>
                                      <a:lnTo>
                                        <a:pt x="3975976" y="1377988"/>
                                      </a:lnTo>
                                      <a:lnTo>
                                        <a:pt x="3998811" y="1422120"/>
                                      </a:lnTo>
                                      <a:lnTo>
                                        <a:pt x="4027932" y="1466570"/>
                                      </a:lnTo>
                                      <a:lnTo>
                                        <a:pt x="4063403" y="1511287"/>
                                      </a:lnTo>
                                      <a:lnTo>
                                        <a:pt x="4105275" y="1556258"/>
                                      </a:lnTo>
                                      <a:lnTo>
                                        <a:pt x="4143832" y="1592554"/>
                                      </a:lnTo>
                                      <a:lnTo>
                                        <a:pt x="4182072" y="1624050"/>
                                      </a:lnTo>
                                      <a:lnTo>
                                        <a:pt x="4219943" y="1650809"/>
                                      </a:lnTo>
                                      <a:lnTo>
                                        <a:pt x="4257395" y="1672856"/>
                                      </a:lnTo>
                                      <a:lnTo>
                                        <a:pt x="4294378" y="1690243"/>
                                      </a:lnTo>
                                      <a:lnTo>
                                        <a:pt x="4339133" y="1705635"/>
                                      </a:lnTo>
                                      <a:lnTo>
                                        <a:pt x="4381792" y="1714271"/>
                                      </a:lnTo>
                                      <a:lnTo>
                                        <a:pt x="4422330" y="1716443"/>
                                      </a:lnTo>
                                      <a:lnTo>
                                        <a:pt x="4460735" y="1712468"/>
                                      </a:lnTo>
                                      <a:lnTo>
                                        <a:pt x="4533227" y="1684972"/>
                                      </a:lnTo>
                                      <a:lnTo>
                                        <a:pt x="4568253" y="1661007"/>
                                      </a:lnTo>
                                      <a:lnTo>
                                        <a:pt x="4602480" y="1630426"/>
                                      </a:lnTo>
                                      <a:lnTo>
                                        <a:pt x="4632261" y="1596301"/>
                                      </a:lnTo>
                                      <a:lnTo>
                                        <a:pt x="4655032" y="1560601"/>
                                      </a:lnTo>
                                      <a:lnTo>
                                        <a:pt x="4670641" y="1523288"/>
                                      </a:lnTo>
                                      <a:lnTo>
                                        <a:pt x="4678934" y="1484376"/>
                                      </a:lnTo>
                                      <a:lnTo>
                                        <a:pt x="4680788" y="1444447"/>
                                      </a:lnTo>
                                      <a:close/>
                                    </a:path>
                                    <a:path w="5505450" h="5661025">
                                      <a:moveTo>
                                        <a:pt x="4986147" y="1227963"/>
                                      </a:moveTo>
                                      <a:lnTo>
                                        <a:pt x="4780788" y="1022604"/>
                                      </a:lnTo>
                                      <a:lnTo>
                                        <a:pt x="4848479" y="954913"/>
                                      </a:lnTo>
                                      <a:lnTo>
                                        <a:pt x="4880622" y="916901"/>
                                      </a:lnTo>
                                      <a:lnTo>
                                        <a:pt x="4884090" y="910590"/>
                                      </a:lnTo>
                                      <a:lnTo>
                                        <a:pt x="4902111" y="877760"/>
                                      </a:lnTo>
                                      <a:lnTo>
                                        <a:pt x="4912817" y="837577"/>
                                      </a:lnTo>
                                      <a:lnTo>
                                        <a:pt x="4912614" y="796417"/>
                                      </a:lnTo>
                                      <a:lnTo>
                                        <a:pt x="4902517" y="754748"/>
                                      </a:lnTo>
                                      <a:lnTo>
                                        <a:pt x="4883442" y="713003"/>
                                      </a:lnTo>
                                      <a:lnTo>
                                        <a:pt x="4855299" y="671169"/>
                                      </a:lnTo>
                                      <a:lnTo>
                                        <a:pt x="4817999" y="629285"/>
                                      </a:lnTo>
                                      <a:lnTo>
                                        <a:pt x="4777473" y="593026"/>
                                      </a:lnTo>
                                      <a:lnTo>
                                        <a:pt x="4737443" y="565632"/>
                                      </a:lnTo>
                                      <a:lnTo>
                                        <a:pt x="4731893" y="563016"/>
                                      </a:lnTo>
                                      <a:lnTo>
                                        <a:pt x="4731893" y="812673"/>
                                      </a:lnTo>
                                      <a:lnTo>
                                        <a:pt x="4731131" y="828903"/>
                                      </a:lnTo>
                                      <a:lnTo>
                                        <a:pt x="4725314" y="845553"/>
                                      </a:lnTo>
                                      <a:lnTo>
                                        <a:pt x="4714595" y="862672"/>
                                      </a:lnTo>
                                      <a:lnTo>
                                        <a:pt x="4699127" y="880237"/>
                                      </a:lnTo>
                                      <a:lnTo>
                                        <a:pt x="4668774" y="910590"/>
                                      </a:lnTo>
                                      <a:lnTo>
                                        <a:pt x="4545330" y="787146"/>
                                      </a:lnTo>
                                      <a:lnTo>
                                        <a:pt x="4580509" y="751967"/>
                                      </a:lnTo>
                                      <a:lnTo>
                                        <a:pt x="4597628" y="737082"/>
                                      </a:lnTo>
                                      <a:lnTo>
                                        <a:pt x="4614189" y="727290"/>
                                      </a:lnTo>
                                      <a:lnTo>
                                        <a:pt x="4630229" y="722553"/>
                                      </a:lnTo>
                                      <a:lnTo>
                                        <a:pt x="4645787" y="722884"/>
                                      </a:lnTo>
                                      <a:lnTo>
                                        <a:pt x="4689233" y="742772"/>
                                      </a:lnTo>
                                      <a:lnTo>
                                        <a:pt x="4723168" y="782447"/>
                                      </a:lnTo>
                                      <a:lnTo>
                                        <a:pt x="4731893" y="812673"/>
                                      </a:lnTo>
                                      <a:lnTo>
                                        <a:pt x="4731893" y="563016"/>
                                      </a:lnTo>
                                      <a:lnTo>
                                        <a:pt x="4697946" y="546963"/>
                                      </a:lnTo>
                                      <a:lnTo>
                                        <a:pt x="4658995" y="536829"/>
                                      </a:lnTo>
                                      <a:lnTo>
                                        <a:pt x="4620869" y="536219"/>
                                      </a:lnTo>
                                      <a:lnTo>
                                        <a:pt x="4584039" y="545515"/>
                                      </a:lnTo>
                                      <a:lnTo>
                                        <a:pt x="4548530" y="564603"/>
                                      </a:lnTo>
                                      <a:lnTo>
                                        <a:pt x="4514342" y="593344"/>
                                      </a:lnTo>
                                      <a:lnTo>
                                        <a:pt x="4308729" y="798830"/>
                                      </a:lnTo>
                                      <a:lnTo>
                                        <a:pt x="4861941" y="1352042"/>
                                      </a:lnTo>
                                      <a:lnTo>
                                        <a:pt x="4986147" y="1227963"/>
                                      </a:lnTo>
                                      <a:close/>
                                    </a:path>
                                    <a:path w="5505450" h="5661025">
                                      <a:moveTo>
                                        <a:pt x="5505323" y="708660"/>
                                      </a:moveTo>
                                      <a:lnTo>
                                        <a:pt x="5273548" y="477012"/>
                                      </a:lnTo>
                                      <a:lnTo>
                                        <a:pt x="5240020" y="381711"/>
                                      </a:lnTo>
                                      <a:lnTo>
                                        <a:pt x="5141201" y="95250"/>
                                      </a:lnTo>
                                      <a:lnTo>
                                        <a:pt x="5107686" y="0"/>
                                      </a:lnTo>
                                      <a:lnTo>
                                        <a:pt x="4971034" y="136652"/>
                                      </a:lnTo>
                                      <a:lnTo>
                                        <a:pt x="4988852" y="181178"/>
                                      </a:lnTo>
                                      <a:lnTo>
                                        <a:pt x="5041531" y="315112"/>
                                      </a:lnTo>
                                      <a:lnTo>
                                        <a:pt x="5077079" y="404241"/>
                                      </a:lnTo>
                                      <a:lnTo>
                                        <a:pt x="5032565" y="386359"/>
                                      </a:lnTo>
                                      <a:lnTo>
                                        <a:pt x="4898745" y="333527"/>
                                      </a:lnTo>
                                      <a:lnTo>
                                        <a:pt x="4809744" y="297942"/>
                                      </a:lnTo>
                                      <a:lnTo>
                                        <a:pt x="4672457" y="435229"/>
                                      </a:lnTo>
                                      <a:lnTo>
                                        <a:pt x="4767770" y="468693"/>
                                      </a:lnTo>
                                      <a:lnTo>
                                        <a:pt x="5054397" y="567385"/>
                                      </a:lnTo>
                                      <a:lnTo>
                                        <a:pt x="5149723" y="600837"/>
                                      </a:lnTo>
                                      <a:lnTo>
                                        <a:pt x="5381498" y="832485"/>
                                      </a:lnTo>
                                      <a:lnTo>
                                        <a:pt x="5505323" y="70866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7.907999pt;margin-top:9.787461pt;width:433.5pt;height:445.75pt;mso-position-horizontal-relative:column;mso-position-vertical-relative:paragraph;z-index:-25172992" id="docshapegroup290" coordorigin="358,196" coordsize="8670,8915">
                      <v:shape style="position:absolute;left:358;top:195;width:8670;height:8915" id="docshape291" coordorigin="358,196" coordsize="8670,8915" path="m1424,8915l553,8044,358,8239,1229,9110,1424,8915xm2016,8239l2015,8200,2010,8157,2001,8113,1987,8069,1968,8026,1945,7983,1917,7940,1887,7899,1853,7859,1816,7820,1297,7301,1103,7495,1634,8027,1667,8062,1691,8098,1708,8133,1718,8167,1719,8200,1713,8230,1699,8259,1678,8285,1652,8306,1623,8320,1592,8326,1559,8324,1525,8315,1490,8298,1455,8274,1419,8242,888,7710,693,7904,1213,8424,1247,8456,1286,8488,1330,8520,1378,8553,1410,8572,1445,8588,1482,8601,1520,8612,1559,8619,1595,8623,1629,8623,1662,8620,1693,8613,1725,8601,1757,8585,1788,8565,1819,8541,1847,8519,1873,8496,1897,8473,1933,8433,1963,8392,1987,8350,2004,8308,2012,8275,2016,8239xm2744,7456l2738,7392,2722,7327,2696,7260,2668,7205,2633,7149,2590,7092,2540,7033,2522,7014,2483,6972,2459,6950,2459,7444,2454,7484,2439,7521,2413,7554,2380,7580,2343,7595,2303,7599,2258,7593,2209,7575,2156,7543,2097,7498,2033,7439,1974,7375,1928,7316,1897,7262,1878,7213,1872,7168,1876,7128,1891,7092,1915,7060,1948,7035,1984,7019,2025,7014,2069,7019,2117,7037,2169,7066,2225,7109,2285,7164,2350,7233,2400,7296,2434,7352,2453,7401,2459,7444,2459,6950,2413,6907,2344,6852,2275,6807,2206,6772,2138,6746,2071,6730,1992,6725,1916,6735,1845,6760,1776,6801,1712,6856,1658,6920,1618,6987,1594,7059,1585,7135,1591,7214,1608,7282,1634,7351,1670,7421,1716,7491,1772,7562,1838,7632,1898,7689,1958,7739,2018,7781,2077,7816,2135,7843,2206,7868,2273,7881,2337,7885,2397,7878,2455,7862,2511,7835,2567,7797,2620,7749,2667,7695,2703,7639,2720,7599,2728,7580,2741,7519,2744,7456xm3015,6877l2828,6689,2574,6944,2761,7131,3015,6877xm3526,6814l2655,5943,2460,6138,3331,7009,3526,6814xm3860,6480l3537,6156,3643,6050,3694,5990,3699,5980,3728,5928,3745,5865,3744,5800,3728,5735,3705,5684,3698,5669,3654,5603,3595,5537,3532,5480,3469,5437,3460,5433,3460,5826,3459,5851,3449,5878,3432,5905,3408,5932,3360,5980,3166,5786,3221,5730,3248,5707,3274,5691,3300,5684,3324,5684,3348,5691,3371,5701,3393,5716,3414,5734,3432,5756,3446,5778,3455,5802,3460,5826,3460,5433,3406,5407,3345,5391,3285,5390,3227,5405,3171,5435,3117,5481,2793,5804,3665,6675,3860,6480xm4650,5690l3994,5034,4192,4835,3977,4620,3386,5212,3601,5427,3799,5229,4455,5885,4650,5690xm5285,5055l4629,4398,4828,4200,4613,3985,4021,4577,4236,4792,4435,4593,5091,5249,5285,5055xm6019,4181l6013,4117,5997,4052,5971,3985,5943,3930,5908,3875,5865,3817,5815,3758,5797,3739,5758,3698,5734,3675,5734,4169,5729,4209,5713,4246,5687,4279,5655,4305,5618,4320,5578,4324,5533,4318,5484,4300,5431,4268,5372,4223,5308,4164,5249,4100,5203,4041,5171,3987,5153,3938,5147,3893,5151,3853,5165,3817,5190,3785,5223,3760,5259,3744,5300,3739,5344,3744,5392,3762,5444,3791,5500,3834,5560,3889,5625,3958,5675,4021,5709,4077,5728,4126,5734,4169,5734,3675,5688,3633,5618,3577,5549,3532,5481,3497,5413,3471,5345,3455,5267,3450,5191,3460,5119,3485,5051,3526,4987,3581,4933,3645,4893,3712,4869,3784,4860,3860,4866,3939,4883,4008,4909,4077,4945,4146,4991,4216,5046,4287,5112,4357,5173,4415,5233,4464,5293,4506,5352,4541,5410,4568,5481,4593,5548,4606,5612,4610,5672,4604,5730,4587,5786,4560,5841,4522,5895,4474,5942,4421,5978,4364,5995,4324,6003,4306,6016,4244,6019,4181xm7032,3186l7027,3137,7015,3086,6996,3034,6971,2979,6941,2924,6903,2866,6842,2891,6661,2966,6693,3012,6717,3055,6735,3095,6746,3133,6749,3168,6743,3201,6728,3232,6705,3261,6674,3285,6640,3299,6602,3303,6562,3297,6515,3278,6462,3244,6400,3195,6331,3130,6279,3074,6237,3022,6206,2974,6186,2932,6173,2880,6174,2833,6187,2792,6214,2757,6229,2743,6246,2733,6264,2725,6284,2720,6304,2718,6326,2719,6348,2722,6371,2728,6386,2734,6404,2742,6425,2753,6448,2767,6567,2543,6484,2497,6405,2465,6331,2445,6262,2439,6195,2447,6131,2470,6068,2507,6008,2560,5954,2622,5916,2689,5892,2759,5883,2833,5889,2911,5905,2978,5932,3046,5968,3115,6015,3184,6071,3255,6138,3327,6202,3387,6266,3440,6329,3483,6391,3519,6452,3546,6524,3570,6592,3582,6653,3585,6709,3578,6762,3562,6814,3535,6866,3498,6918,3452,6956,3409,6987,3366,7009,3322,7023,3278,7031,3233,7032,3186xm7729,2470l7723,2406,7708,2341,7682,2274,7654,2220,7619,2164,7576,2106,7526,2047,7508,2028,7469,1987,7445,1964,7445,2458,7440,2499,7424,2535,7398,2568,7366,2594,7329,2609,7289,2613,7244,2607,7195,2589,7141,2557,7083,2512,7019,2453,6960,2389,6914,2330,6882,2276,6864,2227,6858,2182,6862,2142,6876,2106,6901,2075,6933,2049,6970,2033,7011,2028,7055,2033,7103,2051,7155,2080,7211,2123,7271,2178,7336,2247,7385,2310,7420,2366,7439,2415,7445,2458,7445,1964,7399,1922,7329,1866,7260,1821,7192,1786,7124,1760,7056,1744,6977,1739,6902,1749,6830,1774,6762,1815,6697,1870,6643,1934,6604,2001,6580,2073,6571,2149,6577,2229,6593,2297,6620,2366,6656,2435,6701,2505,6757,2576,6823,2647,6884,2704,6944,2753,7004,2795,7063,2830,7121,2858,7191,2882,7259,2895,7322,2899,7383,2893,7441,2876,7497,2849,7552,2812,7606,2763,7653,2710,7689,2653,7706,2613,7714,2595,7727,2533,7729,2470xm8210,2130l7887,1806,7994,1700,8044,1640,8050,1630,8078,1578,8095,1515,8095,1450,8079,1384,8056,1334,8049,1319,8004,1253,7946,1187,7882,1130,7819,1087,7810,1082,7810,1476,7809,1501,7800,1527,7783,1554,7758,1582,7711,1630,7516,1435,7572,1380,7599,1357,7625,1341,7650,1334,7674,1334,7698,1341,7721,1351,7743,1365,7764,1384,7782,1405,7796,1428,7805,1451,7810,1476,7810,1082,7757,1057,7695,1041,7635,1040,7577,1055,7521,1085,7467,1130,7144,1454,8015,2325,8210,2130xm9028,1312l8663,947,8610,797,8455,346,8402,196,8187,411,8215,481,8298,692,8354,832,8283,804,8073,721,7933,665,7716,881,7866,934,8318,1089,8468,1142,8833,1507,9028,1312xe" filled="true" fillcolor="#c0c0c0" stroked="false">
                        <v:path arrowok="t"/>
                        <v:fill opacity="32896f" type="solid"/>
                      </v:shape>
                      <w10:wrap type="none"/>
                    </v:group>
                  </w:pict>
                </mc:Fallback>
              </mc:AlternateContent>
            </w:r>
            <w:r>
              <w:rPr>
                <w:spacing w:val="-2"/>
                <w:sz w:val="18"/>
              </w:rPr>
              <w:t>0.000000</w:t>
            </w:r>
          </w:p>
        </w:tc>
        <w:tc>
          <w:tcPr>
            <w:tcW w:w="1561" w:type="dxa"/>
          </w:tcPr>
          <w:p>
            <w:pPr>
              <w:pStyle w:val="TableParagraph"/>
              <w:spacing w:line="192" w:lineRule="exact" w:before="0"/>
              <w:ind w:left="51" w:right="4"/>
              <w:jc w:val="center"/>
              <w:rPr>
                <w:sz w:val="18"/>
              </w:rPr>
            </w:pPr>
            <w:r>
              <w:rPr>
                <w:spacing w:val="-2"/>
                <w:sz w:val="18"/>
              </w:rPr>
              <w:t>0.000000</w:t>
            </w:r>
          </w:p>
        </w:tc>
        <w:tc>
          <w:tcPr>
            <w:tcW w:w="1350" w:type="dxa"/>
          </w:tcPr>
          <w:p>
            <w:pPr>
              <w:pStyle w:val="TableParagraph"/>
              <w:spacing w:line="192" w:lineRule="exact" w:before="0"/>
              <w:ind w:left="51" w:right="74"/>
              <w:jc w:val="center"/>
              <w:rPr>
                <w:sz w:val="18"/>
              </w:rPr>
            </w:pPr>
            <w:r>
              <w:rPr>
                <w:spacing w:val="-2"/>
                <w:sz w:val="18"/>
              </w:rPr>
              <w:t>0.000000</w:t>
            </w:r>
          </w:p>
        </w:tc>
        <w:tc>
          <w:tcPr>
            <w:tcW w:w="1418" w:type="dxa"/>
          </w:tcPr>
          <w:p>
            <w:pPr>
              <w:pStyle w:val="TableParagraph"/>
              <w:spacing w:line="192" w:lineRule="exact" w:before="0"/>
              <w:ind w:left="53" w:right="10"/>
              <w:jc w:val="center"/>
              <w:rPr>
                <w:sz w:val="18"/>
              </w:rPr>
            </w:pPr>
            <w:r>
              <w:rPr>
                <w:spacing w:val="-2"/>
                <w:sz w:val="18"/>
              </w:rPr>
              <w:t>1.000000</w:t>
            </w:r>
          </w:p>
        </w:tc>
        <w:tc>
          <w:tcPr>
            <w:tcW w:w="1406" w:type="dxa"/>
          </w:tcPr>
          <w:p>
            <w:pPr>
              <w:pStyle w:val="TableParagraph"/>
              <w:spacing w:line="192" w:lineRule="exact" w:before="0"/>
              <w:ind w:left="154" w:right="102"/>
              <w:jc w:val="center"/>
              <w:rPr>
                <w:sz w:val="18"/>
              </w:rPr>
            </w:pPr>
            <w:r>
              <w:rPr>
                <w:spacing w:val="-2"/>
                <w:sz w:val="18"/>
              </w:rPr>
              <w:t>0.000000</w:t>
            </w:r>
          </w:p>
        </w:tc>
        <w:tc>
          <w:tcPr>
            <w:tcW w:w="1439" w:type="dxa"/>
          </w:tcPr>
          <w:p>
            <w:pPr>
              <w:pStyle w:val="TableParagraph"/>
              <w:spacing w:line="192" w:lineRule="exact" w:before="0"/>
              <w:ind w:left="50" w:right="7"/>
              <w:jc w:val="center"/>
              <w:rPr>
                <w:sz w:val="18"/>
              </w:rPr>
            </w:pPr>
            <w:r>
              <w:rPr>
                <w:spacing w:val="-2"/>
                <w:sz w:val="18"/>
              </w:rPr>
              <w:t>52.67354</w:t>
            </w:r>
          </w:p>
        </w:tc>
        <w:tc>
          <w:tcPr>
            <w:tcW w:w="1409" w:type="dxa"/>
          </w:tcPr>
          <w:p>
            <w:pPr>
              <w:pStyle w:val="TableParagraph"/>
              <w:spacing w:line="192" w:lineRule="exact" w:before="0"/>
              <w:ind w:left="56" w:right="27"/>
              <w:jc w:val="center"/>
              <w:rPr>
                <w:sz w:val="18"/>
              </w:rPr>
            </w:pPr>
            <w:r>
              <w:rPr>
                <w:spacing w:val="-2"/>
                <w:sz w:val="18"/>
              </w:rPr>
              <w:t>0.575354</w:t>
            </w:r>
          </w:p>
        </w:tc>
        <w:tc>
          <w:tcPr>
            <w:tcW w:w="2834" w:type="dxa"/>
          </w:tcPr>
          <w:p>
            <w:pPr>
              <w:pStyle w:val="TableParagraph"/>
              <w:spacing w:line="192" w:lineRule="exact" w:before="0"/>
              <w:ind w:right="1425"/>
              <w:jc w:val="center"/>
              <w:rPr>
                <w:sz w:val="18"/>
              </w:rPr>
            </w:pPr>
            <w:r>
              <w:rPr>
                <w:spacing w:val="-2"/>
                <w:sz w:val="18"/>
              </w:rPr>
              <w:t>-7.056656</w:t>
            </w: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before="5"/>
              <w:ind w:left="51" w:right="7"/>
              <w:jc w:val="center"/>
              <w:rPr>
                <w:sz w:val="18"/>
              </w:rPr>
            </w:pPr>
            <w:r>
              <w:rPr>
                <w:spacing w:val="-2"/>
                <w:sz w:val="18"/>
              </w:rPr>
              <w:t>(8.11102)</w:t>
            </w:r>
          </w:p>
        </w:tc>
        <w:tc>
          <w:tcPr>
            <w:tcW w:w="1409" w:type="dxa"/>
          </w:tcPr>
          <w:p>
            <w:pPr>
              <w:pStyle w:val="TableParagraph"/>
              <w:spacing w:before="5"/>
              <w:ind w:left="56" w:right="27"/>
              <w:jc w:val="center"/>
              <w:rPr>
                <w:sz w:val="18"/>
              </w:rPr>
            </w:pPr>
            <w:r>
              <w:rPr>
                <w:spacing w:val="-2"/>
                <w:sz w:val="18"/>
              </w:rPr>
              <w:t>(8.54152)</w:t>
            </w:r>
          </w:p>
        </w:tc>
        <w:tc>
          <w:tcPr>
            <w:tcW w:w="2834" w:type="dxa"/>
          </w:tcPr>
          <w:p>
            <w:pPr>
              <w:pStyle w:val="TableParagraph"/>
              <w:spacing w:before="5"/>
              <w:ind w:left="51" w:right="1425"/>
              <w:jc w:val="center"/>
              <w:rPr>
                <w:sz w:val="18"/>
              </w:rPr>
            </w:pPr>
            <w:r>
              <w:rPr>
                <w:spacing w:val="-2"/>
                <w:sz w:val="18"/>
              </w:rPr>
              <w:t>(0.90566)</w:t>
            </w:r>
          </w:p>
        </w:tc>
      </w:tr>
      <w:tr>
        <w:trPr>
          <w:trHeight w:val="225" w:hRule="atLeast"/>
        </w:trPr>
        <w:tc>
          <w:tcPr>
            <w:tcW w:w="1467" w:type="dxa"/>
          </w:tcPr>
          <w:p>
            <w:pPr>
              <w:pStyle w:val="TableParagraph"/>
              <w:ind w:left="56" w:right="81"/>
              <w:jc w:val="center"/>
              <w:rPr>
                <w:sz w:val="18"/>
              </w:rPr>
            </w:pPr>
            <w:r>
              <w:rPr>
                <w:spacing w:val="-2"/>
                <w:sz w:val="18"/>
              </w:rPr>
              <w:t>0.000000</w:t>
            </w:r>
          </w:p>
        </w:tc>
        <w:tc>
          <w:tcPr>
            <w:tcW w:w="1266" w:type="dxa"/>
          </w:tcPr>
          <w:p>
            <w:pPr>
              <w:pStyle w:val="TableParagraph"/>
              <w:ind w:left="47" w:right="10"/>
              <w:jc w:val="center"/>
              <w:rPr>
                <w:sz w:val="18"/>
              </w:rPr>
            </w:pPr>
            <w:r>
              <w:rPr>
                <w:spacing w:val="-2"/>
                <w:sz w:val="18"/>
              </w:rPr>
              <w:t>0.000000</w:t>
            </w:r>
          </w:p>
        </w:tc>
        <w:tc>
          <w:tcPr>
            <w:tcW w:w="1561" w:type="dxa"/>
          </w:tcPr>
          <w:p>
            <w:pPr>
              <w:pStyle w:val="TableParagraph"/>
              <w:ind w:left="51" w:right="4"/>
              <w:jc w:val="center"/>
              <w:rPr>
                <w:sz w:val="18"/>
              </w:rPr>
            </w:pPr>
            <w:r>
              <w:rPr>
                <w:spacing w:val="-2"/>
                <w:sz w:val="18"/>
              </w:rPr>
              <w:t>0.000000</w:t>
            </w:r>
          </w:p>
        </w:tc>
        <w:tc>
          <w:tcPr>
            <w:tcW w:w="1350" w:type="dxa"/>
          </w:tcPr>
          <w:p>
            <w:pPr>
              <w:pStyle w:val="TableParagraph"/>
              <w:ind w:left="51" w:right="74"/>
              <w:jc w:val="center"/>
              <w:rPr>
                <w:sz w:val="18"/>
              </w:rPr>
            </w:pPr>
            <w:r>
              <w:rPr>
                <w:spacing w:val="-2"/>
                <w:sz w:val="18"/>
              </w:rPr>
              <w:t>0.000000</w:t>
            </w:r>
          </w:p>
        </w:tc>
        <w:tc>
          <w:tcPr>
            <w:tcW w:w="1418" w:type="dxa"/>
          </w:tcPr>
          <w:p>
            <w:pPr>
              <w:pStyle w:val="TableParagraph"/>
              <w:ind w:left="53" w:right="10"/>
              <w:jc w:val="center"/>
              <w:rPr>
                <w:sz w:val="18"/>
              </w:rPr>
            </w:pPr>
            <w:r>
              <w:rPr>
                <w:spacing w:val="-2"/>
                <w:sz w:val="18"/>
              </w:rPr>
              <w:t>0.000000</w:t>
            </w:r>
          </w:p>
        </w:tc>
        <w:tc>
          <w:tcPr>
            <w:tcW w:w="1406" w:type="dxa"/>
          </w:tcPr>
          <w:p>
            <w:pPr>
              <w:pStyle w:val="TableParagraph"/>
              <w:ind w:left="154" w:right="102"/>
              <w:jc w:val="center"/>
              <w:rPr>
                <w:sz w:val="18"/>
              </w:rPr>
            </w:pPr>
            <w:r>
              <w:rPr>
                <w:spacing w:val="-2"/>
                <w:sz w:val="18"/>
              </w:rPr>
              <w:t>1.000000</w:t>
            </w:r>
          </w:p>
        </w:tc>
        <w:tc>
          <w:tcPr>
            <w:tcW w:w="1439" w:type="dxa"/>
          </w:tcPr>
          <w:p>
            <w:pPr>
              <w:pStyle w:val="TableParagraph"/>
              <w:ind w:left="44" w:right="48"/>
              <w:jc w:val="center"/>
              <w:rPr>
                <w:sz w:val="18"/>
              </w:rPr>
            </w:pPr>
            <w:r>
              <w:rPr>
                <w:spacing w:val="-2"/>
                <w:sz w:val="18"/>
              </w:rPr>
              <w:t>-117.5103</w:t>
            </w:r>
          </w:p>
        </w:tc>
        <w:tc>
          <w:tcPr>
            <w:tcW w:w="1409" w:type="dxa"/>
          </w:tcPr>
          <w:p>
            <w:pPr>
              <w:pStyle w:val="TableParagraph"/>
              <w:ind w:left="56" w:right="27"/>
              <w:jc w:val="center"/>
              <w:rPr>
                <w:sz w:val="18"/>
              </w:rPr>
            </w:pPr>
            <w:r>
              <w:rPr>
                <w:spacing w:val="-2"/>
                <w:sz w:val="18"/>
              </w:rPr>
              <w:t>153.8096</w:t>
            </w:r>
          </w:p>
        </w:tc>
        <w:tc>
          <w:tcPr>
            <w:tcW w:w="2834" w:type="dxa"/>
          </w:tcPr>
          <w:p>
            <w:pPr>
              <w:pStyle w:val="TableParagraph"/>
              <w:ind w:right="1425"/>
              <w:jc w:val="center"/>
              <w:rPr>
                <w:sz w:val="18"/>
              </w:rPr>
            </w:pPr>
            <w:r>
              <w:rPr>
                <w:spacing w:val="-2"/>
                <w:sz w:val="18"/>
              </w:rPr>
              <w:t>-57.38708</w:t>
            </w:r>
          </w:p>
        </w:tc>
      </w:tr>
      <w:tr>
        <w:trPr>
          <w:trHeight w:val="337" w:hRule="atLeast"/>
        </w:trPr>
        <w:tc>
          <w:tcPr>
            <w:tcW w:w="1467" w:type="dxa"/>
          </w:tcPr>
          <w:p>
            <w:pPr>
              <w:pStyle w:val="TableParagraph"/>
              <w:spacing w:line="240" w:lineRule="auto" w:before="0"/>
              <w:rPr>
                <w:rFonts w:ascii="Times New Roman"/>
                <w:sz w:val="18"/>
              </w:rPr>
            </w:pPr>
          </w:p>
        </w:tc>
        <w:tc>
          <w:tcPr>
            <w:tcW w:w="1266" w:type="dxa"/>
          </w:tcPr>
          <w:p>
            <w:pPr>
              <w:pStyle w:val="TableParagraph"/>
              <w:spacing w:line="240" w:lineRule="auto" w:before="0"/>
              <w:rPr>
                <w:rFonts w:ascii="Times New Roman"/>
                <w:sz w:val="18"/>
              </w:rPr>
            </w:pPr>
          </w:p>
        </w:tc>
        <w:tc>
          <w:tcPr>
            <w:tcW w:w="1561" w:type="dxa"/>
          </w:tcPr>
          <w:p>
            <w:pPr>
              <w:pStyle w:val="TableParagraph"/>
              <w:spacing w:line="240" w:lineRule="auto" w:before="0"/>
              <w:rPr>
                <w:rFonts w:ascii="Times New Roman"/>
                <w:sz w:val="18"/>
              </w:rPr>
            </w:pPr>
          </w:p>
        </w:tc>
        <w:tc>
          <w:tcPr>
            <w:tcW w:w="1350" w:type="dxa"/>
          </w:tcPr>
          <w:p>
            <w:pPr>
              <w:pStyle w:val="TableParagraph"/>
              <w:spacing w:line="240" w:lineRule="auto" w:before="0"/>
              <w:rPr>
                <w:rFonts w:ascii="Times New Roman"/>
                <w:sz w:val="18"/>
              </w:rPr>
            </w:pPr>
          </w:p>
        </w:tc>
        <w:tc>
          <w:tcPr>
            <w:tcW w:w="1418" w:type="dxa"/>
          </w:tcPr>
          <w:p>
            <w:pPr>
              <w:pStyle w:val="TableParagraph"/>
              <w:spacing w:line="240" w:lineRule="auto" w:before="0"/>
              <w:rPr>
                <w:rFonts w:ascii="Times New Roman"/>
                <w:sz w:val="18"/>
              </w:rPr>
            </w:pPr>
          </w:p>
        </w:tc>
        <w:tc>
          <w:tcPr>
            <w:tcW w:w="1406" w:type="dxa"/>
          </w:tcPr>
          <w:p>
            <w:pPr>
              <w:pStyle w:val="TableParagraph"/>
              <w:spacing w:line="240" w:lineRule="auto" w:before="0"/>
              <w:rPr>
                <w:rFonts w:ascii="Times New Roman"/>
                <w:sz w:val="18"/>
              </w:rPr>
            </w:pPr>
          </w:p>
        </w:tc>
        <w:tc>
          <w:tcPr>
            <w:tcW w:w="1439" w:type="dxa"/>
          </w:tcPr>
          <w:p>
            <w:pPr>
              <w:pStyle w:val="TableParagraph"/>
              <w:spacing w:line="240" w:lineRule="auto"/>
              <w:ind w:left="51" w:right="7"/>
              <w:jc w:val="center"/>
              <w:rPr>
                <w:sz w:val="18"/>
              </w:rPr>
            </w:pPr>
            <w:r>
              <w:rPr>
                <w:spacing w:val="-2"/>
                <w:sz w:val="18"/>
              </w:rPr>
              <w:t>(57.4844)</w:t>
            </w:r>
          </w:p>
        </w:tc>
        <w:tc>
          <w:tcPr>
            <w:tcW w:w="1409" w:type="dxa"/>
          </w:tcPr>
          <w:p>
            <w:pPr>
              <w:pStyle w:val="TableParagraph"/>
              <w:spacing w:line="240" w:lineRule="auto"/>
              <w:ind w:left="56" w:right="27"/>
              <w:jc w:val="center"/>
              <w:rPr>
                <w:sz w:val="18"/>
              </w:rPr>
            </w:pPr>
            <w:r>
              <w:rPr>
                <w:spacing w:val="-2"/>
                <w:sz w:val="18"/>
              </w:rPr>
              <w:t>(60.5355)</w:t>
            </w:r>
          </w:p>
        </w:tc>
        <w:tc>
          <w:tcPr>
            <w:tcW w:w="2834" w:type="dxa"/>
          </w:tcPr>
          <w:p>
            <w:pPr>
              <w:pStyle w:val="TableParagraph"/>
              <w:spacing w:line="240" w:lineRule="auto"/>
              <w:ind w:left="51" w:right="1425"/>
              <w:jc w:val="center"/>
              <w:rPr>
                <w:sz w:val="18"/>
              </w:rPr>
            </w:pPr>
            <w:r>
              <w:rPr>
                <w:spacing w:val="-2"/>
                <w:sz w:val="18"/>
              </w:rPr>
              <w:t>(6.41862)</w:t>
            </w:r>
          </w:p>
        </w:tc>
      </w:tr>
      <w:tr>
        <w:trPr>
          <w:trHeight w:val="337" w:hRule="atLeast"/>
        </w:trPr>
        <w:tc>
          <w:tcPr>
            <w:tcW w:w="14150" w:type="dxa"/>
            <w:gridSpan w:val="9"/>
          </w:tcPr>
          <w:p>
            <w:pPr>
              <w:pStyle w:val="TableParagraph"/>
              <w:spacing w:before="118"/>
              <w:rPr>
                <w:sz w:val="18"/>
              </w:rPr>
            </w:pPr>
            <w:r>
              <w:rPr>
                <w:sz w:val="18"/>
              </w:rPr>
              <w:t>Adjustment</w:t>
            </w:r>
            <w:r>
              <w:rPr>
                <w:spacing w:val="-4"/>
                <w:sz w:val="18"/>
              </w:rPr>
              <w:t> </w:t>
            </w:r>
            <w:r>
              <w:rPr>
                <w:sz w:val="18"/>
              </w:rPr>
              <w:t>coefficients</w:t>
            </w:r>
            <w:r>
              <w:rPr>
                <w:spacing w:val="-3"/>
                <w:sz w:val="18"/>
              </w:rPr>
              <w:t> </w:t>
            </w:r>
            <w:r>
              <w:rPr>
                <w:sz w:val="18"/>
              </w:rPr>
              <w:t>(standard</w:t>
            </w:r>
            <w:r>
              <w:rPr>
                <w:spacing w:val="-3"/>
                <w:sz w:val="18"/>
              </w:rPr>
              <w:t> </w:t>
            </w:r>
            <w:r>
              <w:rPr>
                <w:sz w:val="18"/>
              </w:rPr>
              <w:t>error</w:t>
            </w:r>
            <w:r>
              <w:rPr>
                <w:spacing w:val="-7"/>
                <w:sz w:val="18"/>
              </w:rPr>
              <w:t> </w:t>
            </w:r>
            <w:r>
              <w:rPr>
                <w:sz w:val="18"/>
              </w:rPr>
              <w:t>in</w:t>
            </w:r>
            <w:r>
              <w:rPr>
                <w:spacing w:val="-1"/>
                <w:sz w:val="18"/>
              </w:rPr>
              <w:t> </w:t>
            </w:r>
            <w:r>
              <w:rPr>
                <w:spacing w:val="-2"/>
                <w:sz w:val="18"/>
              </w:rPr>
              <w:t>parentheses)</w:t>
            </w:r>
          </w:p>
        </w:tc>
      </w:tr>
      <w:tr>
        <w:trPr>
          <w:trHeight w:val="225" w:hRule="atLeast"/>
        </w:trPr>
        <w:tc>
          <w:tcPr>
            <w:tcW w:w="1467" w:type="dxa"/>
          </w:tcPr>
          <w:p>
            <w:pPr>
              <w:pStyle w:val="TableParagraph"/>
              <w:ind w:right="81"/>
              <w:jc w:val="center"/>
              <w:rPr>
                <w:sz w:val="18"/>
              </w:rPr>
            </w:pPr>
            <w:r>
              <w:rPr>
                <w:spacing w:val="-2"/>
                <w:sz w:val="18"/>
              </w:rPr>
              <w:t>D(RGDP)</w:t>
            </w:r>
          </w:p>
        </w:tc>
        <w:tc>
          <w:tcPr>
            <w:tcW w:w="1266" w:type="dxa"/>
          </w:tcPr>
          <w:p>
            <w:pPr>
              <w:pStyle w:val="TableParagraph"/>
              <w:ind w:left="38" w:right="48"/>
              <w:jc w:val="center"/>
              <w:rPr>
                <w:sz w:val="18"/>
              </w:rPr>
            </w:pPr>
            <w:r>
              <w:rPr>
                <w:spacing w:val="-2"/>
                <w:sz w:val="18"/>
              </w:rPr>
              <w:t>-0.218033</w:t>
            </w:r>
          </w:p>
        </w:tc>
        <w:tc>
          <w:tcPr>
            <w:tcW w:w="1561" w:type="dxa"/>
          </w:tcPr>
          <w:p>
            <w:pPr>
              <w:pStyle w:val="TableParagraph"/>
              <w:ind w:left="51" w:right="4"/>
              <w:jc w:val="center"/>
              <w:rPr>
                <w:sz w:val="18"/>
              </w:rPr>
            </w:pPr>
            <w:r>
              <w:rPr>
                <w:spacing w:val="-2"/>
                <w:sz w:val="18"/>
              </w:rPr>
              <w:t>0.641542</w:t>
            </w:r>
          </w:p>
        </w:tc>
        <w:tc>
          <w:tcPr>
            <w:tcW w:w="1350" w:type="dxa"/>
          </w:tcPr>
          <w:p>
            <w:pPr>
              <w:pStyle w:val="TableParagraph"/>
              <w:ind w:left="51" w:right="74"/>
              <w:jc w:val="center"/>
              <w:rPr>
                <w:sz w:val="18"/>
              </w:rPr>
            </w:pPr>
            <w:r>
              <w:rPr>
                <w:spacing w:val="-2"/>
                <w:sz w:val="18"/>
              </w:rPr>
              <w:t>59.22908</w:t>
            </w:r>
          </w:p>
        </w:tc>
        <w:tc>
          <w:tcPr>
            <w:tcW w:w="1418" w:type="dxa"/>
          </w:tcPr>
          <w:p>
            <w:pPr>
              <w:pStyle w:val="TableParagraph"/>
              <w:ind w:left="53" w:right="10"/>
              <w:jc w:val="center"/>
              <w:rPr>
                <w:sz w:val="18"/>
              </w:rPr>
            </w:pPr>
            <w:r>
              <w:rPr>
                <w:spacing w:val="-2"/>
                <w:sz w:val="18"/>
              </w:rPr>
              <w:t>18.22943</w:t>
            </w:r>
          </w:p>
        </w:tc>
        <w:tc>
          <w:tcPr>
            <w:tcW w:w="1406" w:type="dxa"/>
          </w:tcPr>
          <w:p>
            <w:pPr>
              <w:pStyle w:val="TableParagraph"/>
              <w:ind w:left="103" w:right="102"/>
              <w:jc w:val="center"/>
              <w:rPr>
                <w:sz w:val="18"/>
              </w:rPr>
            </w:pPr>
            <w:r>
              <w:rPr>
                <w:spacing w:val="-2"/>
                <w:sz w:val="18"/>
              </w:rPr>
              <w:t>-1.867159</w:t>
            </w:r>
          </w:p>
        </w:tc>
        <w:tc>
          <w:tcPr>
            <w:tcW w:w="1439" w:type="dxa"/>
          </w:tcPr>
          <w:p>
            <w:pPr>
              <w:pStyle w:val="TableParagraph"/>
              <w:ind w:left="44" w:right="48"/>
              <w:jc w:val="center"/>
              <w:rPr>
                <w:sz w:val="18"/>
              </w:rPr>
            </w:pPr>
            <w:r>
              <w:rPr>
                <w:spacing w:val="-2"/>
                <w:sz w:val="18"/>
              </w:rPr>
              <w:t>-0.001333</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(0.06527)</w:t>
            </w:r>
          </w:p>
        </w:tc>
        <w:tc>
          <w:tcPr>
            <w:tcW w:w="1561" w:type="dxa"/>
          </w:tcPr>
          <w:p>
            <w:pPr>
              <w:pStyle w:val="TableParagraph"/>
              <w:ind w:left="52" w:right="4"/>
              <w:jc w:val="center"/>
              <w:rPr>
                <w:sz w:val="18"/>
              </w:rPr>
            </w:pPr>
            <w:r>
              <w:rPr>
                <w:spacing w:val="-2"/>
                <w:sz w:val="18"/>
              </w:rPr>
              <w:t>(0.32782)</w:t>
            </w:r>
          </w:p>
        </w:tc>
        <w:tc>
          <w:tcPr>
            <w:tcW w:w="1350" w:type="dxa"/>
          </w:tcPr>
          <w:p>
            <w:pPr>
              <w:pStyle w:val="TableParagraph"/>
              <w:ind w:left="52" w:right="74"/>
              <w:jc w:val="center"/>
              <w:rPr>
                <w:sz w:val="18"/>
              </w:rPr>
            </w:pPr>
            <w:r>
              <w:rPr>
                <w:spacing w:val="-2"/>
                <w:sz w:val="18"/>
              </w:rPr>
              <w:t>(20.4077)</w:t>
            </w:r>
          </w:p>
        </w:tc>
        <w:tc>
          <w:tcPr>
            <w:tcW w:w="1418" w:type="dxa"/>
          </w:tcPr>
          <w:p>
            <w:pPr>
              <w:pStyle w:val="TableParagraph"/>
              <w:ind w:left="53" w:right="10"/>
              <w:jc w:val="center"/>
              <w:rPr>
                <w:sz w:val="18"/>
              </w:rPr>
            </w:pPr>
            <w:r>
              <w:rPr>
                <w:spacing w:val="-2"/>
                <w:sz w:val="18"/>
              </w:rPr>
              <w:t>(16.2406)</w:t>
            </w:r>
          </w:p>
        </w:tc>
        <w:tc>
          <w:tcPr>
            <w:tcW w:w="1406" w:type="dxa"/>
          </w:tcPr>
          <w:p>
            <w:pPr>
              <w:pStyle w:val="TableParagraph"/>
              <w:ind w:left="154" w:right="102"/>
              <w:jc w:val="center"/>
              <w:rPr>
                <w:sz w:val="18"/>
              </w:rPr>
            </w:pPr>
            <w:r>
              <w:rPr>
                <w:spacing w:val="-2"/>
                <w:sz w:val="18"/>
              </w:rPr>
              <w:t>(0.86667)</w:t>
            </w:r>
          </w:p>
        </w:tc>
        <w:tc>
          <w:tcPr>
            <w:tcW w:w="1439" w:type="dxa"/>
          </w:tcPr>
          <w:p>
            <w:pPr>
              <w:pStyle w:val="TableParagraph"/>
              <w:ind w:left="51" w:right="7"/>
              <w:jc w:val="center"/>
              <w:rPr>
                <w:sz w:val="18"/>
              </w:rPr>
            </w:pPr>
            <w:r>
              <w:rPr>
                <w:spacing w:val="-2"/>
                <w:sz w:val="18"/>
              </w:rPr>
              <w:t>(0.09286)</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left="2" w:right="81"/>
              <w:jc w:val="center"/>
              <w:rPr>
                <w:sz w:val="18"/>
              </w:rPr>
            </w:pPr>
            <w:r>
              <w:rPr>
                <w:spacing w:val="-2"/>
                <w:sz w:val="18"/>
              </w:rPr>
              <w:t>D(FDI)</w:t>
            </w:r>
          </w:p>
        </w:tc>
        <w:tc>
          <w:tcPr>
            <w:tcW w:w="1266" w:type="dxa"/>
          </w:tcPr>
          <w:p>
            <w:pPr>
              <w:pStyle w:val="TableParagraph"/>
              <w:spacing w:line="198" w:lineRule="exact"/>
              <w:ind w:left="47" w:right="10"/>
              <w:jc w:val="center"/>
              <w:rPr>
                <w:sz w:val="18"/>
              </w:rPr>
            </w:pPr>
            <w:r>
              <w:rPr>
                <w:spacing w:val="-2"/>
                <w:sz w:val="18"/>
              </w:rPr>
              <w:t>0.067390</w:t>
            </w:r>
          </w:p>
        </w:tc>
        <w:tc>
          <w:tcPr>
            <w:tcW w:w="1561" w:type="dxa"/>
          </w:tcPr>
          <w:p>
            <w:pPr>
              <w:pStyle w:val="TableParagraph"/>
              <w:spacing w:line="198" w:lineRule="exact"/>
              <w:ind w:left="48" w:right="48"/>
              <w:jc w:val="center"/>
              <w:rPr>
                <w:sz w:val="18"/>
              </w:rPr>
            </w:pPr>
            <w:r>
              <w:rPr>
                <w:spacing w:val="-2"/>
                <w:sz w:val="18"/>
              </w:rPr>
              <w:t>-0.537121</w:t>
            </w:r>
          </w:p>
        </w:tc>
        <w:tc>
          <w:tcPr>
            <w:tcW w:w="1350" w:type="dxa"/>
          </w:tcPr>
          <w:p>
            <w:pPr>
              <w:pStyle w:val="TableParagraph"/>
              <w:spacing w:line="198" w:lineRule="exact"/>
              <w:ind w:left="1" w:right="74"/>
              <w:jc w:val="center"/>
              <w:rPr>
                <w:sz w:val="18"/>
              </w:rPr>
            </w:pPr>
            <w:r>
              <w:rPr>
                <w:spacing w:val="-2"/>
                <w:sz w:val="18"/>
              </w:rPr>
              <w:t>-9.587062</w:t>
            </w:r>
          </w:p>
        </w:tc>
        <w:tc>
          <w:tcPr>
            <w:tcW w:w="1418" w:type="dxa"/>
          </w:tcPr>
          <w:p>
            <w:pPr>
              <w:pStyle w:val="TableParagraph"/>
              <w:spacing w:line="198" w:lineRule="exact"/>
              <w:ind w:left="43" w:right="48"/>
              <w:jc w:val="center"/>
              <w:rPr>
                <w:sz w:val="18"/>
              </w:rPr>
            </w:pPr>
            <w:r>
              <w:rPr>
                <w:spacing w:val="-2"/>
                <w:sz w:val="18"/>
              </w:rPr>
              <w:t>-6.942973</w:t>
            </w:r>
          </w:p>
        </w:tc>
        <w:tc>
          <w:tcPr>
            <w:tcW w:w="1406" w:type="dxa"/>
          </w:tcPr>
          <w:p>
            <w:pPr>
              <w:pStyle w:val="TableParagraph"/>
              <w:spacing w:line="198" w:lineRule="exact"/>
              <w:ind w:left="154" w:right="102"/>
              <w:jc w:val="center"/>
              <w:rPr>
                <w:sz w:val="18"/>
              </w:rPr>
            </w:pPr>
            <w:r>
              <w:rPr>
                <w:spacing w:val="-2"/>
                <w:sz w:val="18"/>
              </w:rPr>
              <w:t>0.212042</w:t>
            </w:r>
          </w:p>
        </w:tc>
        <w:tc>
          <w:tcPr>
            <w:tcW w:w="1439" w:type="dxa"/>
          </w:tcPr>
          <w:p>
            <w:pPr>
              <w:pStyle w:val="TableParagraph"/>
              <w:spacing w:line="198" w:lineRule="exact"/>
              <w:ind w:left="44" w:right="48"/>
              <w:jc w:val="center"/>
              <w:rPr>
                <w:sz w:val="18"/>
              </w:rPr>
            </w:pPr>
            <w:r>
              <w:rPr>
                <w:spacing w:val="-2"/>
                <w:sz w:val="18"/>
              </w:rPr>
              <w:t>-0.069894</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00" w:lineRule="exact" w:before="5"/>
              <w:ind w:left="48" w:right="10"/>
              <w:jc w:val="center"/>
              <w:rPr>
                <w:sz w:val="18"/>
              </w:rPr>
            </w:pPr>
            <w:r>
              <w:rPr>
                <w:spacing w:val="-2"/>
                <w:sz w:val="18"/>
              </w:rPr>
              <w:t>(0.02713)</w:t>
            </w:r>
          </w:p>
        </w:tc>
        <w:tc>
          <w:tcPr>
            <w:tcW w:w="1561" w:type="dxa"/>
          </w:tcPr>
          <w:p>
            <w:pPr>
              <w:pStyle w:val="TableParagraph"/>
              <w:spacing w:line="200" w:lineRule="exact" w:before="5"/>
              <w:ind w:left="52" w:right="4"/>
              <w:jc w:val="center"/>
              <w:rPr>
                <w:sz w:val="18"/>
              </w:rPr>
            </w:pPr>
            <w:r>
              <w:rPr>
                <w:spacing w:val="-2"/>
                <w:sz w:val="18"/>
              </w:rPr>
              <w:t>(0.13628)</w:t>
            </w:r>
          </w:p>
        </w:tc>
        <w:tc>
          <w:tcPr>
            <w:tcW w:w="1350" w:type="dxa"/>
          </w:tcPr>
          <w:p>
            <w:pPr>
              <w:pStyle w:val="TableParagraph"/>
              <w:spacing w:line="200" w:lineRule="exact" w:before="5"/>
              <w:ind w:left="52" w:right="74"/>
              <w:jc w:val="center"/>
              <w:rPr>
                <w:sz w:val="18"/>
              </w:rPr>
            </w:pPr>
            <w:r>
              <w:rPr>
                <w:spacing w:val="-2"/>
                <w:sz w:val="18"/>
              </w:rPr>
              <w:t>(8.48355)</w:t>
            </w:r>
          </w:p>
        </w:tc>
        <w:tc>
          <w:tcPr>
            <w:tcW w:w="1418" w:type="dxa"/>
          </w:tcPr>
          <w:p>
            <w:pPr>
              <w:pStyle w:val="TableParagraph"/>
              <w:spacing w:line="200" w:lineRule="exact" w:before="5"/>
              <w:ind w:left="53" w:right="10"/>
              <w:jc w:val="center"/>
              <w:rPr>
                <w:sz w:val="18"/>
              </w:rPr>
            </w:pPr>
            <w:r>
              <w:rPr>
                <w:spacing w:val="-2"/>
                <w:sz w:val="18"/>
              </w:rPr>
              <w:t>(6.75128)</w:t>
            </w:r>
          </w:p>
        </w:tc>
        <w:tc>
          <w:tcPr>
            <w:tcW w:w="1406" w:type="dxa"/>
          </w:tcPr>
          <w:p>
            <w:pPr>
              <w:pStyle w:val="TableParagraph"/>
              <w:spacing w:line="200" w:lineRule="exact" w:before="5"/>
              <w:ind w:left="154" w:right="102"/>
              <w:jc w:val="center"/>
              <w:rPr>
                <w:sz w:val="18"/>
              </w:rPr>
            </w:pPr>
            <w:r>
              <w:rPr>
                <w:spacing w:val="-2"/>
                <w:sz w:val="18"/>
              </w:rPr>
              <w:t>(0.36028)</w:t>
            </w:r>
          </w:p>
        </w:tc>
        <w:tc>
          <w:tcPr>
            <w:tcW w:w="1439" w:type="dxa"/>
          </w:tcPr>
          <w:p>
            <w:pPr>
              <w:pStyle w:val="TableParagraph"/>
              <w:spacing w:line="200" w:lineRule="exact" w:before="5"/>
              <w:ind w:left="51" w:right="7"/>
              <w:jc w:val="center"/>
              <w:rPr>
                <w:sz w:val="18"/>
              </w:rPr>
            </w:pPr>
            <w:r>
              <w:rPr>
                <w:spacing w:val="-2"/>
                <w:sz w:val="18"/>
              </w:rPr>
              <w:t>(0.03860)</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2" w:right="81"/>
              <w:jc w:val="center"/>
              <w:rPr>
                <w:sz w:val="18"/>
              </w:rPr>
            </w:pPr>
            <w:r>
              <w:rPr>
                <w:spacing w:val="-2"/>
                <w:sz w:val="18"/>
              </w:rPr>
              <w:t>D(FPI)</w:t>
            </w:r>
          </w:p>
        </w:tc>
        <w:tc>
          <w:tcPr>
            <w:tcW w:w="1266" w:type="dxa"/>
          </w:tcPr>
          <w:p>
            <w:pPr>
              <w:pStyle w:val="TableParagraph"/>
              <w:ind w:left="38" w:right="48"/>
              <w:jc w:val="center"/>
              <w:rPr>
                <w:sz w:val="18"/>
              </w:rPr>
            </w:pPr>
            <w:r>
              <w:rPr>
                <w:spacing w:val="-2"/>
                <w:sz w:val="18"/>
              </w:rPr>
              <w:t>-0.000378</w:t>
            </w:r>
          </w:p>
        </w:tc>
        <w:tc>
          <w:tcPr>
            <w:tcW w:w="1561" w:type="dxa"/>
          </w:tcPr>
          <w:p>
            <w:pPr>
              <w:pStyle w:val="TableParagraph"/>
              <w:ind w:left="51" w:right="4"/>
              <w:jc w:val="center"/>
              <w:rPr>
                <w:sz w:val="18"/>
              </w:rPr>
            </w:pPr>
            <w:r>
              <w:rPr>
                <w:spacing w:val="-2"/>
                <w:sz w:val="18"/>
              </w:rPr>
              <w:t>0.008861</w:t>
            </w:r>
          </w:p>
        </w:tc>
        <w:tc>
          <w:tcPr>
            <w:tcW w:w="1350" w:type="dxa"/>
          </w:tcPr>
          <w:p>
            <w:pPr>
              <w:pStyle w:val="TableParagraph"/>
              <w:ind w:left="1" w:right="74"/>
              <w:jc w:val="center"/>
              <w:rPr>
                <w:sz w:val="18"/>
              </w:rPr>
            </w:pPr>
            <w:r>
              <w:rPr>
                <w:spacing w:val="-2"/>
                <w:sz w:val="18"/>
              </w:rPr>
              <w:t>-0.804939</w:t>
            </w:r>
          </w:p>
        </w:tc>
        <w:tc>
          <w:tcPr>
            <w:tcW w:w="1418" w:type="dxa"/>
          </w:tcPr>
          <w:p>
            <w:pPr>
              <w:pStyle w:val="TableParagraph"/>
              <w:ind w:left="43" w:right="48"/>
              <w:jc w:val="center"/>
              <w:rPr>
                <w:sz w:val="18"/>
              </w:rPr>
            </w:pPr>
            <w:r>
              <w:rPr>
                <w:spacing w:val="-2"/>
                <w:sz w:val="18"/>
              </w:rPr>
              <w:t>-0.167683</w:t>
            </w:r>
          </w:p>
        </w:tc>
        <w:tc>
          <w:tcPr>
            <w:tcW w:w="1406" w:type="dxa"/>
          </w:tcPr>
          <w:p>
            <w:pPr>
              <w:pStyle w:val="TableParagraph"/>
              <w:ind w:left="103" w:right="102"/>
              <w:jc w:val="center"/>
              <w:rPr>
                <w:sz w:val="18"/>
              </w:rPr>
            </w:pPr>
            <w:r>
              <w:rPr>
                <w:spacing w:val="-2"/>
                <w:sz w:val="18"/>
              </w:rPr>
              <w:t>-0.014178</w:t>
            </w:r>
          </w:p>
        </w:tc>
        <w:tc>
          <w:tcPr>
            <w:tcW w:w="1439" w:type="dxa"/>
          </w:tcPr>
          <w:p>
            <w:pPr>
              <w:pStyle w:val="TableParagraph"/>
              <w:ind w:left="44" w:right="48"/>
              <w:jc w:val="center"/>
              <w:rPr>
                <w:sz w:val="18"/>
              </w:rPr>
            </w:pPr>
            <w:r>
              <w:rPr>
                <w:spacing w:val="-2"/>
                <w:sz w:val="18"/>
              </w:rPr>
              <w:t>-0.001850</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(0.00104)</w:t>
            </w:r>
          </w:p>
        </w:tc>
        <w:tc>
          <w:tcPr>
            <w:tcW w:w="1561" w:type="dxa"/>
          </w:tcPr>
          <w:p>
            <w:pPr>
              <w:pStyle w:val="TableParagraph"/>
              <w:ind w:left="52" w:right="4"/>
              <w:jc w:val="center"/>
              <w:rPr>
                <w:sz w:val="18"/>
              </w:rPr>
            </w:pPr>
            <w:r>
              <w:rPr>
                <w:spacing w:val="-2"/>
                <w:sz w:val="18"/>
              </w:rPr>
              <w:t>(0.00524)</w:t>
            </w:r>
          </w:p>
        </w:tc>
        <w:tc>
          <w:tcPr>
            <w:tcW w:w="1350" w:type="dxa"/>
          </w:tcPr>
          <w:p>
            <w:pPr>
              <w:pStyle w:val="TableParagraph"/>
              <w:ind w:left="52" w:right="74"/>
              <w:jc w:val="center"/>
              <w:rPr>
                <w:sz w:val="18"/>
              </w:rPr>
            </w:pPr>
            <w:r>
              <w:rPr>
                <w:spacing w:val="-2"/>
                <w:sz w:val="18"/>
              </w:rPr>
              <w:t>(0.32596)</w:t>
            </w:r>
          </w:p>
        </w:tc>
        <w:tc>
          <w:tcPr>
            <w:tcW w:w="1418" w:type="dxa"/>
          </w:tcPr>
          <w:p>
            <w:pPr>
              <w:pStyle w:val="TableParagraph"/>
              <w:ind w:left="53" w:right="10"/>
              <w:jc w:val="center"/>
              <w:rPr>
                <w:sz w:val="18"/>
              </w:rPr>
            </w:pPr>
            <w:r>
              <w:rPr>
                <w:spacing w:val="-2"/>
                <w:sz w:val="18"/>
              </w:rPr>
              <w:t>(0.25940)</w:t>
            </w:r>
          </w:p>
        </w:tc>
        <w:tc>
          <w:tcPr>
            <w:tcW w:w="1406" w:type="dxa"/>
          </w:tcPr>
          <w:p>
            <w:pPr>
              <w:pStyle w:val="TableParagraph"/>
              <w:ind w:left="154" w:right="102"/>
              <w:jc w:val="center"/>
              <w:rPr>
                <w:sz w:val="18"/>
              </w:rPr>
            </w:pPr>
            <w:r>
              <w:rPr>
                <w:spacing w:val="-2"/>
                <w:sz w:val="18"/>
              </w:rPr>
              <w:t>(0.01384)</w:t>
            </w:r>
          </w:p>
        </w:tc>
        <w:tc>
          <w:tcPr>
            <w:tcW w:w="1439" w:type="dxa"/>
          </w:tcPr>
          <w:p>
            <w:pPr>
              <w:pStyle w:val="TableParagraph"/>
              <w:ind w:left="51" w:right="7"/>
              <w:jc w:val="center"/>
              <w:rPr>
                <w:sz w:val="18"/>
              </w:rPr>
            </w:pPr>
            <w:r>
              <w:rPr>
                <w:spacing w:val="-2"/>
                <w:sz w:val="18"/>
              </w:rPr>
              <w:t>(0.00148)</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left="5" w:right="81"/>
              <w:jc w:val="center"/>
              <w:rPr>
                <w:sz w:val="18"/>
              </w:rPr>
            </w:pPr>
            <w:r>
              <w:rPr>
                <w:spacing w:val="-2"/>
                <w:sz w:val="18"/>
              </w:rPr>
              <w:t>D(TOP)</w:t>
            </w:r>
          </w:p>
        </w:tc>
        <w:tc>
          <w:tcPr>
            <w:tcW w:w="1266" w:type="dxa"/>
          </w:tcPr>
          <w:p>
            <w:pPr>
              <w:pStyle w:val="TableParagraph"/>
              <w:spacing w:line="198" w:lineRule="exact"/>
              <w:ind w:left="38" w:right="48"/>
              <w:jc w:val="center"/>
              <w:rPr>
                <w:sz w:val="18"/>
              </w:rPr>
            </w:pPr>
            <w:r>
              <w:rPr>
                <w:spacing w:val="-2"/>
                <w:sz w:val="18"/>
              </w:rPr>
              <w:t>-0.001022</w:t>
            </w:r>
          </w:p>
        </w:tc>
        <w:tc>
          <w:tcPr>
            <w:tcW w:w="1561" w:type="dxa"/>
          </w:tcPr>
          <w:p>
            <w:pPr>
              <w:pStyle w:val="TableParagraph"/>
              <w:spacing w:line="198" w:lineRule="exact"/>
              <w:ind w:left="51" w:right="4"/>
              <w:jc w:val="center"/>
              <w:rPr>
                <w:sz w:val="18"/>
              </w:rPr>
            </w:pPr>
            <w:r>
              <w:rPr>
                <w:spacing w:val="-2"/>
                <w:sz w:val="18"/>
              </w:rPr>
              <w:t>0.001925</w:t>
            </w:r>
          </w:p>
        </w:tc>
        <w:tc>
          <w:tcPr>
            <w:tcW w:w="1350" w:type="dxa"/>
          </w:tcPr>
          <w:p>
            <w:pPr>
              <w:pStyle w:val="TableParagraph"/>
              <w:spacing w:line="198" w:lineRule="exact"/>
              <w:ind w:left="51" w:right="74"/>
              <w:jc w:val="center"/>
              <w:rPr>
                <w:sz w:val="18"/>
              </w:rPr>
            </w:pPr>
            <w:r>
              <w:rPr>
                <w:spacing w:val="-2"/>
                <w:sz w:val="18"/>
              </w:rPr>
              <w:t>0.276306</w:t>
            </w:r>
          </w:p>
        </w:tc>
        <w:tc>
          <w:tcPr>
            <w:tcW w:w="1418" w:type="dxa"/>
          </w:tcPr>
          <w:p>
            <w:pPr>
              <w:pStyle w:val="TableParagraph"/>
              <w:spacing w:line="198" w:lineRule="exact"/>
              <w:ind w:left="53" w:right="10"/>
              <w:jc w:val="center"/>
              <w:rPr>
                <w:sz w:val="18"/>
              </w:rPr>
            </w:pPr>
            <w:r>
              <w:rPr>
                <w:spacing w:val="-2"/>
                <w:sz w:val="18"/>
              </w:rPr>
              <w:t>0.124626</w:t>
            </w:r>
          </w:p>
        </w:tc>
        <w:tc>
          <w:tcPr>
            <w:tcW w:w="1406" w:type="dxa"/>
          </w:tcPr>
          <w:p>
            <w:pPr>
              <w:pStyle w:val="TableParagraph"/>
              <w:spacing w:line="198" w:lineRule="exact"/>
              <w:ind w:left="103" w:right="102"/>
              <w:jc w:val="center"/>
              <w:rPr>
                <w:sz w:val="18"/>
              </w:rPr>
            </w:pPr>
            <w:r>
              <w:rPr>
                <w:spacing w:val="-2"/>
                <w:sz w:val="18"/>
              </w:rPr>
              <w:t>-0.018324</w:t>
            </w:r>
          </w:p>
        </w:tc>
        <w:tc>
          <w:tcPr>
            <w:tcW w:w="1439" w:type="dxa"/>
          </w:tcPr>
          <w:p>
            <w:pPr>
              <w:pStyle w:val="TableParagraph"/>
              <w:spacing w:line="198" w:lineRule="exact"/>
              <w:ind w:left="50" w:right="7"/>
              <w:jc w:val="center"/>
              <w:rPr>
                <w:sz w:val="18"/>
              </w:rPr>
            </w:pPr>
            <w:r>
              <w:rPr>
                <w:spacing w:val="-2"/>
                <w:sz w:val="18"/>
              </w:rPr>
              <w:t>0.001251</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before="5"/>
              <w:ind w:left="48" w:right="10"/>
              <w:jc w:val="center"/>
              <w:rPr>
                <w:sz w:val="18"/>
              </w:rPr>
            </w:pPr>
            <w:r>
              <w:rPr>
                <w:spacing w:val="-2"/>
                <w:sz w:val="18"/>
              </w:rPr>
              <w:t>(0.00073)</w:t>
            </w:r>
          </w:p>
        </w:tc>
        <w:tc>
          <w:tcPr>
            <w:tcW w:w="1561" w:type="dxa"/>
          </w:tcPr>
          <w:p>
            <w:pPr>
              <w:pStyle w:val="TableParagraph"/>
              <w:spacing w:before="5"/>
              <w:ind w:left="52" w:right="4"/>
              <w:jc w:val="center"/>
              <w:rPr>
                <w:sz w:val="18"/>
              </w:rPr>
            </w:pPr>
            <w:r>
              <w:rPr>
                <w:spacing w:val="-2"/>
                <w:sz w:val="18"/>
              </w:rPr>
              <w:t>(0.00367)</w:t>
            </w:r>
          </w:p>
        </w:tc>
        <w:tc>
          <w:tcPr>
            <w:tcW w:w="1350" w:type="dxa"/>
          </w:tcPr>
          <w:p>
            <w:pPr>
              <w:pStyle w:val="TableParagraph"/>
              <w:spacing w:before="5"/>
              <w:ind w:left="52" w:right="74"/>
              <w:jc w:val="center"/>
              <w:rPr>
                <w:sz w:val="18"/>
              </w:rPr>
            </w:pPr>
            <w:r>
              <w:rPr>
                <w:spacing w:val="-2"/>
                <w:sz w:val="18"/>
              </w:rPr>
              <w:t>(0.22841)</w:t>
            </w:r>
          </w:p>
        </w:tc>
        <w:tc>
          <w:tcPr>
            <w:tcW w:w="1418" w:type="dxa"/>
          </w:tcPr>
          <w:p>
            <w:pPr>
              <w:pStyle w:val="TableParagraph"/>
              <w:spacing w:before="5"/>
              <w:ind w:left="53" w:right="10"/>
              <w:jc w:val="center"/>
              <w:rPr>
                <w:sz w:val="18"/>
              </w:rPr>
            </w:pPr>
            <w:r>
              <w:rPr>
                <w:spacing w:val="-2"/>
                <w:sz w:val="18"/>
              </w:rPr>
              <w:t>(0.18177)</w:t>
            </w:r>
          </w:p>
        </w:tc>
        <w:tc>
          <w:tcPr>
            <w:tcW w:w="1406" w:type="dxa"/>
          </w:tcPr>
          <w:p>
            <w:pPr>
              <w:pStyle w:val="TableParagraph"/>
              <w:spacing w:before="5"/>
              <w:ind w:left="154" w:right="102"/>
              <w:jc w:val="center"/>
              <w:rPr>
                <w:sz w:val="18"/>
              </w:rPr>
            </w:pPr>
            <w:r>
              <w:rPr>
                <w:spacing w:val="-2"/>
                <w:sz w:val="18"/>
              </w:rPr>
              <w:t>(0.00970)</w:t>
            </w:r>
          </w:p>
        </w:tc>
        <w:tc>
          <w:tcPr>
            <w:tcW w:w="1439" w:type="dxa"/>
          </w:tcPr>
          <w:p>
            <w:pPr>
              <w:pStyle w:val="TableParagraph"/>
              <w:spacing w:before="5"/>
              <w:ind w:left="51" w:right="7"/>
              <w:jc w:val="center"/>
              <w:rPr>
                <w:sz w:val="18"/>
              </w:rPr>
            </w:pPr>
            <w:r>
              <w:rPr>
                <w:spacing w:val="-2"/>
                <w:sz w:val="18"/>
              </w:rPr>
              <w:t>(0.00104)</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2" w:right="81"/>
              <w:jc w:val="center"/>
              <w:rPr>
                <w:sz w:val="18"/>
              </w:rPr>
            </w:pPr>
            <w:r>
              <w:rPr>
                <w:spacing w:val="-2"/>
                <w:sz w:val="18"/>
              </w:rPr>
              <w:t>D(REM)</w:t>
            </w:r>
          </w:p>
        </w:tc>
        <w:tc>
          <w:tcPr>
            <w:tcW w:w="1266" w:type="dxa"/>
          </w:tcPr>
          <w:p>
            <w:pPr>
              <w:pStyle w:val="TableParagraph"/>
              <w:ind w:left="38" w:right="48"/>
              <w:jc w:val="center"/>
              <w:rPr>
                <w:sz w:val="18"/>
              </w:rPr>
            </w:pPr>
            <w:r>
              <w:rPr>
                <w:spacing w:val="-2"/>
                <w:sz w:val="18"/>
              </w:rPr>
              <w:t>-0.058620</w:t>
            </w:r>
          </w:p>
        </w:tc>
        <w:tc>
          <w:tcPr>
            <w:tcW w:w="1561" w:type="dxa"/>
          </w:tcPr>
          <w:p>
            <w:pPr>
              <w:pStyle w:val="TableParagraph"/>
              <w:ind w:left="51" w:right="4"/>
              <w:jc w:val="center"/>
              <w:rPr>
                <w:sz w:val="18"/>
              </w:rPr>
            </w:pPr>
            <w:r>
              <w:rPr>
                <w:spacing w:val="-2"/>
                <w:sz w:val="18"/>
              </w:rPr>
              <w:t>0.258906</w:t>
            </w:r>
          </w:p>
        </w:tc>
        <w:tc>
          <w:tcPr>
            <w:tcW w:w="1350" w:type="dxa"/>
          </w:tcPr>
          <w:p>
            <w:pPr>
              <w:pStyle w:val="TableParagraph"/>
              <w:ind w:left="51" w:right="74"/>
              <w:jc w:val="center"/>
              <w:rPr>
                <w:sz w:val="18"/>
              </w:rPr>
            </w:pPr>
            <w:r>
              <w:rPr>
                <w:spacing w:val="-2"/>
                <w:sz w:val="18"/>
              </w:rPr>
              <w:t>10.04817</w:t>
            </w:r>
          </w:p>
        </w:tc>
        <w:tc>
          <w:tcPr>
            <w:tcW w:w="1418" w:type="dxa"/>
          </w:tcPr>
          <w:p>
            <w:pPr>
              <w:pStyle w:val="TableParagraph"/>
              <w:ind w:left="53" w:right="10"/>
              <w:jc w:val="center"/>
              <w:rPr>
                <w:sz w:val="18"/>
              </w:rPr>
            </w:pPr>
            <w:r>
              <w:rPr>
                <w:spacing w:val="-2"/>
                <w:sz w:val="18"/>
              </w:rPr>
              <w:t>7.188891</w:t>
            </w:r>
          </w:p>
        </w:tc>
        <w:tc>
          <w:tcPr>
            <w:tcW w:w="1406" w:type="dxa"/>
          </w:tcPr>
          <w:p>
            <w:pPr>
              <w:pStyle w:val="TableParagraph"/>
              <w:ind w:left="103" w:right="102"/>
              <w:jc w:val="center"/>
              <w:rPr>
                <w:sz w:val="18"/>
              </w:rPr>
            </w:pPr>
            <w:r>
              <w:rPr>
                <w:spacing w:val="-2"/>
                <w:sz w:val="18"/>
              </w:rPr>
              <w:t>-0.698070</w:t>
            </w:r>
          </w:p>
        </w:tc>
        <w:tc>
          <w:tcPr>
            <w:tcW w:w="1439" w:type="dxa"/>
          </w:tcPr>
          <w:p>
            <w:pPr>
              <w:pStyle w:val="TableParagraph"/>
              <w:ind w:left="50" w:right="7"/>
              <w:jc w:val="center"/>
              <w:rPr>
                <w:sz w:val="18"/>
              </w:rPr>
            </w:pPr>
            <w:r>
              <w:rPr>
                <w:spacing w:val="-2"/>
                <w:sz w:val="18"/>
              </w:rPr>
              <w:t>0.054913</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(0.02335)</w:t>
            </w:r>
          </w:p>
        </w:tc>
        <w:tc>
          <w:tcPr>
            <w:tcW w:w="1561" w:type="dxa"/>
          </w:tcPr>
          <w:p>
            <w:pPr>
              <w:pStyle w:val="TableParagraph"/>
              <w:ind w:left="52" w:right="4"/>
              <w:jc w:val="center"/>
              <w:rPr>
                <w:sz w:val="18"/>
              </w:rPr>
            </w:pPr>
            <w:r>
              <w:rPr>
                <w:spacing w:val="-2"/>
                <w:sz w:val="18"/>
              </w:rPr>
              <w:t>(0.11727)</w:t>
            </w:r>
          </w:p>
        </w:tc>
        <w:tc>
          <w:tcPr>
            <w:tcW w:w="1350" w:type="dxa"/>
          </w:tcPr>
          <w:p>
            <w:pPr>
              <w:pStyle w:val="TableParagraph"/>
              <w:ind w:left="52" w:right="74"/>
              <w:jc w:val="center"/>
              <w:rPr>
                <w:sz w:val="18"/>
              </w:rPr>
            </w:pPr>
            <w:r>
              <w:rPr>
                <w:spacing w:val="-2"/>
                <w:sz w:val="18"/>
              </w:rPr>
              <w:t>(7.30041)</w:t>
            </w:r>
          </w:p>
        </w:tc>
        <w:tc>
          <w:tcPr>
            <w:tcW w:w="1418" w:type="dxa"/>
          </w:tcPr>
          <w:p>
            <w:pPr>
              <w:pStyle w:val="TableParagraph"/>
              <w:ind w:left="53" w:right="10"/>
              <w:jc w:val="center"/>
              <w:rPr>
                <w:sz w:val="18"/>
              </w:rPr>
            </w:pPr>
            <w:r>
              <w:rPr>
                <w:spacing w:val="-2"/>
                <w:sz w:val="18"/>
              </w:rPr>
              <w:t>(5.80973)</w:t>
            </w:r>
          </w:p>
        </w:tc>
        <w:tc>
          <w:tcPr>
            <w:tcW w:w="1406" w:type="dxa"/>
          </w:tcPr>
          <w:p>
            <w:pPr>
              <w:pStyle w:val="TableParagraph"/>
              <w:ind w:left="154" w:right="102"/>
              <w:jc w:val="center"/>
              <w:rPr>
                <w:sz w:val="18"/>
              </w:rPr>
            </w:pPr>
            <w:r>
              <w:rPr>
                <w:spacing w:val="-2"/>
                <w:sz w:val="18"/>
              </w:rPr>
              <w:t>(0.31003)</w:t>
            </w:r>
          </w:p>
        </w:tc>
        <w:tc>
          <w:tcPr>
            <w:tcW w:w="1439" w:type="dxa"/>
          </w:tcPr>
          <w:p>
            <w:pPr>
              <w:pStyle w:val="TableParagraph"/>
              <w:ind w:left="51" w:right="7"/>
              <w:jc w:val="center"/>
              <w:rPr>
                <w:sz w:val="18"/>
              </w:rPr>
            </w:pPr>
            <w:r>
              <w:rPr>
                <w:spacing w:val="-2"/>
                <w:sz w:val="18"/>
              </w:rPr>
              <w:t>(0.03322)</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right="81"/>
              <w:jc w:val="center"/>
              <w:rPr>
                <w:sz w:val="18"/>
              </w:rPr>
            </w:pPr>
            <w:r>
              <w:rPr>
                <w:spacing w:val="-2"/>
                <w:sz w:val="18"/>
              </w:rPr>
              <w:t>D(ODA)</w:t>
            </w:r>
          </w:p>
        </w:tc>
        <w:tc>
          <w:tcPr>
            <w:tcW w:w="1266" w:type="dxa"/>
          </w:tcPr>
          <w:p>
            <w:pPr>
              <w:pStyle w:val="TableParagraph"/>
              <w:spacing w:line="198" w:lineRule="exact"/>
              <w:ind w:left="47" w:right="10"/>
              <w:jc w:val="center"/>
              <w:rPr>
                <w:sz w:val="18"/>
              </w:rPr>
            </w:pPr>
            <w:r>
              <w:rPr>
                <w:spacing w:val="-2"/>
                <w:sz w:val="18"/>
              </w:rPr>
              <w:t>0.325969</w:t>
            </w:r>
          </w:p>
        </w:tc>
        <w:tc>
          <w:tcPr>
            <w:tcW w:w="1561" w:type="dxa"/>
          </w:tcPr>
          <w:p>
            <w:pPr>
              <w:pStyle w:val="TableParagraph"/>
              <w:spacing w:line="198" w:lineRule="exact"/>
              <w:ind w:left="51" w:right="4"/>
              <w:jc w:val="center"/>
              <w:rPr>
                <w:sz w:val="18"/>
              </w:rPr>
            </w:pPr>
            <w:r>
              <w:rPr>
                <w:spacing w:val="-2"/>
                <w:sz w:val="18"/>
              </w:rPr>
              <w:t>1.015412</w:t>
            </w:r>
          </w:p>
        </w:tc>
        <w:tc>
          <w:tcPr>
            <w:tcW w:w="1350" w:type="dxa"/>
          </w:tcPr>
          <w:p>
            <w:pPr>
              <w:pStyle w:val="TableParagraph"/>
              <w:spacing w:line="198" w:lineRule="exact"/>
              <w:ind w:left="1" w:right="74"/>
              <w:jc w:val="center"/>
              <w:rPr>
                <w:sz w:val="18"/>
              </w:rPr>
            </w:pPr>
            <w:r>
              <w:rPr>
                <w:spacing w:val="-2"/>
                <w:sz w:val="18"/>
              </w:rPr>
              <w:t>-111.2521</w:t>
            </w:r>
          </w:p>
        </w:tc>
        <w:tc>
          <w:tcPr>
            <w:tcW w:w="1418" w:type="dxa"/>
          </w:tcPr>
          <w:p>
            <w:pPr>
              <w:pStyle w:val="TableParagraph"/>
              <w:spacing w:line="198" w:lineRule="exact"/>
              <w:ind w:left="43" w:right="48"/>
              <w:jc w:val="center"/>
              <w:rPr>
                <w:sz w:val="18"/>
              </w:rPr>
            </w:pPr>
            <w:r>
              <w:rPr>
                <w:spacing w:val="-2"/>
                <w:sz w:val="18"/>
              </w:rPr>
              <w:t>-33.90363</w:t>
            </w:r>
          </w:p>
        </w:tc>
        <w:tc>
          <w:tcPr>
            <w:tcW w:w="1406" w:type="dxa"/>
          </w:tcPr>
          <w:p>
            <w:pPr>
              <w:pStyle w:val="TableParagraph"/>
              <w:spacing w:line="198" w:lineRule="exact"/>
              <w:ind w:left="154" w:right="102"/>
              <w:jc w:val="center"/>
              <w:rPr>
                <w:sz w:val="18"/>
              </w:rPr>
            </w:pPr>
            <w:r>
              <w:rPr>
                <w:spacing w:val="-2"/>
                <w:sz w:val="18"/>
              </w:rPr>
              <w:t>9.831538</w:t>
            </w:r>
          </w:p>
        </w:tc>
        <w:tc>
          <w:tcPr>
            <w:tcW w:w="1439" w:type="dxa"/>
          </w:tcPr>
          <w:p>
            <w:pPr>
              <w:pStyle w:val="TableParagraph"/>
              <w:spacing w:line="198" w:lineRule="exact"/>
              <w:ind w:left="44" w:right="48"/>
              <w:jc w:val="center"/>
              <w:rPr>
                <w:sz w:val="18"/>
              </w:rPr>
            </w:pPr>
            <w:r>
              <w:rPr>
                <w:spacing w:val="-2"/>
                <w:sz w:val="18"/>
              </w:rPr>
              <w:t>-1.084745</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before="5"/>
              <w:ind w:left="48" w:right="10"/>
              <w:jc w:val="center"/>
              <w:rPr>
                <w:sz w:val="18"/>
              </w:rPr>
            </w:pPr>
            <w:r>
              <w:rPr>
                <w:spacing w:val="-2"/>
                <w:sz w:val="18"/>
              </w:rPr>
              <w:t>(0.16770)</w:t>
            </w:r>
          </w:p>
        </w:tc>
        <w:tc>
          <w:tcPr>
            <w:tcW w:w="1561" w:type="dxa"/>
          </w:tcPr>
          <w:p>
            <w:pPr>
              <w:pStyle w:val="TableParagraph"/>
              <w:spacing w:before="5"/>
              <w:ind w:left="52" w:right="4"/>
              <w:jc w:val="center"/>
              <w:rPr>
                <w:sz w:val="18"/>
              </w:rPr>
            </w:pPr>
            <w:r>
              <w:rPr>
                <w:spacing w:val="-2"/>
                <w:sz w:val="18"/>
              </w:rPr>
              <w:t>(0.84230)</w:t>
            </w:r>
          </w:p>
        </w:tc>
        <w:tc>
          <w:tcPr>
            <w:tcW w:w="1350" w:type="dxa"/>
          </w:tcPr>
          <w:p>
            <w:pPr>
              <w:pStyle w:val="TableParagraph"/>
              <w:spacing w:before="5"/>
              <w:ind w:left="52" w:right="74"/>
              <w:jc w:val="center"/>
              <w:rPr>
                <w:sz w:val="18"/>
              </w:rPr>
            </w:pPr>
            <w:r>
              <w:rPr>
                <w:spacing w:val="-2"/>
                <w:sz w:val="18"/>
              </w:rPr>
              <w:t>(52.4352)</w:t>
            </w:r>
          </w:p>
        </w:tc>
        <w:tc>
          <w:tcPr>
            <w:tcW w:w="1418" w:type="dxa"/>
          </w:tcPr>
          <w:p>
            <w:pPr>
              <w:pStyle w:val="TableParagraph"/>
              <w:spacing w:before="5"/>
              <w:ind w:left="53" w:right="10"/>
              <w:jc w:val="center"/>
              <w:rPr>
                <w:sz w:val="18"/>
              </w:rPr>
            </w:pPr>
            <w:r>
              <w:rPr>
                <w:spacing w:val="-2"/>
                <w:sz w:val="18"/>
              </w:rPr>
              <w:t>(41.7284)</w:t>
            </w:r>
          </w:p>
        </w:tc>
        <w:tc>
          <w:tcPr>
            <w:tcW w:w="1406" w:type="dxa"/>
          </w:tcPr>
          <w:p>
            <w:pPr>
              <w:pStyle w:val="TableParagraph"/>
              <w:spacing w:before="5"/>
              <w:ind w:left="154" w:right="102"/>
              <w:jc w:val="center"/>
              <w:rPr>
                <w:sz w:val="18"/>
              </w:rPr>
            </w:pPr>
            <w:r>
              <w:rPr>
                <w:spacing w:val="-2"/>
                <w:sz w:val="18"/>
              </w:rPr>
              <w:t>(2.22682)</w:t>
            </w:r>
          </w:p>
        </w:tc>
        <w:tc>
          <w:tcPr>
            <w:tcW w:w="1439" w:type="dxa"/>
          </w:tcPr>
          <w:p>
            <w:pPr>
              <w:pStyle w:val="TableParagraph"/>
              <w:spacing w:before="5"/>
              <w:ind w:left="51" w:right="7"/>
              <w:jc w:val="center"/>
              <w:rPr>
                <w:sz w:val="18"/>
              </w:rPr>
            </w:pPr>
            <w:r>
              <w:rPr>
                <w:spacing w:val="-2"/>
                <w:sz w:val="18"/>
              </w:rPr>
              <w:t>(0.23860)</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right="81"/>
              <w:jc w:val="center"/>
              <w:rPr>
                <w:sz w:val="18"/>
              </w:rPr>
            </w:pPr>
            <w:r>
              <w:rPr>
                <w:spacing w:val="-2"/>
                <w:sz w:val="18"/>
              </w:rPr>
              <w:t>D(CPS_GDP)</w:t>
            </w:r>
          </w:p>
        </w:tc>
        <w:tc>
          <w:tcPr>
            <w:tcW w:w="1266" w:type="dxa"/>
          </w:tcPr>
          <w:p>
            <w:pPr>
              <w:pStyle w:val="TableParagraph"/>
              <w:ind w:left="47" w:right="10"/>
              <w:jc w:val="center"/>
              <w:rPr>
                <w:sz w:val="18"/>
              </w:rPr>
            </w:pPr>
            <w:r>
              <w:rPr>
                <w:spacing w:val="-2"/>
                <w:sz w:val="18"/>
              </w:rPr>
              <w:t>0.000281</w:t>
            </w:r>
          </w:p>
        </w:tc>
        <w:tc>
          <w:tcPr>
            <w:tcW w:w="1561" w:type="dxa"/>
          </w:tcPr>
          <w:p>
            <w:pPr>
              <w:pStyle w:val="TableParagraph"/>
              <w:ind w:left="48" w:right="48"/>
              <w:jc w:val="center"/>
              <w:rPr>
                <w:sz w:val="18"/>
              </w:rPr>
            </w:pPr>
            <w:r>
              <w:rPr>
                <w:spacing w:val="-2"/>
                <w:sz w:val="18"/>
              </w:rPr>
              <w:t>-0.001149</w:t>
            </w:r>
          </w:p>
        </w:tc>
        <w:tc>
          <w:tcPr>
            <w:tcW w:w="1350" w:type="dxa"/>
          </w:tcPr>
          <w:p>
            <w:pPr>
              <w:pStyle w:val="TableParagraph"/>
              <w:ind w:left="51" w:right="74"/>
              <w:jc w:val="center"/>
              <w:rPr>
                <w:sz w:val="18"/>
              </w:rPr>
            </w:pPr>
            <w:r>
              <w:rPr>
                <w:spacing w:val="-2"/>
                <w:sz w:val="18"/>
              </w:rPr>
              <w:t>0.047723</w:t>
            </w:r>
          </w:p>
        </w:tc>
        <w:tc>
          <w:tcPr>
            <w:tcW w:w="1418" w:type="dxa"/>
          </w:tcPr>
          <w:p>
            <w:pPr>
              <w:pStyle w:val="TableParagraph"/>
              <w:ind w:left="53" w:right="10"/>
              <w:jc w:val="center"/>
              <w:rPr>
                <w:sz w:val="18"/>
              </w:rPr>
            </w:pPr>
            <w:r>
              <w:rPr>
                <w:spacing w:val="-2"/>
                <w:sz w:val="18"/>
              </w:rPr>
              <w:t>0.009871</w:t>
            </w:r>
          </w:p>
        </w:tc>
        <w:tc>
          <w:tcPr>
            <w:tcW w:w="1406" w:type="dxa"/>
          </w:tcPr>
          <w:p>
            <w:pPr>
              <w:pStyle w:val="TableParagraph"/>
              <w:ind w:left="103" w:right="102"/>
              <w:jc w:val="center"/>
              <w:rPr>
                <w:sz w:val="18"/>
              </w:rPr>
            </w:pPr>
            <w:r>
              <w:rPr>
                <w:spacing w:val="-2"/>
                <w:sz w:val="18"/>
              </w:rPr>
              <w:t>-0.005062</w:t>
            </w:r>
          </w:p>
        </w:tc>
        <w:tc>
          <w:tcPr>
            <w:tcW w:w="1439" w:type="dxa"/>
          </w:tcPr>
          <w:p>
            <w:pPr>
              <w:pStyle w:val="TableParagraph"/>
              <w:ind w:left="47" w:right="7"/>
              <w:jc w:val="center"/>
              <w:rPr>
                <w:sz w:val="18"/>
              </w:rPr>
            </w:pPr>
            <w:r>
              <w:rPr>
                <w:spacing w:val="-2"/>
                <w:sz w:val="18"/>
              </w:rPr>
              <w:t>6.07E-</w:t>
            </w:r>
            <w:r>
              <w:rPr>
                <w:spacing w:val="-5"/>
                <w:sz w:val="18"/>
              </w:rPr>
              <w:t>05</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(0.00016)</w:t>
            </w:r>
          </w:p>
        </w:tc>
        <w:tc>
          <w:tcPr>
            <w:tcW w:w="1561" w:type="dxa"/>
          </w:tcPr>
          <w:p>
            <w:pPr>
              <w:pStyle w:val="TableParagraph"/>
              <w:ind w:left="52" w:right="4"/>
              <w:jc w:val="center"/>
              <w:rPr>
                <w:sz w:val="18"/>
              </w:rPr>
            </w:pPr>
            <w:r>
              <w:rPr>
                <w:spacing w:val="-2"/>
                <w:sz w:val="18"/>
              </w:rPr>
              <w:t>(0.00079)</w:t>
            </w:r>
          </w:p>
        </w:tc>
        <w:tc>
          <w:tcPr>
            <w:tcW w:w="1350" w:type="dxa"/>
          </w:tcPr>
          <w:p>
            <w:pPr>
              <w:pStyle w:val="TableParagraph"/>
              <w:ind w:left="52" w:right="74"/>
              <w:jc w:val="center"/>
              <w:rPr>
                <w:sz w:val="18"/>
              </w:rPr>
            </w:pPr>
            <w:r>
              <w:rPr>
                <w:spacing w:val="-2"/>
                <w:sz w:val="18"/>
              </w:rPr>
              <w:t>(0.04937)</w:t>
            </w:r>
          </w:p>
        </w:tc>
        <w:tc>
          <w:tcPr>
            <w:tcW w:w="1418" w:type="dxa"/>
          </w:tcPr>
          <w:p>
            <w:pPr>
              <w:pStyle w:val="TableParagraph"/>
              <w:ind w:left="53" w:right="10"/>
              <w:jc w:val="center"/>
              <w:rPr>
                <w:sz w:val="18"/>
              </w:rPr>
            </w:pPr>
            <w:r>
              <w:rPr>
                <w:spacing w:val="-2"/>
                <w:sz w:val="18"/>
              </w:rPr>
              <w:t>(0.03929)</w:t>
            </w:r>
          </w:p>
        </w:tc>
        <w:tc>
          <w:tcPr>
            <w:tcW w:w="1406" w:type="dxa"/>
          </w:tcPr>
          <w:p>
            <w:pPr>
              <w:pStyle w:val="TableParagraph"/>
              <w:ind w:left="154" w:right="102"/>
              <w:jc w:val="center"/>
              <w:rPr>
                <w:sz w:val="18"/>
              </w:rPr>
            </w:pPr>
            <w:r>
              <w:rPr>
                <w:spacing w:val="-2"/>
                <w:sz w:val="18"/>
              </w:rPr>
              <w:t>(0.00210)</w:t>
            </w:r>
          </w:p>
        </w:tc>
        <w:tc>
          <w:tcPr>
            <w:tcW w:w="1439" w:type="dxa"/>
          </w:tcPr>
          <w:p>
            <w:pPr>
              <w:pStyle w:val="TableParagraph"/>
              <w:ind w:left="51" w:right="7"/>
              <w:jc w:val="center"/>
              <w:rPr>
                <w:sz w:val="18"/>
              </w:rPr>
            </w:pPr>
            <w:r>
              <w:rPr>
                <w:spacing w:val="-2"/>
                <w:sz w:val="18"/>
              </w:rPr>
              <w:t>(0.00022)</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198" w:lineRule="exact"/>
              <w:ind w:left="2" w:right="81"/>
              <w:jc w:val="center"/>
              <w:rPr>
                <w:sz w:val="18"/>
              </w:rPr>
            </w:pPr>
            <w:r>
              <w:rPr>
                <w:spacing w:val="-2"/>
                <w:sz w:val="18"/>
              </w:rPr>
              <w:t>D(INT)</w:t>
            </w:r>
          </w:p>
        </w:tc>
        <w:tc>
          <w:tcPr>
            <w:tcW w:w="1266" w:type="dxa"/>
          </w:tcPr>
          <w:p>
            <w:pPr>
              <w:pStyle w:val="TableParagraph"/>
              <w:spacing w:line="198" w:lineRule="exact"/>
              <w:ind w:left="38" w:right="48"/>
              <w:jc w:val="center"/>
              <w:rPr>
                <w:sz w:val="18"/>
              </w:rPr>
            </w:pPr>
            <w:r>
              <w:rPr>
                <w:spacing w:val="-2"/>
                <w:sz w:val="18"/>
              </w:rPr>
              <w:t>-0.000270</w:t>
            </w:r>
          </w:p>
        </w:tc>
        <w:tc>
          <w:tcPr>
            <w:tcW w:w="1561" w:type="dxa"/>
          </w:tcPr>
          <w:p>
            <w:pPr>
              <w:pStyle w:val="TableParagraph"/>
              <w:spacing w:line="198" w:lineRule="exact"/>
              <w:ind w:left="51" w:right="4"/>
              <w:jc w:val="center"/>
              <w:rPr>
                <w:sz w:val="18"/>
              </w:rPr>
            </w:pPr>
            <w:r>
              <w:rPr>
                <w:spacing w:val="-2"/>
                <w:sz w:val="18"/>
              </w:rPr>
              <w:t>0.001759</w:t>
            </w:r>
          </w:p>
        </w:tc>
        <w:tc>
          <w:tcPr>
            <w:tcW w:w="1350" w:type="dxa"/>
          </w:tcPr>
          <w:p>
            <w:pPr>
              <w:pStyle w:val="TableParagraph"/>
              <w:spacing w:line="198" w:lineRule="exact"/>
              <w:ind w:left="51" w:right="74"/>
              <w:jc w:val="center"/>
              <w:rPr>
                <w:sz w:val="18"/>
              </w:rPr>
            </w:pPr>
            <w:r>
              <w:rPr>
                <w:spacing w:val="-2"/>
                <w:sz w:val="18"/>
              </w:rPr>
              <w:t>0.121513</w:t>
            </w:r>
          </w:p>
        </w:tc>
        <w:tc>
          <w:tcPr>
            <w:tcW w:w="1418" w:type="dxa"/>
          </w:tcPr>
          <w:p>
            <w:pPr>
              <w:pStyle w:val="TableParagraph"/>
              <w:spacing w:line="198" w:lineRule="exact"/>
              <w:ind w:left="43" w:right="48"/>
              <w:jc w:val="center"/>
              <w:rPr>
                <w:sz w:val="18"/>
              </w:rPr>
            </w:pPr>
            <w:r>
              <w:rPr>
                <w:spacing w:val="-2"/>
                <w:sz w:val="18"/>
              </w:rPr>
              <w:t>-0.123700</w:t>
            </w:r>
          </w:p>
        </w:tc>
        <w:tc>
          <w:tcPr>
            <w:tcW w:w="1406" w:type="dxa"/>
          </w:tcPr>
          <w:p>
            <w:pPr>
              <w:pStyle w:val="TableParagraph"/>
              <w:spacing w:line="198" w:lineRule="exact"/>
              <w:ind w:left="154" w:right="102"/>
              <w:jc w:val="center"/>
              <w:rPr>
                <w:sz w:val="18"/>
              </w:rPr>
            </w:pPr>
            <w:r>
              <w:rPr>
                <w:spacing w:val="-2"/>
                <w:sz w:val="18"/>
              </w:rPr>
              <w:t>0.001980</w:t>
            </w:r>
          </w:p>
        </w:tc>
        <w:tc>
          <w:tcPr>
            <w:tcW w:w="1439" w:type="dxa"/>
          </w:tcPr>
          <w:p>
            <w:pPr>
              <w:pStyle w:val="TableParagraph"/>
              <w:spacing w:line="198" w:lineRule="exact"/>
              <w:ind w:left="44" w:right="51"/>
              <w:jc w:val="center"/>
              <w:rPr>
                <w:sz w:val="18"/>
              </w:rPr>
            </w:pPr>
            <w:r>
              <w:rPr>
                <w:spacing w:val="-2"/>
                <w:sz w:val="18"/>
              </w:rPr>
              <w:t>-2.58E-</w:t>
            </w:r>
            <w:r>
              <w:rPr>
                <w:spacing w:val="-5"/>
                <w:sz w:val="18"/>
              </w:rPr>
              <w:t>05</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before="5"/>
              <w:ind w:left="48" w:right="10"/>
              <w:jc w:val="center"/>
              <w:rPr>
                <w:sz w:val="18"/>
              </w:rPr>
            </w:pPr>
            <w:r>
              <w:rPr>
                <w:spacing w:val="-2"/>
                <w:sz w:val="18"/>
              </w:rPr>
              <w:t>(0.00039)</w:t>
            </w:r>
          </w:p>
        </w:tc>
        <w:tc>
          <w:tcPr>
            <w:tcW w:w="1561" w:type="dxa"/>
          </w:tcPr>
          <w:p>
            <w:pPr>
              <w:pStyle w:val="TableParagraph"/>
              <w:spacing w:before="5"/>
              <w:ind w:left="52" w:right="4"/>
              <w:jc w:val="center"/>
              <w:rPr>
                <w:sz w:val="18"/>
              </w:rPr>
            </w:pPr>
            <w:r>
              <w:rPr>
                <w:spacing w:val="-2"/>
                <w:sz w:val="18"/>
              </w:rPr>
              <w:t>(0.00198)</w:t>
            </w:r>
          </w:p>
        </w:tc>
        <w:tc>
          <w:tcPr>
            <w:tcW w:w="1350" w:type="dxa"/>
          </w:tcPr>
          <w:p>
            <w:pPr>
              <w:pStyle w:val="TableParagraph"/>
              <w:spacing w:before="5"/>
              <w:ind w:left="52" w:right="74"/>
              <w:jc w:val="center"/>
              <w:rPr>
                <w:sz w:val="18"/>
              </w:rPr>
            </w:pPr>
            <w:r>
              <w:rPr>
                <w:spacing w:val="-2"/>
                <w:sz w:val="18"/>
              </w:rPr>
              <w:t>(0.12315)</w:t>
            </w:r>
          </w:p>
        </w:tc>
        <w:tc>
          <w:tcPr>
            <w:tcW w:w="1418" w:type="dxa"/>
          </w:tcPr>
          <w:p>
            <w:pPr>
              <w:pStyle w:val="TableParagraph"/>
              <w:spacing w:before="5"/>
              <w:ind w:left="53" w:right="10"/>
              <w:jc w:val="center"/>
              <w:rPr>
                <w:sz w:val="18"/>
              </w:rPr>
            </w:pPr>
            <w:r>
              <w:rPr>
                <w:spacing w:val="-2"/>
                <w:sz w:val="18"/>
              </w:rPr>
              <w:t>(0.09801)</w:t>
            </w:r>
          </w:p>
        </w:tc>
        <w:tc>
          <w:tcPr>
            <w:tcW w:w="1406" w:type="dxa"/>
          </w:tcPr>
          <w:p>
            <w:pPr>
              <w:pStyle w:val="TableParagraph"/>
              <w:spacing w:before="5"/>
              <w:ind w:left="154" w:right="102"/>
              <w:jc w:val="center"/>
              <w:rPr>
                <w:sz w:val="18"/>
              </w:rPr>
            </w:pPr>
            <w:r>
              <w:rPr>
                <w:spacing w:val="-2"/>
                <w:sz w:val="18"/>
              </w:rPr>
              <w:t>(0.00523)</w:t>
            </w:r>
          </w:p>
        </w:tc>
        <w:tc>
          <w:tcPr>
            <w:tcW w:w="1439" w:type="dxa"/>
          </w:tcPr>
          <w:p>
            <w:pPr>
              <w:pStyle w:val="TableParagraph"/>
              <w:spacing w:before="5"/>
              <w:ind w:left="51" w:right="7"/>
              <w:jc w:val="center"/>
              <w:rPr>
                <w:sz w:val="18"/>
              </w:rPr>
            </w:pPr>
            <w:r>
              <w:rPr>
                <w:spacing w:val="-2"/>
                <w:sz w:val="18"/>
              </w:rPr>
              <w:t>(0.00056)</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right="81"/>
              <w:jc w:val="center"/>
              <w:rPr>
                <w:sz w:val="18"/>
              </w:rPr>
            </w:pPr>
            <w:r>
              <w:rPr>
                <w:spacing w:val="-2"/>
                <w:sz w:val="18"/>
              </w:rPr>
              <w:t>D(EXCH)</w:t>
            </w:r>
          </w:p>
        </w:tc>
        <w:tc>
          <w:tcPr>
            <w:tcW w:w="1266" w:type="dxa"/>
          </w:tcPr>
          <w:p>
            <w:pPr>
              <w:pStyle w:val="TableParagraph"/>
              <w:ind w:left="47" w:right="10"/>
              <w:jc w:val="center"/>
              <w:rPr>
                <w:sz w:val="18"/>
              </w:rPr>
            </w:pPr>
            <w:r>
              <w:rPr>
                <w:spacing w:val="-2"/>
                <w:sz w:val="18"/>
              </w:rPr>
              <w:t>0.001057</w:t>
            </w:r>
          </w:p>
        </w:tc>
        <w:tc>
          <w:tcPr>
            <w:tcW w:w="1561" w:type="dxa"/>
          </w:tcPr>
          <w:p>
            <w:pPr>
              <w:pStyle w:val="TableParagraph"/>
              <w:ind w:left="48" w:right="48"/>
              <w:jc w:val="center"/>
              <w:rPr>
                <w:sz w:val="18"/>
              </w:rPr>
            </w:pPr>
            <w:r>
              <w:rPr>
                <w:spacing w:val="-2"/>
                <w:sz w:val="18"/>
              </w:rPr>
              <w:t>-0.016243</w:t>
            </w:r>
          </w:p>
        </w:tc>
        <w:tc>
          <w:tcPr>
            <w:tcW w:w="1350" w:type="dxa"/>
          </w:tcPr>
          <w:p>
            <w:pPr>
              <w:pStyle w:val="TableParagraph"/>
              <w:ind w:left="51" w:right="74"/>
              <w:jc w:val="center"/>
              <w:rPr>
                <w:sz w:val="18"/>
              </w:rPr>
            </w:pPr>
            <w:r>
              <w:rPr>
                <w:spacing w:val="-2"/>
                <w:sz w:val="18"/>
              </w:rPr>
              <w:t>0.078225</w:t>
            </w:r>
          </w:p>
        </w:tc>
        <w:tc>
          <w:tcPr>
            <w:tcW w:w="1418" w:type="dxa"/>
          </w:tcPr>
          <w:p>
            <w:pPr>
              <w:pStyle w:val="TableParagraph"/>
              <w:ind w:left="53" w:right="10"/>
              <w:jc w:val="center"/>
              <w:rPr>
                <w:sz w:val="18"/>
              </w:rPr>
            </w:pPr>
            <w:r>
              <w:rPr>
                <w:spacing w:val="-2"/>
                <w:sz w:val="18"/>
              </w:rPr>
              <w:t>0.521229</w:t>
            </w:r>
          </w:p>
        </w:tc>
        <w:tc>
          <w:tcPr>
            <w:tcW w:w="1406" w:type="dxa"/>
          </w:tcPr>
          <w:p>
            <w:pPr>
              <w:pStyle w:val="TableParagraph"/>
              <w:ind w:left="154" w:right="102"/>
              <w:jc w:val="center"/>
              <w:rPr>
                <w:sz w:val="18"/>
              </w:rPr>
            </w:pPr>
            <w:r>
              <w:rPr>
                <w:spacing w:val="-2"/>
                <w:sz w:val="18"/>
              </w:rPr>
              <w:t>0.024223</w:t>
            </w:r>
          </w:p>
        </w:tc>
        <w:tc>
          <w:tcPr>
            <w:tcW w:w="1439" w:type="dxa"/>
          </w:tcPr>
          <w:p>
            <w:pPr>
              <w:pStyle w:val="TableParagraph"/>
              <w:ind w:left="44" w:right="48"/>
              <w:jc w:val="center"/>
              <w:rPr>
                <w:sz w:val="18"/>
              </w:rPr>
            </w:pPr>
            <w:r>
              <w:rPr>
                <w:spacing w:val="-2"/>
                <w:sz w:val="18"/>
              </w:rPr>
              <w:t>-0.003153</w:t>
            </w:r>
          </w:p>
        </w:tc>
        <w:tc>
          <w:tcPr>
            <w:tcW w:w="1409" w:type="dxa"/>
          </w:tcPr>
          <w:p>
            <w:pPr>
              <w:pStyle w:val="TableParagraph"/>
              <w:spacing w:line="240" w:lineRule="auto" w:before="0"/>
              <w:rPr>
                <w:rFonts w:ascii="Times New Roman"/>
                <w:sz w:val="16"/>
              </w:rPr>
            </w:pPr>
          </w:p>
        </w:tc>
        <w:tc>
          <w:tcPr>
            <w:tcW w:w="2834" w:type="dxa"/>
          </w:tcPr>
          <w:p>
            <w:pPr>
              <w:pStyle w:val="TableParagraph"/>
              <w:spacing w:line="240" w:lineRule="auto" w:before="0"/>
              <w:rPr>
                <w:rFonts w:ascii="Times New Roman"/>
                <w:sz w:val="16"/>
              </w:rPr>
            </w:pPr>
          </w:p>
        </w:tc>
      </w:tr>
      <w:tr>
        <w:trPr>
          <w:trHeight w:val="303" w:hRule="atLeast"/>
        </w:trPr>
        <w:tc>
          <w:tcPr>
            <w:tcW w:w="1467" w:type="dxa"/>
            <w:tcBorders>
              <w:bottom w:val="double" w:sz="6" w:space="0" w:color="000000"/>
            </w:tcBorders>
          </w:tcPr>
          <w:p>
            <w:pPr>
              <w:pStyle w:val="TableParagraph"/>
              <w:spacing w:line="240" w:lineRule="auto" w:before="0"/>
              <w:rPr>
                <w:rFonts w:ascii="Times New Roman"/>
                <w:sz w:val="18"/>
              </w:rPr>
            </w:pPr>
          </w:p>
        </w:tc>
        <w:tc>
          <w:tcPr>
            <w:tcW w:w="1266" w:type="dxa"/>
            <w:tcBorders>
              <w:bottom w:val="double" w:sz="6" w:space="0" w:color="000000"/>
            </w:tcBorders>
          </w:tcPr>
          <w:p>
            <w:pPr>
              <w:pStyle w:val="TableParagraph"/>
              <w:spacing w:line="240" w:lineRule="auto"/>
              <w:ind w:left="48" w:right="10"/>
              <w:jc w:val="center"/>
              <w:rPr>
                <w:sz w:val="18"/>
              </w:rPr>
            </w:pPr>
            <w:r>
              <w:rPr>
                <w:spacing w:val="-2"/>
                <w:sz w:val="18"/>
              </w:rPr>
              <w:t>(0.00154)</w:t>
            </w:r>
          </w:p>
        </w:tc>
        <w:tc>
          <w:tcPr>
            <w:tcW w:w="1561" w:type="dxa"/>
            <w:tcBorders>
              <w:bottom w:val="double" w:sz="6" w:space="0" w:color="000000"/>
            </w:tcBorders>
          </w:tcPr>
          <w:p>
            <w:pPr>
              <w:pStyle w:val="TableParagraph"/>
              <w:spacing w:line="240" w:lineRule="auto"/>
              <w:ind w:left="52" w:right="4"/>
              <w:jc w:val="center"/>
              <w:rPr>
                <w:sz w:val="18"/>
              </w:rPr>
            </w:pPr>
            <w:r>
              <w:rPr>
                <w:spacing w:val="-2"/>
                <w:sz w:val="18"/>
              </w:rPr>
              <w:t>(0.00774)</w:t>
            </w:r>
          </w:p>
        </w:tc>
        <w:tc>
          <w:tcPr>
            <w:tcW w:w="1350" w:type="dxa"/>
            <w:tcBorders>
              <w:bottom w:val="double" w:sz="6" w:space="0" w:color="000000"/>
            </w:tcBorders>
          </w:tcPr>
          <w:p>
            <w:pPr>
              <w:pStyle w:val="TableParagraph"/>
              <w:spacing w:line="240" w:lineRule="auto"/>
              <w:ind w:left="52" w:right="74"/>
              <w:jc w:val="center"/>
              <w:rPr>
                <w:sz w:val="18"/>
              </w:rPr>
            </w:pPr>
            <w:r>
              <w:rPr>
                <w:spacing w:val="-2"/>
                <w:sz w:val="18"/>
              </w:rPr>
              <w:t>(0.48193)</w:t>
            </w:r>
          </w:p>
        </w:tc>
        <w:tc>
          <w:tcPr>
            <w:tcW w:w="1418" w:type="dxa"/>
            <w:tcBorders>
              <w:bottom w:val="double" w:sz="6" w:space="0" w:color="000000"/>
            </w:tcBorders>
          </w:tcPr>
          <w:p>
            <w:pPr>
              <w:pStyle w:val="TableParagraph"/>
              <w:spacing w:line="240" w:lineRule="auto"/>
              <w:ind w:left="53" w:right="10"/>
              <w:jc w:val="center"/>
              <w:rPr>
                <w:sz w:val="18"/>
              </w:rPr>
            </w:pPr>
            <w:r>
              <w:rPr>
                <w:spacing w:val="-2"/>
                <w:sz w:val="18"/>
              </w:rPr>
              <w:t>(0.38353)</w:t>
            </w:r>
          </w:p>
        </w:tc>
        <w:tc>
          <w:tcPr>
            <w:tcW w:w="1406" w:type="dxa"/>
            <w:tcBorders>
              <w:bottom w:val="double" w:sz="6" w:space="0" w:color="000000"/>
            </w:tcBorders>
          </w:tcPr>
          <w:p>
            <w:pPr>
              <w:pStyle w:val="TableParagraph"/>
              <w:spacing w:line="240" w:lineRule="auto"/>
              <w:ind w:left="154" w:right="102"/>
              <w:jc w:val="center"/>
              <w:rPr>
                <w:sz w:val="18"/>
              </w:rPr>
            </w:pPr>
            <w:r>
              <w:rPr>
                <w:spacing w:val="-2"/>
                <w:sz w:val="18"/>
              </w:rPr>
              <w:t>(0.02047)</w:t>
            </w:r>
          </w:p>
        </w:tc>
        <w:tc>
          <w:tcPr>
            <w:tcW w:w="1439" w:type="dxa"/>
            <w:tcBorders>
              <w:bottom w:val="double" w:sz="6" w:space="0" w:color="000000"/>
            </w:tcBorders>
          </w:tcPr>
          <w:p>
            <w:pPr>
              <w:pStyle w:val="TableParagraph"/>
              <w:spacing w:line="240" w:lineRule="auto"/>
              <w:ind w:left="51" w:right="7"/>
              <w:jc w:val="center"/>
              <w:rPr>
                <w:sz w:val="18"/>
              </w:rPr>
            </w:pPr>
            <w:r>
              <w:rPr>
                <w:spacing w:val="-2"/>
                <w:sz w:val="18"/>
              </w:rPr>
              <w:t>(0.00219)</w:t>
            </w:r>
          </w:p>
        </w:tc>
        <w:tc>
          <w:tcPr>
            <w:tcW w:w="1409" w:type="dxa"/>
            <w:tcBorders>
              <w:bottom w:val="double" w:sz="6" w:space="0" w:color="000000"/>
            </w:tcBorders>
          </w:tcPr>
          <w:p>
            <w:pPr>
              <w:pStyle w:val="TableParagraph"/>
              <w:spacing w:line="240" w:lineRule="auto" w:before="0"/>
              <w:rPr>
                <w:rFonts w:ascii="Times New Roman"/>
                <w:sz w:val="18"/>
              </w:rPr>
            </w:pPr>
          </w:p>
        </w:tc>
        <w:tc>
          <w:tcPr>
            <w:tcW w:w="2834" w:type="dxa"/>
            <w:tcBorders>
              <w:bottom w:val="double" w:sz="6" w:space="0" w:color="000000"/>
            </w:tcBorders>
          </w:tcPr>
          <w:p>
            <w:pPr>
              <w:pStyle w:val="TableParagraph"/>
              <w:spacing w:line="240" w:lineRule="auto" w:before="0"/>
              <w:rPr>
                <w:rFonts w:ascii="Times New Roman"/>
                <w:sz w:val="18"/>
              </w:rPr>
            </w:pPr>
          </w:p>
        </w:tc>
      </w:tr>
      <w:tr>
        <w:trPr>
          <w:trHeight w:val="629" w:hRule="atLeast"/>
        </w:trPr>
        <w:tc>
          <w:tcPr>
            <w:tcW w:w="2733" w:type="dxa"/>
            <w:gridSpan w:val="2"/>
            <w:tcBorders>
              <w:top w:val="double" w:sz="6" w:space="0" w:color="000000"/>
              <w:bottom w:val="double" w:sz="6" w:space="0" w:color="000000"/>
            </w:tcBorders>
          </w:tcPr>
          <w:p>
            <w:pPr>
              <w:pStyle w:val="TableParagraph"/>
              <w:spacing w:line="240" w:lineRule="auto" w:before="124"/>
              <w:rPr>
                <w:rFonts w:ascii="Times New Roman"/>
                <w:b/>
                <w:sz w:val="18"/>
              </w:rPr>
            </w:pPr>
          </w:p>
          <w:p>
            <w:pPr>
              <w:pStyle w:val="TableParagraph"/>
              <w:spacing w:line="240" w:lineRule="auto" w:before="1"/>
              <w:rPr>
                <w:sz w:val="18"/>
              </w:rPr>
            </w:pPr>
            <w:r>
              <w:rPr>
                <w:sz w:val="18"/>
              </w:rPr>
              <w:t>7</w:t>
            </w:r>
            <w:r>
              <w:rPr>
                <w:spacing w:val="-5"/>
                <w:sz w:val="18"/>
              </w:rPr>
              <w:t> </w:t>
            </w:r>
            <w:r>
              <w:rPr>
                <w:sz w:val="18"/>
              </w:rPr>
              <w:t>Cointegrating</w:t>
            </w:r>
            <w:r>
              <w:rPr>
                <w:spacing w:val="-5"/>
                <w:sz w:val="18"/>
              </w:rPr>
              <w:t> </w:t>
            </w:r>
            <w:r>
              <w:rPr>
                <w:spacing w:val="-2"/>
                <w:sz w:val="18"/>
              </w:rPr>
              <w:t>Equation(s):</w:t>
            </w:r>
          </w:p>
        </w:tc>
        <w:tc>
          <w:tcPr>
            <w:tcW w:w="1561" w:type="dxa"/>
            <w:tcBorders>
              <w:top w:val="double" w:sz="6" w:space="0" w:color="000000"/>
              <w:bottom w:val="double" w:sz="6" w:space="0" w:color="000000"/>
            </w:tcBorders>
          </w:tcPr>
          <w:p>
            <w:pPr>
              <w:pStyle w:val="TableParagraph"/>
              <w:spacing w:line="240" w:lineRule="auto" w:before="124"/>
              <w:rPr>
                <w:rFonts w:ascii="Times New Roman"/>
                <w:b/>
                <w:sz w:val="18"/>
              </w:rPr>
            </w:pPr>
          </w:p>
          <w:p>
            <w:pPr>
              <w:pStyle w:val="TableParagraph"/>
              <w:spacing w:line="240" w:lineRule="auto" w:before="1"/>
              <w:ind w:left="48" w:right="51"/>
              <w:jc w:val="center"/>
              <w:rPr>
                <w:sz w:val="18"/>
              </w:rPr>
            </w:pPr>
            <w:r>
              <w:rPr>
                <w:sz w:val="18"/>
              </w:rPr>
              <w:t>Log</w:t>
            </w:r>
            <w:r>
              <w:rPr>
                <w:spacing w:val="-3"/>
                <w:sz w:val="18"/>
              </w:rPr>
              <w:t> </w:t>
            </w:r>
            <w:r>
              <w:rPr>
                <w:spacing w:val="-2"/>
                <w:sz w:val="18"/>
              </w:rPr>
              <w:t>likelihood</w:t>
            </w:r>
          </w:p>
        </w:tc>
        <w:tc>
          <w:tcPr>
            <w:tcW w:w="1350" w:type="dxa"/>
            <w:tcBorders>
              <w:top w:val="double" w:sz="6" w:space="0" w:color="000000"/>
              <w:bottom w:val="double" w:sz="6" w:space="0" w:color="000000"/>
            </w:tcBorders>
          </w:tcPr>
          <w:p>
            <w:pPr>
              <w:pStyle w:val="TableParagraph"/>
              <w:spacing w:line="240" w:lineRule="auto" w:before="124"/>
              <w:rPr>
                <w:rFonts w:ascii="Times New Roman"/>
                <w:b/>
                <w:sz w:val="18"/>
              </w:rPr>
            </w:pPr>
          </w:p>
          <w:p>
            <w:pPr>
              <w:pStyle w:val="TableParagraph"/>
              <w:spacing w:line="240" w:lineRule="auto" w:before="1"/>
              <w:ind w:right="74"/>
              <w:jc w:val="center"/>
              <w:rPr>
                <w:sz w:val="18"/>
              </w:rPr>
            </w:pPr>
            <w:r>
              <w:rPr>
                <w:spacing w:val="-2"/>
                <w:sz w:val="18"/>
              </w:rPr>
              <w:t>-1362.035</w:t>
            </w:r>
          </w:p>
        </w:tc>
        <w:tc>
          <w:tcPr>
            <w:tcW w:w="1418"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06"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39"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09"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834" w:type="dxa"/>
            <w:tcBorders>
              <w:top w:val="double" w:sz="6" w:space="0" w:color="000000"/>
              <w:bottom w:val="double" w:sz="6" w:space="0" w:color="000000"/>
            </w:tcBorders>
          </w:tcPr>
          <w:p>
            <w:pPr>
              <w:pStyle w:val="TableParagraph"/>
              <w:spacing w:line="240" w:lineRule="auto" w:before="0"/>
              <w:rPr>
                <w:rFonts w:ascii="Times New Roman"/>
                <w:sz w:val="18"/>
              </w:rPr>
            </w:pPr>
          </w:p>
        </w:tc>
      </w:tr>
      <w:tr>
        <w:trPr>
          <w:trHeight w:val="326" w:hRule="atLeast"/>
        </w:trPr>
        <w:tc>
          <w:tcPr>
            <w:tcW w:w="14150" w:type="dxa"/>
            <w:gridSpan w:val="9"/>
            <w:tcBorders>
              <w:top w:val="double" w:sz="6" w:space="0" w:color="000000"/>
            </w:tcBorders>
          </w:tcPr>
          <w:p>
            <w:pPr>
              <w:pStyle w:val="TableParagraph"/>
              <w:spacing w:line="198" w:lineRule="exact" w:before="108"/>
              <w:rPr>
                <w:sz w:val="18"/>
              </w:rPr>
            </w:pPr>
            <w:r>
              <w:rPr>
                <w:sz w:val="18"/>
              </w:rPr>
              <w:t>Normalized</w:t>
            </w:r>
            <w:r>
              <w:rPr>
                <w:spacing w:val="-11"/>
                <w:sz w:val="18"/>
              </w:rPr>
              <w:t> </w:t>
            </w:r>
            <w:r>
              <w:rPr>
                <w:sz w:val="18"/>
              </w:rPr>
              <w:t>cointegrating</w:t>
            </w:r>
            <w:r>
              <w:rPr>
                <w:spacing w:val="-12"/>
                <w:sz w:val="18"/>
              </w:rPr>
              <w:t> </w:t>
            </w:r>
            <w:r>
              <w:rPr>
                <w:sz w:val="18"/>
              </w:rPr>
              <w:t>coefficients</w:t>
            </w:r>
            <w:r>
              <w:rPr>
                <w:spacing w:val="-11"/>
                <w:sz w:val="18"/>
              </w:rPr>
              <w:t> </w:t>
            </w:r>
            <w:r>
              <w:rPr>
                <w:sz w:val="18"/>
              </w:rPr>
              <w:t>(standard</w:t>
            </w:r>
            <w:r>
              <w:rPr>
                <w:spacing w:val="-10"/>
                <w:sz w:val="18"/>
              </w:rPr>
              <w:t> </w:t>
            </w:r>
            <w:r>
              <w:rPr>
                <w:sz w:val="18"/>
              </w:rPr>
              <w:t>error</w:t>
            </w:r>
            <w:r>
              <w:rPr>
                <w:spacing w:val="-13"/>
                <w:sz w:val="18"/>
              </w:rPr>
              <w:t> </w:t>
            </w:r>
            <w:r>
              <w:rPr>
                <w:sz w:val="18"/>
              </w:rPr>
              <w:t>in</w:t>
            </w:r>
            <w:r>
              <w:rPr>
                <w:spacing w:val="-7"/>
                <w:sz w:val="18"/>
              </w:rPr>
              <w:t> </w:t>
            </w:r>
            <w:r>
              <w:rPr>
                <w:spacing w:val="-2"/>
                <w:sz w:val="18"/>
              </w:rPr>
              <w:t>parentheses)</w:t>
            </w:r>
          </w:p>
        </w:tc>
      </w:tr>
      <w:tr>
        <w:trPr>
          <w:trHeight w:val="224" w:hRule="atLeast"/>
        </w:trPr>
        <w:tc>
          <w:tcPr>
            <w:tcW w:w="1467" w:type="dxa"/>
          </w:tcPr>
          <w:p>
            <w:pPr>
              <w:pStyle w:val="TableParagraph"/>
              <w:spacing w:before="5"/>
              <w:ind w:right="81"/>
              <w:jc w:val="center"/>
              <w:rPr>
                <w:sz w:val="18"/>
              </w:rPr>
            </w:pPr>
            <w:r>
              <w:rPr>
                <w:spacing w:val="-4"/>
                <w:sz w:val="18"/>
              </w:rPr>
              <w:t>RGDP</w:t>
            </w:r>
          </w:p>
        </w:tc>
        <w:tc>
          <w:tcPr>
            <w:tcW w:w="1266" w:type="dxa"/>
          </w:tcPr>
          <w:p>
            <w:pPr>
              <w:pStyle w:val="TableParagraph"/>
              <w:spacing w:before="5"/>
              <w:ind w:left="38" w:right="47"/>
              <w:jc w:val="center"/>
              <w:rPr>
                <w:sz w:val="18"/>
              </w:rPr>
            </w:pPr>
            <w:r>
              <w:rPr>
                <w:spacing w:val="-5"/>
                <w:sz w:val="18"/>
              </w:rPr>
              <w:t>FDI</w:t>
            </w:r>
          </w:p>
        </w:tc>
        <w:tc>
          <w:tcPr>
            <w:tcW w:w="1561" w:type="dxa"/>
          </w:tcPr>
          <w:p>
            <w:pPr>
              <w:pStyle w:val="TableParagraph"/>
              <w:spacing w:before="5"/>
              <w:ind w:left="48" w:right="52"/>
              <w:jc w:val="center"/>
              <w:rPr>
                <w:sz w:val="18"/>
              </w:rPr>
            </w:pPr>
            <w:r>
              <w:rPr>
                <w:spacing w:val="-5"/>
                <w:sz w:val="18"/>
              </w:rPr>
              <w:t>FPI</w:t>
            </w:r>
          </w:p>
        </w:tc>
        <w:tc>
          <w:tcPr>
            <w:tcW w:w="1350" w:type="dxa"/>
          </w:tcPr>
          <w:p>
            <w:pPr>
              <w:pStyle w:val="TableParagraph"/>
              <w:spacing w:before="5"/>
              <w:ind w:right="74"/>
              <w:jc w:val="center"/>
              <w:rPr>
                <w:sz w:val="18"/>
              </w:rPr>
            </w:pPr>
            <w:r>
              <w:rPr>
                <w:spacing w:val="-5"/>
                <w:sz w:val="18"/>
              </w:rPr>
              <w:t>TOP</w:t>
            </w:r>
          </w:p>
        </w:tc>
        <w:tc>
          <w:tcPr>
            <w:tcW w:w="1418" w:type="dxa"/>
          </w:tcPr>
          <w:p>
            <w:pPr>
              <w:pStyle w:val="TableParagraph"/>
              <w:spacing w:before="5"/>
              <w:ind w:left="43" w:right="52"/>
              <w:jc w:val="center"/>
              <w:rPr>
                <w:sz w:val="18"/>
              </w:rPr>
            </w:pPr>
            <w:r>
              <w:rPr>
                <w:spacing w:val="-5"/>
                <w:sz w:val="18"/>
              </w:rPr>
              <w:t>REM</w:t>
            </w:r>
          </w:p>
        </w:tc>
        <w:tc>
          <w:tcPr>
            <w:tcW w:w="1406" w:type="dxa"/>
          </w:tcPr>
          <w:p>
            <w:pPr>
              <w:pStyle w:val="TableParagraph"/>
              <w:spacing w:before="5"/>
              <w:ind w:left="103" w:right="102"/>
              <w:jc w:val="center"/>
              <w:rPr>
                <w:sz w:val="18"/>
              </w:rPr>
            </w:pPr>
            <w:r>
              <w:rPr>
                <w:spacing w:val="-5"/>
                <w:sz w:val="18"/>
              </w:rPr>
              <w:t>ODA</w:t>
            </w:r>
          </w:p>
        </w:tc>
        <w:tc>
          <w:tcPr>
            <w:tcW w:w="1439" w:type="dxa"/>
          </w:tcPr>
          <w:p>
            <w:pPr>
              <w:pStyle w:val="TableParagraph"/>
              <w:spacing w:before="5"/>
              <w:ind w:left="44" w:right="48"/>
              <w:jc w:val="center"/>
              <w:rPr>
                <w:sz w:val="18"/>
              </w:rPr>
            </w:pPr>
            <w:r>
              <w:rPr>
                <w:spacing w:val="-2"/>
                <w:sz w:val="18"/>
              </w:rPr>
              <w:t>CPS_GDP</w:t>
            </w:r>
          </w:p>
        </w:tc>
        <w:tc>
          <w:tcPr>
            <w:tcW w:w="1409" w:type="dxa"/>
          </w:tcPr>
          <w:p>
            <w:pPr>
              <w:pStyle w:val="TableParagraph"/>
              <w:spacing w:before="5"/>
              <w:ind w:left="56" w:right="74"/>
              <w:jc w:val="center"/>
              <w:rPr>
                <w:sz w:val="18"/>
              </w:rPr>
            </w:pPr>
            <w:r>
              <w:rPr>
                <w:spacing w:val="-5"/>
                <w:sz w:val="18"/>
              </w:rPr>
              <w:t>INT</w:t>
            </w:r>
          </w:p>
        </w:tc>
        <w:tc>
          <w:tcPr>
            <w:tcW w:w="2834" w:type="dxa"/>
          </w:tcPr>
          <w:p>
            <w:pPr>
              <w:pStyle w:val="TableParagraph"/>
              <w:spacing w:before="5"/>
              <w:ind w:right="1425"/>
              <w:jc w:val="center"/>
              <w:rPr>
                <w:sz w:val="18"/>
              </w:rPr>
            </w:pPr>
            <w:r>
              <w:rPr>
                <w:spacing w:val="-4"/>
                <w:sz w:val="18"/>
              </w:rPr>
              <w:t>EXCH</w:t>
            </w:r>
          </w:p>
        </w:tc>
      </w:tr>
      <w:tr>
        <w:trPr>
          <w:trHeight w:val="225" w:hRule="atLeast"/>
        </w:trPr>
        <w:tc>
          <w:tcPr>
            <w:tcW w:w="1467" w:type="dxa"/>
          </w:tcPr>
          <w:p>
            <w:pPr>
              <w:pStyle w:val="TableParagraph"/>
              <w:ind w:left="56" w:right="81"/>
              <w:jc w:val="center"/>
              <w:rPr>
                <w:sz w:val="18"/>
              </w:rPr>
            </w:pPr>
            <w:r>
              <w:rPr>
                <w:spacing w:val="-2"/>
                <w:sz w:val="18"/>
              </w:rPr>
              <w:t>1.000000</w:t>
            </w:r>
          </w:p>
        </w:tc>
        <w:tc>
          <w:tcPr>
            <w:tcW w:w="1266" w:type="dxa"/>
          </w:tcPr>
          <w:p>
            <w:pPr>
              <w:pStyle w:val="TableParagraph"/>
              <w:ind w:left="47" w:right="10"/>
              <w:jc w:val="center"/>
              <w:rPr>
                <w:sz w:val="18"/>
              </w:rPr>
            </w:pPr>
            <w:r>
              <w:rPr>
                <w:spacing w:val="-2"/>
                <w:sz w:val="18"/>
              </w:rPr>
              <w:t>0.000000</w:t>
            </w:r>
          </w:p>
        </w:tc>
        <w:tc>
          <w:tcPr>
            <w:tcW w:w="1561" w:type="dxa"/>
          </w:tcPr>
          <w:p>
            <w:pPr>
              <w:pStyle w:val="TableParagraph"/>
              <w:ind w:left="51" w:right="4"/>
              <w:jc w:val="center"/>
              <w:rPr>
                <w:sz w:val="18"/>
              </w:rPr>
            </w:pPr>
            <w:r>
              <w:rPr>
                <w:spacing w:val="-2"/>
                <w:sz w:val="18"/>
              </w:rPr>
              <w:t>0.000000</w:t>
            </w:r>
          </w:p>
        </w:tc>
        <w:tc>
          <w:tcPr>
            <w:tcW w:w="1350" w:type="dxa"/>
          </w:tcPr>
          <w:p>
            <w:pPr>
              <w:pStyle w:val="TableParagraph"/>
              <w:ind w:left="51" w:right="74"/>
              <w:jc w:val="center"/>
              <w:rPr>
                <w:sz w:val="18"/>
              </w:rPr>
            </w:pPr>
            <w:r>
              <w:rPr>
                <w:spacing w:val="-2"/>
                <w:sz w:val="18"/>
              </w:rPr>
              <w:t>0.000000</w:t>
            </w:r>
          </w:p>
        </w:tc>
        <w:tc>
          <w:tcPr>
            <w:tcW w:w="1418" w:type="dxa"/>
          </w:tcPr>
          <w:p>
            <w:pPr>
              <w:pStyle w:val="TableParagraph"/>
              <w:ind w:left="53" w:right="10"/>
              <w:jc w:val="center"/>
              <w:rPr>
                <w:sz w:val="18"/>
              </w:rPr>
            </w:pPr>
            <w:r>
              <w:rPr>
                <w:spacing w:val="-2"/>
                <w:sz w:val="18"/>
              </w:rPr>
              <w:t>0.000000</w:t>
            </w:r>
          </w:p>
        </w:tc>
        <w:tc>
          <w:tcPr>
            <w:tcW w:w="1406" w:type="dxa"/>
          </w:tcPr>
          <w:p>
            <w:pPr>
              <w:pStyle w:val="TableParagraph"/>
              <w:ind w:left="154" w:right="102"/>
              <w:jc w:val="center"/>
              <w:rPr>
                <w:sz w:val="18"/>
              </w:rPr>
            </w:pPr>
            <w:r>
              <w:rPr>
                <w:spacing w:val="-2"/>
                <w:sz w:val="18"/>
              </w:rPr>
              <w:t>0.000000</w:t>
            </w:r>
          </w:p>
        </w:tc>
        <w:tc>
          <w:tcPr>
            <w:tcW w:w="1439" w:type="dxa"/>
          </w:tcPr>
          <w:p>
            <w:pPr>
              <w:pStyle w:val="TableParagraph"/>
              <w:ind w:left="50" w:right="7"/>
              <w:jc w:val="center"/>
              <w:rPr>
                <w:sz w:val="18"/>
              </w:rPr>
            </w:pPr>
            <w:r>
              <w:rPr>
                <w:spacing w:val="-2"/>
                <w:sz w:val="18"/>
              </w:rPr>
              <w:t>0.000000</w:t>
            </w:r>
          </w:p>
        </w:tc>
        <w:tc>
          <w:tcPr>
            <w:tcW w:w="1409" w:type="dxa"/>
          </w:tcPr>
          <w:p>
            <w:pPr>
              <w:pStyle w:val="TableParagraph"/>
              <w:ind w:left="56" w:right="27"/>
              <w:jc w:val="center"/>
              <w:rPr>
                <w:sz w:val="18"/>
              </w:rPr>
            </w:pPr>
            <w:r>
              <w:rPr>
                <w:spacing w:val="-2"/>
                <w:sz w:val="18"/>
              </w:rPr>
              <w:t>272.0580</w:t>
            </w:r>
          </w:p>
        </w:tc>
        <w:tc>
          <w:tcPr>
            <w:tcW w:w="2834" w:type="dxa"/>
          </w:tcPr>
          <w:p>
            <w:pPr>
              <w:pStyle w:val="TableParagraph"/>
              <w:ind w:right="1425"/>
              <w:jc w:val="center"/>
              <w:rPr>
                <w:sz w:val="18"/>
              </w:rPr>
            </w:pPr>
            <w:r>
              <w:rPr>
                <w:spacing w:val="-2"/>
                <w:sz w:val="18"/>
              </w:rPr>
              <w:t>-245.8445</w:t>
            </w: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ind w:left="56" w:right="27"/>
              <w:jc w:val="center"/>
              <w:rPr>
                <w:sz w:val="18"/>
              </w:rPr>
            </w:pPr>
            <w:r>
              <w:rPr>
                <w:spacing w:val="-2"/>
                <w:sz w:val="18"/>
              </w:rPr>
              <w:t>(512.813)</w:t>
            </w:r>
          </w:p>
        </w:tc>
        <w:tc>
          <w:tcPr>
            <w:tcW w:w="2834" w:type="dxa"/>
          </w:tcPr>
          <w:p>
            <w:pPr>
              <w:pStyle w:val="TableParagraph"/>
              <w:ind w:left="51" w:right="1425"/>
              <w:jc w:val="center"/>
              <w:rPr>
                <w:sz w:val="18"/>
              </w:rPr>
            </w:pPr>
            <w:r>
              <w:rPr>
                <w:spacing w:val="-2"/>
                <w:sz w:val="18"/>
              </w:rPr>
              <w:t>(43.7236)</w:t>
            </w:r>
          </w:p>
        </w:tc>
      </w:tr>
      <w:tr>
        <w:trPr>
          <w:trHeight w:val="224" w:hRule="atLeast"/>
        </w:trPr>
        <w:tc>
          <w:tcPr>
            <w:tcW w:w="1467" w:type="dxa"/>
          </w:tcPr>
          <w:p>
            <w:pPr>
              <w:pStyle w:val="TableParagraph"/>
              <w:spacing w:line="198" w:lineRule="exact"/>
              <w:ind w:left="56" w:right="81"/>
              <w:jc w:val="center"/>
              <w:rPr>
                <w:sz w:val="18"/>
              </w:rPr>
            </w:pPr>
            <w:r>
              <w:rPr>
                <w:spacing w:val="-2"/>
                <w:sz w:val="18"/>
              </w:rPr>
              <w:t>0.000000</w:t>
            </w:r>
          </w:p>
        </w:tc>
        <w:tc>
          <w:tcPr>
            <w:tcW w:w="1266" w:type="dxa"/>
          </w:tcPr>
          <w:p>
            <w:pPr>
              <w:pStyle w:val="TableParagraph"/>
              <w:spacing w:line="198" w:lineRule="exact"/>
              <w:ind w:left="47" w:right="10"/>
              <w:jc w:val="center"/>
              <w:rPr>
                <w:sz w:val="18"/>
              </w:rPr>
            </w:pPr>
            <w:r>
              <w:rPr>
                <w:spacing w:val="-2"/>
                <w:sz w:val="18"/>
              </w:rPr>
              <w:t>1.000000</w:t>
            </w:r>
          </w:p>
        </w:tc>
        <w:tc>
          <w:tcPr>
            <w:tcW w:w="1561" w:type="dxa"/>
          </w:tcPr>
          <w:p>
            <w:pPr>
              <w:pStyle w:val="TableParagraph"/>
              <w:spacing w:line="198" w:lineRule="exact"/>
              <w:ind w:left="51" w:right="4"/>
              <w:jc w:val="center"/>
              <w:rPr>
                <w:sz w:val="18"/>
              </w:rPr>
            </w:pPr>
            <w:r>
              <w:rPr>
                <w:spacing w:val="-2"/>
                <w:sz w:val="18"/>
              </w:rPr>
              <w:t>0.000000</w:t>
            </w:r>
          </w:p>
        </w:tc>
        <w:tc>
          <w:tcPr>
            <w:tcW w:w="1350" w:type="dxa"/>
          </w:tcPr>
          <w:p>
            <w:pPr>
              <w:pStyle w:val="TableParagraph"/>
              <w:spacing w:line="198" w:lineRule="exact"/>
              <w:ind w:left="51" w:right="74"/>
              <w:jc w:val="center"/>
              <w:rPr>
                <w:sz w:val="18"/>
              </w:rPr>
            </w:pPr>
            <w:r>
              <w:rPr>
                <w:spacing w:val="-2"/>
                <w:sz w:val="18"/>
              </w:rPr>
              <w:t>0.000000</w:t>
            </w:r>
          </w:p>
        </w:tc>
        <w:tc>
          <w:tcPr>
            <w:tcW w:w="1418" w:type="dxa"/>
          </w:tcPr>
          <w:p>
            <w:pPr>
              <w:pStyle w:val="TableParagraph"/>
              <w:spacing w:line="198" w:lineRule="exact"/>
              <w:ind w:left="53" w:right="10"/>
              <w:jc w:val="center"/>
              <w:rPr>
                <w:sz w:val="18"/>
              </w:rPr>
            </w:pPr>
            <w:r>
              <w:rPr>
                <w:spacing w:val="-2"/>
                <w:sz w:val="18"/>
              </w:rPr>
              <w:t>0.000000</w:t>
            </w:r>
          </w:p>
        </w:tc>
        <w:tc>
          <w:tcPr>
            <w:tcW w:w="1406" w:type="dxa"/>
          </w:tcPr>
          <w:p>
            <w:pPr>
              <w:pStyle w:val="TableParagraph"/>
              <w:spacing w:line="198" w:lineRule="exact"/>
              <w:ind w:left="154" w:right="102"/>
              <w:jc w:val="center"/>
              <w:rPr>
                <w:sz w:val="18"/>
              </w:rPr>
            </w:pPr>
            <w:r>
              <w:rPr>
                <w:spacing w:val="-2"/>
                <w:sz w:val="18"/>
              </w:rPr>
              <w:t>0.000000</w:t>
            </w:r>
          </w:p>
        </w:tc>
        <w:tc>
          <w:tcPr>
            <w:tcW w:w="1439" w:type="dxa"/>
          </w:tcPr>
          <w:p>
            <w:pPr>
              <w:pStyle w:val="TableParagraph"/>
              <w:spacing w:line="198" w:lineRule="exact"/>
              <w:ind w:left="50" w:right="7"/>
              <w:jc w:val="center"/>
              <w:rPr>
                <w:sz w:val="18"/>
              </w:rPr>
            </w:pPr>
            <w:r>
              <w:rPr>
                <w:spacing w:val="-2"/>
                <w:sz w:val="18"/>
              </w:rPr>
              <w:t>0.000000</w:t>
            </w:r>
          </w:p>
        </w:tc>
        <w:tc>
          <w:tcPr>
            <w:tcW w:w="1409" w:type="dxa"/>
          </w:tcPr>
          <w:p>
            <w:pPr>
              <w:pStyle w:val="TableParagraph"/>
              <w:spacing w:line="198" w:lineRule="exact"/>
              <w:ind w:left="56" w:right="27"/>
              <w:jc w:val="center"/>
              <w:rPr>
                <w:sz w:val="18"/>
              </w:rPr>
            </w:pPr>
            <w:r>
              <w:rPr>
                <w:spacing w:val="-2"/>
                <w:sz w:val="18"/>
              </w:rPr>
              <w:t>16.43705</w:t>
            </w:r>
          </w:p>
        </w:tc>
        <w:tc>
          <w:tcPr>
            <w:tcW w:w="2834" w:type="dxa"/>
          </w:tcPr>
          <w:p>
            <w:pPr>
              <w:pStyle w:val="TableParagraph"/>
              <w:spacing w:line="198" w:lineRule="exact"/>
              <w:ind w:right="1425"/>
              <w:jc w:val="center"/>
              <w:rPr>
                <w:sz w:val="18"/>
              </w:rPr>
            </w:pPr>
            <w:r>
              <w:rPr>
                <w:spacing w:val="-2"/>
                <w:sz w:val="18"/>
              </w:rPr>
              <w:t>-7.295603</w:t>
            </w: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before="5"/>
              <w:ind w:left="56" w:right="27"/>
              <w:jc w:val="center"/>
              <w:rPr>
                <w:sz w:val="18"/>
              </w:rPr>
            </w:pPr>
            <w:r>
              <w:rPr>
                <w:spacing w:val="-2"/>
                <w:sz w:val="18"/>
              </w:rPr>
              <w:t>(50.3210)</w:t>
            </w:r>
          </w:p>
        </w:tc>
        <w:tc>
          <w:tcPr>
            <w:tcW w:w="2834" w:type="dxa"/>
          </w:tcPr>
          <w:p>
            <w:pPr>
              <w:pStyle w:val="TableParagraph"/>
              <w:spacing w:before="5"/>
              <w:ind w:left="51" w:right="1425"/>
              <w:jc w:val="center"/>
              <w:rPr>
                <w:sz w:val="18"/>
              </w:rPr>
            </w:pPr>
            <w:r>
              <w:rPr>
                <w:spacing w:val="-2"/>
                <w:sz w:val="18"/>
              </w:rPr>
              <w:t>(4.29049)</w:t>
            </w:r>
          </w:p>
        </w:tc>
      </w:tr>
      <w:tr>
        <w:trPr>
          <w:trHeight w:val="225" w:hRule="atLeast"/>
        </w:trPr>
        <w:tc>
          <w:tcPr>
            <w:tcW w:w="1467" w:type="dxa"/>
          </w:tcPr>
          <w:p>
            <w:pPr>
              <w:pStyle w:val="TableParagraph"/>
              <w:ind w:left="56" w:right="81"/>
              <w:jc w:val="center"/>
              <w:rPr>
                <w:sz w:val="18"/>
              </w:rPr>
            </w:pPr>
            <w:r>
              <w:rPr>
                <w:spacing w:val="-2"/>
                <w:sz w:val="18"/>
              </w:rPr>
              <w:t>0.000000</w:t>
            </w:r>
          </w:p>
        </w:tc>
        <w:tc>
          <w:tcPr>
            <w:tcW w:w="1266" w:type="dxa"/>
          </w:tcPr>
          <w:p>
            <w:pPr>
              <w:pStyle w:val="TableParagraph"/>
              <w:ind w:left="47" w:right="10"/>
              <w:jc w:val="center"/>
              <w:rPr>
                <w:sz w:val="18"/>
              </w:rPr>
            </w:pPr>
            <w:r>
              <w:rPr>
                <w:spacing w:val="-2"/>
                <w:sz w:val="18"/>
              </w:rPr>
              <w:t>0.000000</w:t>
            </w:r>
          </w:p>
        </w:tc>
        <w:tc>
          <w:tcPr>
            <w:tcW w:w="1561" w:type="dxa"/>
          </w:tcPr>
          <w:p>
            <w:pPr>
              <w:pStyle w:val="TableParagraph"/>
              <w:ind w:left="51" w:right="4"/>
              <w:jc w:val="center"/>
              <w:rPr>
                <w:sz w:val="18"/>
              </w:rPr>
            </w:pPr>
            <w:r>
              <w:rPr>
                <w:spacing w:val="-2"/>
                <w:sz w:val="18"/>
              </w:rPr>
              <w:t>1.000000</w:t>
            </w:r>
          </w:p>
        </w:tc>
        <w:tc>
          <w:tcPr>
            <w:tcW w:w="1350" w:type="dxa"/>
          </w:tcPr>
          <w:p>
            <w:pPr>
              <w:pStyle w:val="TableParagraph"/>
              <w:ind w:left="51" w:right="74"/>
              <w:jc w:val="center"/>
              <w:rPr>
                <w:sz w:val="18"/>
              </w:rPr>
            </w:pPr>
            <w:r>
              <w:rPr>
                <w:spacing w:val="-2"/>
                <w:sz w:val="18"/>
              </w:rPr>
              <w:t>0.000000</w:t>
            </w:r>
          </w:p>
        </w:tc>
        <w:tc>
          <w:tcPr>
            <w:tcW w:w="1418" w:type="dxa"/>
          </w:tcPr>
          <w:p>
            <w:pPr>
              <w:pStyle w:val="TableParagraph"/>
              <w:ind w:left="53" w:right="10"/>
              <w:jc w:val="center"/>
              <w:rPr>
                <w:sz w:val="18"/>
              </w:rPr>
            </w:pPr>
            <w:r>
              <w:rPr>
                <w:spacing w:val="-2"/>
                <w:sz w:val="18"/>
              </w:rPr>
              <w:t>0.000000</w:t>
            </w:r>
          </w:p>
        </w:tc>
        <w:tc>
          <w:tcPr>
            <w:tcW w:w="1406" w:type="dxa"/>
          </w:tcPr>
          <w:p>
            <w:pPr>
              <w:pStyle w:val="TableParagraph"/>
              <w:ind w:left="154" w:right="102"/>
              <w:jc w:val="center"/>
              <w:rPr>
                <w:sz w:val="18"/>
              </w:rPr>
            </w:pPr>
            <w:r>
              <w:rPr>
                <w:spacing w:val="-2"/>
                <w:sz w:val="18"/>
              </w:rPr>
              <w:t>0.000000</w:t>
            </w:r>
          </w:p>
        </w:tc>
        <w:tc>
          <w:tcPr>
            <w:tcW w:w="1439" w:type="dxa"/>
          </w:tcPr>
          <w:p>
            <w:pPr>
              <w:pStyle w:val="TableParagraph"/>
              <w:ind w:left="50" w:right="7"/>
              <w:jc w:val="center"/>
              <w:rPr>
                <w:sz w:val="18"/>
              </w:rPr>
            </w:pPr>
            <w:r>
              <w:rPr>
                <w:spacing w:val="-2"/>
                <w:sz w:val="18"/>
              </w:rPr>
              <w:t>0.000000</w:t>
            </w:r>
          </w:p>
        </w:tc>
        <w:tc>
          <w:tcPr>
            <w:tcW w:w="1409" w:type="dxa"/>
          </w:tcPr>
          <w:p>
            <w:pPr>
              <w:pStyle w:val="TableParagraph"/>
              <w:ind w:left="56" w:right="75"/>
              <w:jc w:val="center"/>
              <w:rPr>
                <w:sz w:val="18"/>
              </w:rPr>
            </w:pPr>
            <w:r>
              <w:rPr>
                <w:spacing w:val="-2"/>
                <w:sz w:val="18"/>
              </w:rPr>
              <w:t>-0.759641</w:t>
            </w:r>
          </w:p>
        </w:tc>
        <w:tc>
          <w:tcPr>
            <w:tcW w:w="2834" w:type="dxa"/>
          </w:tcPr>
          <w:p>
            <w:pPr>
              <w:pStyle w:val="TableParagraph"/>
              <w:ind w:right="1425"/>
              <w:jc w:val="center"/>
              <w:rPr>
                <w:sz w:val="18"/>
              </w:rPr>
            </w:pPr>
            <w:r>
              <w:rPr>
                <w:spacing w:val="-2"/>
                <w:sz w:val="18"/>
              </w:rPr>
              <w:t>-1.008940</w:t>
            </w: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ind w:left="56" w:right="27"/>
              <w:jc w:val="center"/>
              <w:rPr>
                <w:sz w:val="18"/>
              </w:rPr>
            </w:pPr>
            <w:r>
              <w:rPr>
                <w:spacing w:val="-2"/>
                <w:sz w:val="18"/>
              </w:rPr>
              <w:t>(0.65370)</w:t>
            </w:r>
          </w:p>
        </w:tc>
        <w:tc>
          <w:tcPr>
            <w:tcW w:w="2834" w:type="dxa"/>
          </w:tcPr>
          <w:p>
            <w:pPr>
              <w:pStyle w:val="TableParagraph"/>
              <w:ind w:left="51" w:right="1425"/>
              <w:jc w:val="center"/>
              <w:rPr>
                <w:sz w:val="18"/>
              </w:rPr>
            </w:pPr>
            <w:r>
              <w:rPr>
                <w:spacing w:val="-2"/>
                <w:sz w:val="18"/>
              </w:rPr>
              <w:t>(0.05574)</w:t>
            </w:r>
          </w:p>
        </w:tc>
      </w:tr>
      <w:tr>
        <w:trPr>
          <w:trHeight w:val="224" w:hRule="atLeast"/>
        </w:trPr>
        <w:tc>
          <w:tcPr>
            <w:tcW w:w="1467" w:type="dxa"/>
          </w:tcPr>
          <w:p>
            <w:pPr>
              <w:pStyle w:val="TableParagraph"/>
              <w:spacing w:line="198" w:lineRule="exact"/>
              <w:ind w:left="56" w:right="81"/>
              <w:jc w:val="center"/>
              <w:rPr>
                <w:sz w:val="18"/>
              </w:rPr>
            </w:pPr>
            <w:r>
              <w:rPr>
                <w:spacing w:val="-2"/>
                <w:sz w:val="18"/>
              </w:rPr>
              <w:t>0.000000</w:t>
            </w:r>
          </w:p>
        </w:tc>
        <w:tc>
          <w:tcPr>
            <w:tcW w:w="1266" w:type="dxa"/>
          </w:tcPr>
          <w:p>
            <w:pPr>
              <w:pStyle w:val="TableParagraph"/>
              <w:spacing w:line="198" w:lineRule="exact"/>
              <w:ind w:left="47" w:right="10"/>
              <w:jc w:val="center"/>
              <w:rPr>
                <w:sz w:val="18"/>
              </w:rPr>
            </w:pPr>
            <w:r>
              <w:rPr>
                <w:spacing w:val="-2"/>
                <w:sz w:val="18"/>
              </w:rPr>
              <w:t>0.000000</w:t>
            </w:r>
          </w:p>
        </w:tc>
        <w:tc>
          <w:tcPr>
            <w:tcW w:w="1561" w:type="dxa"/>
          </w:tcPr>
          <w:p>
            <w:pPr>
              <w:pStyle w:val="TableParagraph"/>
              <w:spacing w:line="198" w:lineRule="exact"/>
              <w:ind w:left="51" w:right="4"/>
              <w:jc w:val="center"/>
              <w:rPr>
                <w:sz w:val="18"/>
              </w:rPr>
            </w:pPr>
            <w:r>
              <w:rPr>
                <w:spacing w:val="-2"/>
                <w:sz w:val="18"/>
              </w:rPr>
              <w:t>0.000000</w:t>
            </w:r>
          </w:p>
        </w:tc>
        <w:tc>
          <w:tcPr>
            <w:tcW w:w="1350" w:type="dxa"/>
          </w:tcPr>
          <w:p>
            <w:pPr>
              <w:pStyle w:val="TableParagraph"/>
              <w:spacing w:line="198" w:lineRule="exact"/>
              <w:ind w:left="51" w:right="74"/>
              <w:jc w:val="center"/>
              <w:rPr>
                <w:sz w:val="18"/>
              </w:rPr>
            </w:pPr>
            <w:r>
              <w:rPr>
                <w:spacing w:val="-2"/>
                <w:sz w:val="18"/>
              </w:rPr>
              <w:t>1.000000</w:t>
            </w:r>
          </w:p>
        </w:tc>
        <w:tc>
          <w:tcPr>
            <w:tcW w:w="1418" w:type="dxa"/>
          </w:tcPr>
          <w:p>
            <w:pPr>
              <w:pStyle w:val="TableParagraph"/>
              <w:spacing w:line="198" w:lineRule="exact"/>
              <w:ind w:left="53" w:right="10"/>
              <w:jc w:val="center"/>
              <w:rPr>
                <w:sz w:val="18"/>
              </w:rPr>
            </w:pPr>
            <w:r>
              <w:rPr>
                <w:spacing w:val="-2"/>
                <w:sz w:val="18"/>
              </w:rPr>
              <w:t>0.000000</w:t>
            </w:r>
          </w:p>
        </w:tc>
        <w:tc>
          <w:tcPr>
            <w:tcW w:w="1406" w:type="dxa"/>
          </w:tcPr>
          <w:p>
            <w:pPr>
              <w:pStyle w:val="TableParagraph"/>
              <w:spacing w:line="198" w:lineRule="exact"/>
              <w:ind w:left="154" w:right="102"/>
              <w:jc w:val="center"/>
              <w:rPr>
                <w:sz w:val="18"/>
              </w:rPr>
            </w:pPr>
            <w:r>
              <w:rPr>
                <w:spacing w:val="-2"/>
                <w:sz w:val="18"/>
              </w:rPr>
              <w:t>0.000000</w:t>
            </w:r>
          </w:p>
        </w:tc>
        <w:tc>
          <w:tcPr>
            <w:tcW w:w="1439" w:type="dxa"/>
          </w:tcPr>
          <w:p>
            <w:pPr>
              <w:pStyle w:val="TableParagraph"/>
              <w:spacing w:line="198" w:lineRule="exact"/>
              <w:ind w:left="50" w:right="7"/>
              <w:jc w:val="center"/>
              <w:rPr>
                <w:sz w:val="18"/>
              </w:rPr>
            </w:pPr>
            <w:r>
              <w:rPr>
                <w:spacing w:val="-2"/>
                <w:sz w:val="18"/>
              </w:rPr>
              <w:t>0.000000</w:t>
            </w:r>
          </w:p>
        </w:tc>
        <w:tc>
          <w:tcPr>
            <w:tcW w:w="1409" w:type="dxa"/>
          </w:tcPr>
          <w:p>
            <w:pPr>
              <w:pStyle w:val="TableParagraph"/>
              <w:spacing w:line="198" w:lineRule="exact"/>
              <w:ind w:left="56" w:right="27"/>
              <w:jc w:val="center"/>
              <w:rPr>
                <w:sz w:val="18"/>
              </w:rPr>
            </w:pPr>
            <w:r>
              <w:rPr>
                <w:spacing w:val="-2"/>
                <w:sz w:val="18"/>
              </w:rPr>
              <w:t>2.889316</w:t>
            </w:r>
          </w:p>
        </w:tc>
        <w:tc>
          <w:tcPr>
            <w:tcW w:w="2834" w:type="dxa"/>
          </w:tcPr>
          <w:p>
            <w:pPr>
              <w:pStyle w:val="TableParagraph"/>
              <w:spacing w:line="198" w:lineRule="exact"/>
              <w:ind w:left="50" w:right="1425"/>
              <w:jc w:val="center"/>
              <w:rPr>
                <w:sz w:val="18"/>
              </w:rPr>
            </w:pPr>
            <w:r>
              <w:rPr>
                <w:spacing w:val="-2"/>
                <w:sz w:val="18"/>
              </w:rPr>
              <w:t>0.091237</w:t>
            </w: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before="5"/>
              <w:ind w:left="56" w:right="27"/>
              <w:jc w:val="center"/>
              <w:rPr>
                <w:sz w:val="18"/>
              </w:rPr>
            </w:pPr>
            <w:r>
              <w:rPr>
                <w:spacing w:val="-2"/>
                <w:sz w:val="18"/>
              </w:rPr>
              <w:t>(0.64941)</w:t>
            </w:r>
          </w:p>
        </w:tc>
        <w:tc>
          <w:tcPr>
            <w:tcW w:w="2834" w:type="dxa"/>
          </w:tcPr>
          <w:p>
            <w:pPr>
              <w:pStyle w:val="TableParagraph"/>
              <w:spacing w:before="5"/>
              <w:ind w:left="51" w:right="1425"/>
              <w:jc w:val="center"/>
              <w:rPr>
                <w:sz w:val="18"/>
              </w:rPr>
            </w:pPr>
            <w:r>
              <w:rPr>
                <w:spacing w:val="-2"/>
                <w:sz w:val="18"/>
              </w:rPr>
              <w:t>(0.05537)</w:t>
            </w:r>
          </w:p>
        </w:tc>
      </w:tr>
      <w:tr>
        <w:trPr>
          <w:trHeight w:val="225" w:hRule="atLeast"/>
        </w:trPr>
        <w:tc>
          <w:tcPr>
            <w:tcW w:w="1467" w:type="dxa"/>
          </w:tcPr>
          <w:p>
            <w:pPr>
              <w:pStyle w:val="TableParagraph"/>
              <w:ind w:left="56" w:right="81"/>
              <w:jc w:val="center"/>
              <w:rPr>
                <w:sz w:val="18"/>
              </w:rPr>
            </w:pPr>
            <w:r>
              <w:rPr>
                <w:spacing w:val="-2"/>
                <w:sz w:val="18"/>
              </w:rPr>
              <w:t>0.000000</w:t>
            </w:r>
          </w:p>
        </w:tc>
        <w:tc>
          <w:tcPr>
            <w:tcW w:w="1266" w:type="dxa"/>
          </w:tcPr>
          <w:p>
            <w:pPr>
              <w:pStyle w:val="TableParagraph"/>
              <w:ind w:left="47" w:right="10"/>
              <w:jc w:val="center"/>
              <w:rPr>
                <w:sz w:val="18"/>
              </w:rPr>
            </w:pPr>
            <w:r>
              <w:rPr>
                <w:spacing w:val="-2"/>
                <w:sz w:val="18"/>
              </w:rPr>
              <w:t>0.000000</w:t>
            </w:r>
          </w:p>
        </w:tc>
        <w:tc>
          <w:tcPr>
            <w:tcW w:w="1561" w:type="dxa"/>
          </w:tcPr>
          <w:p>
            <w:pPr>
              <w:pStyle w:val="TableParagraph"/>
              <w:ind w:left="51" w:right="4"/>
              <w:jc w:val="center"/>
              <w:rPr>
                <w:sz w:val="18"/>
              </w:rPr>
            </w:pPr>
            <w:r>
              <w:rPr>
                <w:spacing w:val="-2"/>
                <w:sz w:val="18"/>
              </w:rPr>
              <w:t>0.000000</w:t>
            </w:r>
          </w:p>
        </w:tc>
        <w:tc>
          <w:tcPr>
            <w:tcW w:w="1350" w:type="dxa"/>
          </w:tcPr>
          <w:p>
            <w:pPr>
              <w:pStyle w:val="TableParagraph"/>
              <w:ind w:left="51" w:right="74"/>
              <w:jc w:val="center"/>
              <w:rPr>
                <w:sz w:val="18"/>
              </w:rPr>
            </w:pPr>
            <w:r>
              <w:rPr>
                <w:spacing w:val="-2"/>
                <w:sz w:val="18"/>
              </w:rPr>
              <w:t>0.000000</w:t>
            </w:r>
          </w:p>
        </w:tc>
        <w:tc>
          <w:tcPr>
            <w:tcW w:w="1418" w:type="dxa"/>
          </w:tcPr>
          <w:p>
            <w:pPr>
              <w:pStyle w:val="TableParagraph"/>
              <w:ind w:left="53" w:right="10"/>
              <w:jc w:val="center"/>
              <w:rPr>
                <w:sz w:val="18"/>
              </w:rPr>
            </w:pPr>
            <w:r>
              <w:rPr>
                <w:spacing w:val="-2"/>
                <w:sz w:val="18"/>
              </w:rPr>
              <w:t>1.000000</w:t>
            </w:r>
          </w:p>
        </w:tc>
        <w:tc>
          <w:tcPr>
            <w:tcW w:w="1406" w:type="dxa"/>
          </w:tcPr>
          <w:p>
            <w:pPr>
              <w:pStyle w:val="TableParagraph"/>
              <w:ind w:left="154" w:right="102"/>
              <w:jc w:val="center"/>
              <w:rPr>
                <w:sz w:val="18"/>
              </w:rPr>
            </w:pPr>
            <w:r>
              <w:rPr>
                <w:spacing w:val="-2"/>
                <w:sz w:val="18"/>
              </w:rPr>
              <w:t>0.000000</w:t>
            </w:r>
          </w:p>
        </w:tc>
        <w:tc>
          <w:tcPr>
            <w:tcW w:w="1439" w:type="dxa"/>
          </w:tcPr>
          <w:p>
            <w:pPr>
              <w:pStyle w:val="TableParagraph"/>
              <w:ind w:left="50" w:right="7"/>
              <w:jc w:val="center"/>
              <w:rPr>
                <w:sz w:val="18"/>
              </w:rPr>
            </w:pPr>
            <w:r>
              <w:rPr>
                <w:spacing w:val="-2"/>
                <w:sz w:val="18"/>
              </w:rPr>
              <w:t>0.000000</w:t>
            </w:r>
          </w:p>
        </w:tc>
        <w:tc>
          <w:tcPr>
            <w:tcW w:w="1409" w:type="dxa"/>
          </w:tcPr>
          <w:p>
            <w:pPr>
              <w:pStyle w:val="TableParagraph"/>
              <w:ind w:left="56" w:right="27"/>
              <w:jc w:val="center"/>
              <w:rPr>
                <w:sz w:val="18"/>
              </w:rPr>
            </w:pPr>
            <w:r>
              <w:rPr>
                <w:spacing w:val="-2"/>
                <w:sz w:val="18"/>
              </w:rPr>
              <w:t>0.414009</w:t>
            </w:r>
          </w:p>
        </w:tc>
        <w:tc>
          <w:tcPr>
            <w:tcW w:w="2834" w:type="dxa"/>
          </w:tcPr>
          <w:p>
            <w:pPr>
              <w:pStyle w:val="TableParagraph"/>
              <w:ind w:right="1425"/>
              <w:jc w:val="center"/>
              <w:rPr>
                <w:sz w:val="18"/>
              </w:rPr>
            </w:pPr>
            <w:r>
              <w:rPr>
                <w:spacing w:val="-2"/>
                <w:sz w:val="18"/>
              </w:rPr>
              <w:t>-3.947304</w:t>
            </w: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ind w:left="56" w:right="27"/>
              <w:jc w:val="center"/>
              <w:rPr>
                <w:sz w:val="18"/>
              </w:rPr>
            </w:pPr>
            <w:r>
              <w:rPr>
                <w:spacing w:val="-2"/>
                <w:sz w:val="18"/>
              </w:rPr>
              <w:t>(11.1012)</w:t>
            </w:r>
          </w:p>
        </w:tc>
        <w:tc>
          <w:tcPr>
            <w:tcW w:w="2834" w:type="dxa"/>
          </w:tcPr>
          <w:p>
            <w:pPr>
              <w:pStyle w:val="TableParagraph"/>
              <w:ind w:left="51" w:right="1425"/>
              <w:jc w:val="center"/>
              <w:rPr>
                <w:sz w:val="18"/>
              </w:rPr>
            </w:pPr>
            <w:r>
              <w:rPr>
                <w:spacing w:val="-2"/>
                <w:sz w:val="18"/>
              </w:rPr>
              <w:t>(0.94651)</w:t>
            </w:r>
          </w:p>
        </w:tc>
      </w:tr>
      <w:tr>
        <w:trPr>
          <w:trHeight w:val="213" w:hRule="atLeast"/>
        </w:trPr>
        <w:tc>
          <w:tcPr>
            <w:tcW w:w="1467" w:type="dxa"/>
          </w:tcPr>
          <w:p>
            <w:pPr>
              <w:pStyle w:val="TableParagraph"/>
              <w:spacing w:line="187" w:lineRule="exact"/>
              <w:ind w:left="56" w:right="81"/>
              <w:jc w:val="center"/>
              <w:rPr>
                <w:sz w:val="18"/>
              </w:rPr>
            </w:pPr>
            <w:r>
              <w:rPr>
                <w:spacing w:val="-2"/>
                <w:sz w:val="18"/>
              </w:rPr>
              <w:t>0.000000</w:t>
            </w:r>
          </w:p>
        </w:tc>
        <w:tc>
          <w:tcPr>
            <w:tcW w:w="1266" w:type="dxa"/>
          </w:tcPr>
          <w:p>
            <w:pPr>
              <w:pStyle w:val="TableParagraph"/>
              <w:spacing w:line="187" w:lineRule="exact"/>
              <w:ind w:left="47" w:right="10"/>
              <w:jc w:val="center"/>
              <w:rPr>
                <w:sz w:val="18"/>
              </w:rPr>
            </w:pPr>
            <w:r>
              <w:rPr>
                <w:spacing w:val="-2"/>
                <w:sz w:val="18"/>
              </w:rPr>
              <w:t>0.000000</w:t>
            </w:r>
          </w:p>
        </w:tc>
        <w:tc>
          <w:tcPr>
            <w:tcW w:w="1561" w:type="dxa"/>
          </w:tcPr>
          <w:p>
            <w:pPr>
              <w:pStyle w:val="TableParagraph"/>
              <w:spacing w:line="187" w:lineRule="exact"/>
              <w:ind w:left="51" w:right="4"/>
              <w:jc w:val="center"/>
              <w:rPr>
                <w:sz w:val="18"/>
              </w:rPr>
            </w:pPr>
            <w:r>
              <w:rPr>
                <w:spacing w:val="-2"/>
                <w:sz w:val="18"/>
              </w:rPr>
              <w:t>0.000000</w:t>
            </w:r>
          </w:p>
        </w:tc>
        <w:tc>
          <w:tcPr>
            <w:tcW w:w="1350" w:type="dxa"/>
          </w:tcPr>
          <w:p>
            <w:pPr>
              <w:pStyle w:val="TableParagraph"/>
              <w:spacing w:line="187" w:lineRule="exact"/>
              <w:ind w:left="51" w:right="74"/>
              <w:jc w:val="center"/>
              <w:rPr>
                <w:sz w:val="18"/>
              </w:rPr>
            </w:pPr>
            <w:r>
              <w:rPr>
                <w:spacing w:val="-2"/>
                <w:sz w:val="18"/>
              </w:rPr>
              <w:t>0.000000</w:t>
            </w:r>
          </w:p>
        </w:tc>
        <w:tc>
          <w:tcPr>
            <w:tcW w:w="1418" w:type="dxa"/>
          </w:tcPr>
          <w:p>
            <w:pPr>
              <w:pStyle w:val="TableParagraph"/>
              <w:spacing w:line="187" w:lineRule="exact"/>
              <w:ind w:left="53" w:right="10"/>
              <w:jc w:val="center"/>
              <w:rPr>
                <w:sz w:val="18"/>
              </w:rPr>
            </w:pPr>
            <w:r>
              <w:rPr>
                <w:spacing w:val="-2"/>
                <w:sz w:val="18"/>
              </w:rPr>
              <w:t>0.000000</w:t>
            </w:r>
          </w:p>
        </w:tc>
        <w:tc>
          <w:tcPr>
            <w:tcW w:w="1406" w:type="dxa"/>
          </w:tcPr>
          <w:p>
            <w:pPr>
              <w:pStyle w:val="TableParagraph"/>
              <w:spacing w:line="187" w:lineRule="exact"/>
              <w:ind w:left="154" w:right="102"/>
              <w:jc w:val="center"/>
              <w:rPr>
                <w:sz w:val="18"/>
              </w:rPr>
            </w:pPr>
            <w:r>
              <w:rPr>
                <w:spacing w:val="-2"/>
                <w:sz w:val="18"/>
              </w:rPr>
              <w:t>1.000000</w:t>
            </w:r>
          </w:p>
        </w:tc>
        <w:tc>
          <w:tcPr>
            <w:tcW w:w="1439" w:type="dxa"/>
          </w:tcPr>
          <w:p>
            <w:pPr>
              <w:pStyle w:val="TableParagraph"/>
              <w:spacing w:line="187" w:lineRule="exact"/>
              <w:ind w:left="50" w:right="7"/>
              <w:jc w:val="center"/>
              <w:rPr>
                <w:sz w:val="18"/>
              </w:rPr>
            </w:pPr>
            <w:r>
              <w:rPr>
                <w:spacing w:val="-2"/>
                <w:sz w:val="18"/>
              </w:rPr>
              <w:t>0.000000</w:t>
            </w:r>
          </w:p>
        </w:tc>
        <w:tc>
          <w:tcPr>
            <w:tcW w:w="1409" w:type="dxa"/>
          </w:tcPr>
          <w:p>
            <w:pPr>
              <w:pStyle w:val="TableParagraph"/>
              <w:spacing w:line="187" w:lineRule="exact"/>
              <w:ind w:left="56" w:right="27"/>
              <w:jc w:val="center"/>
              <w:rPr>
                <w:sz w:val="18"/>
              </w:rPr>
            </w:pPr>
            <w:r>
              <w:rPr>
                <w:spacing w:val="-2"/>
                <w:sz w:val="18"/>
              </w:rPr>
              <w:t>154.1695</w:t>
            </w:r>
          </w:p>
        </w:tc>
        <w:tc>
          <w:tcPr>
            <w:tcW w:w="2834" w:type="dxa"/>
          </w:tcPr>
          <w:p>
            <w:pPr>
              <w:pStyle w:val="TableParagraph"/>
              <w:spacing w:line="187" w:lineRule="exact"/>
              <w:ind w:right="1425"/>
              <w:jc w:val="center"/>
              <w:rPr>
                <w:sz w:val="18"/>
              </w:rPr>
            </w:pPr>
            <w:r>
              <w:rPr>
                <w:spacing w:val="-2"/>
                <w:sz w:val="18"/>
              </w:rPr>
              <w:t>-64.32378</w:t>
            </w:r>
          </w:p>
        </w:tc>
      </w:tr>
    </w:tbl>
    <w:p>
      <w:pPr>
        <w:spacing w:after="0" w:line="187" w:lineRule="exact"/>
        <w:jc w:val="center"/>
        <w:rPr>
          <w:sz w:val="18"/>
        </w:rPr>
        <w:sectPr>
          <w:pgSz w:w="15840" w:h="12240" w:orient="landscape"/>
          <w:pgMar w:header="0" w:footer="1012" w:top="1380" w:bottom="1200" w:left="1340" w:right="120"/>
        </w:sectPr>
      </w:pPr>
    </w:p>
    <w:p>
      <w:pPr>
        <w:pStyle w:val="BodyText"/>
        <w:spacing w:before="4"/>
        <w:ind w:left="0"/>
        <w:rPr>
          <w:b/>
          <w:sz w:val="7"/>
        </w:rPr>
      </w:pP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7"/>
        <w:gridCol w:w="1266"/>
        <w:gridCol w:w="1561"/>
        <w:gridCol w:w="1350"/>
        <w:gridCol w:w="1418"/>
        <w:gridCol w:w="1406"/>
        <w:gridCol w:w="1439"/>
        <w:gridCol w:w="1409"/>
        <w:gridCol w:w="2834"/>
      </w:tblGrid>
      <w:tr>
        <w:trPr>
          <w:trHeight w:val="212" w:hRule="atLeast"/>
        </w:trPr>
        <w:tc>
          <w:tcPr>
            <w:tcW w:w="1467" w:type="dxa"/>
          </w:tcPr>
          <w:p>
            <w:pPr>
              <w:pStyle w:val="TableParagraph"/>
              <w:spacing w:line="240" w:lineRule="auto" w:before="0"/>
              <w:rPr>
                <w:rFonts w:ascii="Times New Roman"/>
                <w:sz w:val="14"/>
              </w:rPr>
            </w:pPr>
          </w:p>
        </w:tc>
        <w:tc>
          <w:tcPr>
            <w:tcW w:w="1266" w:type="dxa"/>
          </w:tcPr>
          <w:p>
            <w:pPr>
              <w:pStyle w:val="TableParagraph"/>
              <w:spacing w:line="240" w:lineRule="auto" w:before="0"/>
              <w:rPr>
                <w:rFonts w:ascii="Times New Roman"/>
                <w:sz w:val="14"/>
              </w:rPr>
            </w:pPr>
          </w:p>
        </w:tc>
        <w:tc>
          <w:tcPr>
            <w:tcW w:w="1561" w:type="dxa"/>
          </w:tcPr>
          <w:p>
            <w:pPr>
              <w:pStyle w:val="TableParagraph"/>
              <w:spacing w:line="240" w:lineRule="auto" w:before="0"/>
              <w:rPr>
                <w:rFonts w:ascii="Times New Roman"/>
                <w:sz w:val="14"/>
              </w:rPr>
            </w:pPr>
          </w:p>
        </w:tc>
        <w:tc>
          <w:tcPr>
            <w:tcW w:w="1350" w:type="dxa"/>
          </w:tcPr>
          <w:p>
            <w:pPr>
              <w:pStyle w:val="TableParagraph"/>
              <w:spacing w:line="240" w:lineRule="auto" w:before="0"/>
              <w:rPr>
                <w:rFonts w:ascii="Times New Roman"/>
                <w:sz w:val="14"/>
              </w:rPr>
            </w:pPr>
          </w:p>
        </w:tc>
        <w:tc>
          <w:tcPr>
            <w:tcW w:w="1418" w:type="dxa"/>
          </w:tcPr>
          <w:p>
            <w:pPr>
              <w:pStyle w:val="TableParagraph"/>
              <w:spacing w:line="240" w:lineRule="auto" w:before="0"/>
              <w:rPr>
                <w:rFonts w:ascii="Times New Roman"/>
                <w:sz w:val="14"/>
              </w:rPr>
            </w:pPr>
          </w:p>
        </w:tc>
        <w:tc>
          <w:tcPr>
            <w:tcW w:w="1406" w:type="dxa"/>
          </w:tcPr>
          <w:p>
            <w:pPr>
              <w:pStyle w:val="TableParagraph"/>
              <w:spacing w:line="240" w:lineRule="auto" w:before="0"/>
              <w:rPr>
                <w:rFonts w:ascii="Times New Roman"/>
                <w:sz w:val="14"/>
              </w:rPr>
            </w:pPr>
          </w:p>
        </w:tc>
        <w:tc>
          <w:tcPr>
            <w:tcW w:w="1439" w:type="dxa"/>
          </w:tcPr>
          <w:p>
            <w:pPr>
              <w:pStyle w:val="TableParagraph"/>
              <w:spacing w:line="240" w:lineRule="auto" w:before="0"/>
              <w:rPr>
                <w:rFonts w:ascii="Times New Roman"/>
                <w:sz w:val="14"/>
              </w:rPr>
            </w:pPr>
          </w:p>
        </w:tc>
        <w:tc>
          <w:tcPr>
            <w:tcW w:w="1409" w:type="dxa"/>
          </w:tcPr>
          <w:p>
            <w:pPr>
              <w:pStyle w:val="TableParagraph"/>
              <w:spacing w:line="192" w:lineRule="exact" w:before="0"/>
              <w:ind w:left="56" w:right="27"/>
              <w:jc w:val="center"/>
              <w:rPr>
                <w:sz w:val="18"/>
              </w:rPr>
            </w:pPr>
            <w:r>
              <w:rPr>
                <w:spacing w:val="-2"/>
                <w:sz w:val="18"/>
              </w:rPr>
              <w:t>(69.8529)</w:t>
            </w:r>
          </w:p>
        </w:tc>
        <w:tc>
          <w:tcPr>
            <w:tcW w:w="2834" w:type="dxa"/>
          </w:tcPr>
          <w:p>
            <w:pPr>
              <w:pStyle w:val="TableParagraph"/>
              <w:spacing w:line="192" w:lineRule="exact" w:before="0"/>
              <w:ind w:left="51" w:right="1425"/>
              <w:jc w:val="center"/>
              <w:rPr>
                <w:sz w:val="18"/>
              </w:rPr>
            </w:pPr>
            <w:r>
              <w:rPr>
                <w:spacing w:val="-2"/>
                <w:sz w:val="18"/>
              </w:rPr>
              <w:t>(5.95582)</w:t>
            </w:r>
          </w:p>
        </w:tc>
      </w:tr>
      <w:tr>
        <w:trPr>
          <w:trHeight w:val="224" w:hRule="atLeast"/>
        </w:trPr>
        <w:tc>
          <w:tcPr>
            <w:tcW w:w="1467" w:type="dxa"/>
          </w:tcPr>
          <w:p>
            <w:pPr>
              <w:pStyle w:val="TableParagraph"/>
              <w:spacing w:before="5"/>
              <w:ind w:left="56" w:right="81"/>
              <w:jc w:val="center"/>
              <w:rPr>
                <w:sz w:val="18"/>
              </w:rPr>
            </w:pPr>
            <w:r>
              <w:rPr>
                <w:spacing w:val="-2"/>
                <w:sz w:val="18"/>
              </w:rPr>
              <w:t>0.000000</w:t>
            </w:r>
          </w:p>
        </w:tc>
        <w:tc>
          <w:tcPr>
            <w:tcW w:w="1266" w:type="dxa"/>
          </w:tcPr>
          <w:p>
            <w:pPr>
              <w:pStyle w:val="TableParagraph"/>
              <w:spacing w:before="5"/>
              <w:ind w:left="47" w:right="10"/>
              <w:jc w:val="center"/>
              <w:rPr>
                <w:sz w:val="18"/>
              </w:rPr>
            </w:pPr>
            <w:r>
              <w:rPr/>
              <mc:AlternateContent>
                <mc:Choice Requires="wps">
                  <w:drawing>
                    <wp:anchor distT="0" distB="0" distL="0" distR="0" allowOverlap="1" layoutInCell="1" locked="0" behindDoc="1" simplePos="0" relativeHeight="478144000">
                      <wp:simplePos x="0" y="0"/>
                      <wp:positionH relativeFrom="column">
                        <wp:posOffset>227431</wp:posOffset>
                      </wp:positionH>
                      <wp:positionV relativeFrom="paragraph">
                        <wp:posOffset>-10516</wp:posOffset>
                      </wp:positionV>
                      <wp:extent cx="5505450" cy="5661025"/>
                      <wp:effectExtent l="0" t="0" r="0" b="0"/>
                      <wp:wrapNone/>
                      <wp:docPr id="292" name="Group 292"/>
                      <wp:cNvGraphicFramePr>
                        <a:graphicFrameLocks/>
                      </wp:cNvGraphicFramePr>
                      <a:graphic>
                        <a:graphicData uri="http://schemas.microsoft.com/office/word/2010/wordprocessingGroup">
                          <wpg:wgp>
                            <wpg:cNvPr id="292" name="Group 292"/>
                            <wpg:cNvGrpSpPr/>
                            <wpg:grpSpPr>
                              <a:xfrm>
                                <a:off x="0" y="0"/>
                                <a:ext cx="5505450" cy="5661025"/>
                                <a:chExt cx="5505450" cy="5661025"/>
                              </a:xfrm>
                            </wpg:grpSpPr>
                            <wps:wsp>
                              <wps:cNvPr id="293" name="Graphic 293"/>
                              <wps:cNvSpPr/>
                              <wps:spPr>
                                <a:xfrm>
                                  <a:off x="0" y="0"/>
                                  <a:ext cx="5505450" cy="5661025"/>
                                </a:xfrm>
                                <a:custGeom>
                                  <a:avLst/>
                                  <a:gdLst/>
                                  <a:ahLst/>
                                  <a:cxnLst/>
                                  <a:rect l="l" t="t" r="r" b="b"/>
                                  <a:pathLst>
                                    <a:path w="5505450" h="5661025">
                                      <a:moveTo>
                                        <a:pt x="677037" y="5536984"/>
                                      </a:moveTo>
                                      <a:lnTo>
                                        <a:pt x="123825" y="4983861"/>
                                      </a:lnTo>
                                      <a:lnTo>
                                        <a:pt x="0" y="5107686"/>
                                      </a:lnTo>
                                      <a:lnTo>
                                        <a:pt x="553212" y="5660809"/>
                                      </a:lnTo>
                                      <a:lnTo>
                                        <a:pt x="677037" y="5536984"/>
                                      </a:lnTo>
                                      <a:close/>
                                    </a:path>
                                    <a:path w="5505450" h="5661025">
                                      <a:moveTo>
                                        <a:pt x="1052703" y="5107749"/>
                                      </a:moveTo>
                                      <a:lnTo>
                                        <a:pt x="1049020" y="5055489"/>
                                      </a:lnTo>
                                      <a:lnTo>
                                        <a:pt x="1033995" y="4999825"/>
                                      </a:lnTo>
                                      <a:lnTo>
                                        <a:pt x="1007364" y="4944618"/>
                                      </a:lnTo>
                                      <a:lnTo>
                                        <a:pt x="970749" y="4891671"/>
                                      </a:lnTo>
                                      <a:lnTo>
                                        <a:pt x="925957" y="4841367"/>
                                      </a:lnTo>
                                      <a:lnTo>
                                        <a:pt x="596138" y="4511548"/>
                                      </a:lnTo>
                                      <a:lnTo>
                                        <a:pt x="472821" y="4634865"/>
                                      </a:lnTo>
                                      <a:lnTo>
                                        <a:pt x="810387" y="4972558"/>
                                      </a:lnTo>
                                      <a:lnTo>
                                        <a:pt x="830897" y="4995367"/>
                                      </a:lnTo>
                                      <a:lnTo>
                                        <a:pt x="846543" y="5017833"/>
                                      </a:lnTo>
                                      <a:lnTo>
                                        <a:pt x="857389" y="5039931"/>
                                      </a:lnTo>
                                      <a:lnTo>
                                        <a:pt x="863473" y="5061585"/>
                                      </a:lnTo>
                                      <a:lnTo>
                                        <a:pt x="864425" y="5082425"/>
                                      </a:lnTo>
                                      <a:lnTo>
                                        <a:pt x="860488" y="5101869"/>
                                      </a:lnTo>
                                      <a:lnTo>
                                        <a:pt x="838073" y="5136515"/>
                                      </a:lnTo>
                                      <a:lnTo>
                                        <a:pt x="803160" y="5159083"/>
                                      </a:lnTo>
                                      <a:lnTo>
                                        <a:pt x="783615" y="5162867"/>
                                      </a:lnTo>
                                      <a:lnTo>
                                        <a:pt x="762635" y="5161534"/>
                                      </a:lnTo>
                                      <a:lnTo>
                                        <a:pt x="718566" y="5144859"/>
                                      </a:lnTo>
                                      <a:lnTo>
                                        <a:pt x="673735" y="5109210"/>
                                      </a:lnTo>
                                      <a:lnTo>
                                        <a:pt x="336169" y="4771517"/>
                                      </a:lnTo>
                                      <a:lnTo>
                                        <a:pt x="212725" y="4894834"/>
                                      </a:lnTo>
                                      <a:lnTo>
                                        <a:pt x="542544" y="5224653"/>
                                      </a:lnTo>
                                      <a:lnTo>
                                        <a:pt x="589292" y="5265547"/>
                                      </a:lnTo>
                                      <a:lnTo>
                                        <a:pt x="647573" y="5306822"/>
                                      </a:lnTo>
                                      <a:lnTo>
                                        <a:pt x="690054" y="5328818"/>
                                      </a:lnTo>
                                      <a:lnTo>
                                        <a:pt x="737870" y="5344033"/>
                                      </a:lnTo>
                                      <a:lnTo>
                                        <a:pt x="785342" y="5351424"/>
                                      </a:lnTo>
                                      <a:lnTo>
                                        <a:pt x="807173" y="5351526"/>
                                      </a:lnTo>
                                      <a:lnTo>
                                        <a:pt x="827786" y="5349367"/>
                                      </a:lnTo>
                                      <a:lnTo>
                                        <a:pt x="867879" y="5337492"/>
                                      </a:lnTo>
                                      <a:lnTo>
                                        <a:pt x="908177" y="5314188"/>
                                      </a:lnTo>
                                      <a:lnTo>
                                        <a:pt x="945210" y="5284952"/>
                                      </a:lnTo>
                                      <a:lnTo>
                                        <a:pt x="977011" y="5255895"/>
                                      </a:lnTo>
                                      <a:lnTo>
                                        <a:pt x="1019365" y="5204485"/>
                                      </a:lnTo>
                                      <a:lnTo>
                                        <a:pt x="1045337" y="5151247"/>
                                      </a:lnTo>
                                      <a:lnTo>
                                        <a:pt x="1050340" y="5130609"/>
                                      </a:lnTo>
                                      <a:lnTo>
                                        <a:pt x="1052703" y="5107749"/>
                                      </a:lnTo>
                                      <a:close/>
                                    </a:path>
                                    <a:path w="5505450" h="5661025">
                                      <a:moveTo>
                                        <a:pt x="1514906" y="4610379"/>
                                      </a:moveTo>
                                      <a:lnTo>
                                        <a:pt x="1510944" y="4569625"/>
                                      </a:lnTo>
                                      <a:lnTo>
                                        <a:pt x="1500924" y="4528058"/>
                                      </a:lnTo>
                                      <a:lnTo>
                                        <a:pt x="1484630" y="4485640"/>
                                      </a:lnTo>
                                      <a:lnTo>
                                        <a:pt x="1466799" y="4451121"/>
                                      </a:lnTo>
                                      <a:lnTo>
                                        <a:pt x="1444396" y="4415548"/>
                                      </a:lnTo>
                                      <a:lnTo>
                                        <a:pt x="1417332" y="4378972"/>
                                      </a:lnTo>
                                      <a:lnTo>
                                        <a:pt x="1385658" y="4341507"/>
                                      </a:lnTo>
                                      <a:lnTo>
                                        <a:pt x="1374343" y="4329595"/>
                                      </a:lnTo>
                                      <a:lnTo>
                                        <a:pt x="1349248" y="4303141"/>
                                      </a:lnTo>
                                      <a:lnTo>
                                        <a:pt x="1334071" y="4289018"/>
                                      </a:lnTo>
                                      <a:lnTo>
                                        <a:pt x="1334071" y="4602658"/>
                                      </a:lnTo>
                                      <a:lnTo>
                                        <a:pt x="1330960" y="4628210"/>
                                      </a:lnTo>
                                      <a:lnTo>
                                        <a:pt x="1304544" y="4672584"/>
                                      </a:lnTo>
                                      <a:lnTo>
                                        <a:pt x="1260627" y="4698276"/>
                                      </a:lnTo>
                                      <a:lnTo>
                                        <a:pt x="1234922" y="4701095"/>
                                      </a:lnTo>
                                      <a:lnTo>
                                        <a:pt x="1206627" y="4697095"/>
                                      </a:lnTo>
                                      <a:lnTo>
                                        <a:pt x="1141310" y="4665548"/>
                                      </a:lnTo>
                                      <a:lnTo>
                                        <a:pt x="1103998" y="4636846"/>
                                      </a:lnTo>
                                      <a:lnTo>
                                        <a:pt x="1063625" y="4599305"/>
                                      </a:lnTo>
                                      <a:lnTo>
                                        <a:pt x="1025956" y="4558728"/>
                                      </a:lnTo>
                                      <a:lnTo>
                                        <a:pt x="997077" y="4521200"/>
                                      </a:lnTo>
                                      <a:lnTo>
                                        <a:pt x="976858" y="4486834"/>
                                      </a:lnTo>
                                      <a:lnTo>
                                        <a:pt x="961186" y="4427385"/>
                                      </a:lnTo>
                                      <a:lnTo>
                                        <a:pt x="963891" y="4401807"/>
                                      </a:lnTo>
                                      <a:lnTo>
                                        <a:pt x="988695" y="4358894"/>
                                      </a:lnTo>
                                      <a:lnTo>
                                        <a:pt x="1032675" y="4332884"/>
                                      </a:lnTo>
                                      <a:lnTo>
                                        <a:pt x="1058392" y="4329595"/>
                                      </a:lnTo>
                                      <a:lnTo>
                                        <a:pt x="1086523" y="4332884"/>
                                      </a:lnTo>
                                      <a:lnTo>
                                        <a:pt x="1150073" y="4362755"/>
                                      </a:lnTo>
                                      <a:lnTo>
                                        <a:pt x="1185532" y="4389602"/>
                                      </a:lnTo>
                                      <a:lnTo>
                                        <a:pt x="1223391" y="4424553"/>
                                      </a:lnTo>
                                      <a:lnTo>
                                        <a:pt x="1264805" y="4468812"/>
                                      </a:lnTo>
                                      <a:lnTo>
                                        <a:pt x="1296377" y="4508716"/>
                                      </a:lnTo>
                                      <a:lnTo>
                                        <a:pt x="1318183" y="4544161"/>
                                      </a:lnTo>
                                      <a:lnTo>
                                        <a:pt x="1334071" y="4602658"/>
                                      </a:lnTo>
                                      <a:lnTo>
                                        <a:pt x="1334071" y="4289018"/>
                                      </a:lnTo>
                                      <a:lnTo>
                                        <a:pt x="1304861" y="4261828"/>
                                      </a:lnTo>
                                      <a:lnTo>
                                        <a:pt x="1260741" y="4226865"/>
                                      </a:lnTo>
                                      <a:lnTo>
                                        <a:pt x="1216926" y="4198201"/>
                                      </a:lnTo>
                                      <a:lnTo>
                                        <a:pt x="1173403" y="4175760"/>
                                      </a:lnTo>
                                      <a:lnTo>
                                        <a:pt x="1130211" y="4159504"/>
                                      </a:lnTo>
                                      <a:lnTo>
                                        <a:pt x="1087374" y="4149344"/>
                                      </a:lnTo>
                                      <a:lnTo>
                                        <a:pt x="1037336" y="4145813"/>
                                      </a:lnTo>
                                      <a:lnTo>
                                        <a:pt x="989520" y="4152163"/>
                                      </a:lnTo>
                                      <a:lnTo>
                                        <a:pt x="943940" y="4168292"/>
                                      </a:lnTo>
                                      <a:lnTo>
                                        <a:pt x="900595" y="4194073"/>
                                      </a:lnTo>
                                      <a:lnTo>
                                        <a:pt x="859536" y="4229354"/>
                                      </a:lnTo>
                                      <a:lnTo>
                                        <a:pt x="825195" y="4269638"/>
                                      </a:lnTo>
                                      <a:lnTo>
                                        <a:pt x="800277" y="4312539"/>
                                      </a:lnTo>
                                      <a:lnTo>
                                        <a:pt x="784872" y="4358056"/>
                                      </a:lnTo>
                                      <a:lnTo>
                                        <a:pt x="779068" y="4406112"/>
                                      </a:lnTo>
                                      <a:lnTo>
                                        <a:pt x="782955" y="4456684"/>
                                      </a:lnTo>
                                      <a:lnTo>
                                        <a:pt x="793432" y="4500080"/>
                                      </a:lnTo>
                                      <a:lnTo>
                                        <a:pt x="810082" y="4543882"/>
                                      </a:lnTo>
                                      <a:lnTo>
                                        <a:pt x="832942" y="4588040"/>
                                      </a:lnTo>
                                      <a:lnTo>
                                        <a:pt x="862076" y="4632515"/>
                                      </a:lnTo>
                                      <a:lnTo>
                                        <a:pt x="897547" y="4677270"/>
                                      </a:lnTo>
                                      <a:lnTo>
                                        <a:pt x="939419" y="4722241"/>
                                      </a:lnTo>
                                      <a:lnTo>
                                        <a:pt x="977925" y="4758525"/>
                                      </a:lnTo>
                                      <a:lnTo>
                                        <a:pt x="1016152" y="4789995"/>
                                      </a:lnTo>
                                      <a:lnTo>
                                        <a:pt x="1054023" y="4816703"/>
                                      </a:lnTo>
                                      <a:lnTo>
                                        <a:pt x="1091463" y="4838725"/>
                                      </a:lnTo>
                                      <a:lnTo>
                                        <a:pt x="1128395" y="4856099"/>
                                      </a:lnTo>
                                      <a:lnTo>
                                        <a:pt x="1173149" y="4871567"/>
                                      </a:lnTo>
                                      <a:lnTo>
                                        <a:pt x="1215809" y="4880241"/>
                                      </a:lnTo>
                                      <a:lnTo>
                                        <a:pt x="1256347" y="4882426"/>
                                      </a:lnTo>
                                      <a:lnTo>
                                        <a:pt x="1294765" y="4878451"/>
                                      </a:lnTo>
                                      <a:lnTo>
                                        <a:pt x="1331455" y="4868176"/>
                                      </a:lnTo>
                                      <a:lnTo>
                                        <a:pt x="1367294" y="4850955"/>
                                      </a:lnTo>
                                      <a:lnTo>
                                        <a:pt x="1402295" y="4826990"/>
                                      </a:lnTo>
                                      <a:lnTo>
                                        <a:pt x="1436497" y="4796409"/>
                                      </a:lnTo>
                                      <a:lnTo>
                                        <a:pt x="1466329" y="4762271"/>
                                      </a:lnTo>
                                      <a:lnTo>
                                        <a:pt x="1489113" y="4726533"/>
                                      </a:lnTo>
                                      <a:lnTo>
                                        <a:pt x="1504734" y="4689221"/>
                                      </a:lnTo>
                                      <a:lnTo>
                                        <a:pt x="1513078" y="4650359"/>
                                      </a:lnTo>
                                      <a:lnTo>
                                        <a:pt x="1514906" y="4610379"/>
                                      </a:lnTo>
                                      <a:close/>
                                    </a:path>
                                    <a:path w="5505450" h="5661025">
                                      <a:moveTo>
                                        <a:pt x="1687068" y="4242308"/>
                                      </a:moveTo>
                                      <a:lnTo>
                                        <a:pt x="1568323" y="4123436"/>
                                      </a:lnTo>
                                      <a:lnTo>
                                        <a:pt x="1406906" y="4284980"/>
                                      </a:lnTo>
                                      <a:lnTo>
                                        <a:pt x="1525651" y="4403725"/>
                                      </a:lnTo>
                                      <a:lnTo>
                                        <a:pt x="1687068" y="4242308"/>
                                      </a:lnTo>
                                      <a:close/>
                                    </a:path>
                                    <a:path w="5505450" h="5661025">
                                      <a:moveTo>
                                        <a:pt x="2011426" y="4202557"/>
                                      </a:moveTo>
                                      <a:lnTo>
                                        <a:pt x="1458214" y="3649345"/>
                                      </a:lnTo>
                                      <a:lnTo>
                                        <a:pt x="1334389" y="3773170"/>
                                      </a:lnTo>
                                      <a:lnTo>
                                        <a:pt x="1887601" y="4326382"/>
                                      </a:lnTo>
                                      <a:lnTo>
                                        <a:pt x="2011426" y="4202557"/>
                                      </a:lnTo>
                                      <a:close/>
                                    </a:path>
                                    <a:path w="5505450" h="5661025">
                                      <a:moveTo>
                                        <a:pt x="2223643" y="3990340"/>
                                      </a:moveTo>
                                      <a:lnTo>
                                        <a:pt x="2018411" y="3784981"/>
                                      </a:lnTo>
                                      <a:lnTo>
                                        <a:pt x="2086102" y="3717290"/>
                                      </a:lnTo>
                                      <a:lnTo>
                                        <a:pt x="2118220" y="3679304"/>
                                      </a:lnTo>
                                      <a:lnTo>
                                        <a:pt x="2121700" y="3672967"/>
                                      </a:lnTo>
                                      <a:lnTo>
                                        <a:pt x="2139683" y="3640201"/>
                                      </a:lnTo>
                                      <a:lnTo>
                                        <a:pt x="2150389" y="3600069"/>
                                      </a:lnTo>
                                      <a:lnTo>
                                        <a:pt x="2150237" y="3558921"/>
                                      </a:lnTo>
                                      <a:lnTo>
                                        <a:pt x="2140077" y="3517239"/>
                                      </a:lnTo>
                                      <a:lnTo>
                                        <a:pt x="2125307" y="3484930"/>
                                      </a:lnTo>
                                      <a:lnTo>
                                        <a:pt x="2120976" y="3475444"/>
                                      </a:lnTo>
                                      <a:lnTo>
                                        <a:pt x="2092845" y="3433572"/>
                                      </a:lnTo>
                                      <a:lnTo>
                                        <a:pt x="2055622" y="3391662"/>
                                      </a:lnTo>
                                      <a:lnTo>
                                        <a:pt x="2015096" y="3355416"/>
                                      </a:lnTo>
                                      <a:lnTo>
                                        <a:pt x="1975065" y="3328060"/>
                                      </a:lnTo>
                                      <a:lnTo>
                                        <a:pt x="1969516" y="3325444"/>
                                      </a:lnTo>
                                      <a:lnTo>
                                        <a:pt x="1969516" y="3575050"/>
                                      </a:lnTo>
                                      <a:lnTo>
                                        <a:pt x="1968728" y="3591293"/>
                                      </a:lnTo>
                                      <a:lnTo>
                                        <a:pt x="1962873" y="3607993"/>
                                      </a:lnTo>
                                      <a:lnTo>
                                        <a:pt x="1952117" y="3625151"/>
                                      </a:lnTo>
                                      <a:lnTo>
                                        <a:pt x="1936623" y="3642741"/>
                                      </a:lnTo>
                                      <a:lnTo>
                                        <a:pt x="1906397" y="3672967"/>
                                      </a:lnTo>
                                      <a:lnTo>
                                        <a:pt x="1782953" y="3549523"/>
                                      </a:lnTo>
                                      <a:lnTo>
                                        <a:pt x="1818132" y="3514344"/>
                                      </a:lnTo>
                                      <a:lnTo>
                                        <a:pt x="1835251" y="3499459"/>
                                      </a:lnTo>
                                      <a:lnTo>
                                        <a:pt x="1851812" y="3489668"/>
                                      </a:lnTo>
                                      <a:lnTo>
                                        <a:pt x="1867852" y="3484930"/>
                                      </a:lnTo>
                                      <a:lnTo>
                                        <a:pt x="1883410" y="3485261"/>
                                      </a:lnTo>
                                      <a:lnTo>
                                        <a:pt x="1926856" y="3505149"/>
                                      </a:lnTo>
                                      <a:lnTo>
                                        <a:pt x="1960791" y="3544824"/>
                                      </a:lnTo>
                                      <a:lnTo>
                                        <a:pt x="1969516" y="3575050"/>
                                      </a:lnTo>
                                      <a:lnTo>
                                        <a:pt x="1969516" y="3325444"/>
                                      </a:lnTo>
                                      <a:lnTo>
                                        <a:pt x="1935568" y="3309391"/>
                                      </a:lnTo>
                                      <a:lnTo>
                                        <a:pt x="1896618" y="3299206"/>
                                      </a:lnTo>
                                      <a:lnTo>
                                        <a:pt x="1858467" y="3298609"/>
                                      </a:lnTo>
                                      <a:lnTo>
                                        <a:pt x="1821599" y="3307956"/>
                                      </a:lnTo>
                                      <a:lnTo>
                                        <a:pt x="1786039" y="3327095"/>
                                      </a:lnTo>
                                      <a:lnTo>
                                        <a:pt x="1751838" y="3355848"/>
                                      </a:lnTo>
                                      <a:lnTo>
                                        <a:pt x="1546352" y="3561207"/>
                                      </a:lnTo>
                                      <a:lnTo>
                                        <a:pt x="2099564" y="4114419"/>
                                      </a:lnTo>
                                      <a:lnTo>
                                        <a:pt x="2223643" y="3990340"/>
                                      </a:lnTo>
                                      <a:close/>
                                    </a:path>
                                    <a:path w="5505450" h="5661025">
                                      <a:moveTo>
                                        <a:pt x="2725166" y="3488817"/>
                                      </a:moveTo>
                                      <a:lnTo>
                                        <a:pt x="2308479" y="3072257"/>
                                      </a:lnTo>
                                      <a:lnTo>
                                        <a:pt x="2434590" y="2946146"/>
                                      </a:lnTo>
                                      <a:lnTo>
                                        <a:pt x="2298065" y="2809621"/>
                                      </a:lnTo>
                                      <a:lnTo>
                                        <a:pt x="1922399" y="3185287"/>
                                      </a:lnTo>
                                      <a:lnTo>
                                        <a:pt x="2058924" y="3321812"/>
                                      </a:lnTo>
                                      <a:lnTo>
                                        <a:pt x="2184908" y="3195828"/>
                                      </a:lnTo>
                                      <a:lnTo>
                                        <a:pt x="2601595" y="3612388"/>
                                      </a:lnTo>
                                      <a:lnTo>
                                        <a:pt x="2725166" y="3488817"/>
                                      </a:lnTo>
                                      <a:close/>
                                    </a:path>
                                    <a:path w="5505450" h="5661025">
                                      <a:moveTo>
                                        <a:pt x="3128645" y="3085338"/>
                                      </a:moveTo>
                                      <a:lnTo>
                                        <a:pt x="2712085" y="2668651"/>
                                      </a:lnTo>
                                      <a:lnTo>
                                        <a:pt x="2838069" y="2542667"/>
                                      </a:lnTo>
                                      <a:lnTo>
                                        <a:pt x="2701544" y="2406142"/>
                                      </a:lnTo>
                                      <a:lnTo>
                                        <a:pt x="2325878" y="2781808"/>
                                      </a:lnTo>
                                      <a:lnTo>
                                        <a:pt x="2462530" y="2918333"/>
                                      </a:lnTo>
                                      <a:lnTo>
                                        <a:pt x="2588514" y="2792349"/>
                                      </a:lnTo>
                                      <a:lnTo>
                                        <a:pt x="3005074" y="3208909"/>
                                      </a:lnTo>
                                      <a:lnTo>
                                        <a:pt x="3128645" y="3085338"/>
                                      </a:lnTo>
                                      <a:close/>
                                    </a:path>
                                    <a:path w="5505450" h="5661025">
                                      <a:moveTo>
                                        <a:pt x="3594430" y="2530856"/>
                                      </a:moveTo>
                                      <a:lnTo>
                                        <a:pt x="3590506" y="2490063"/>
                                      </a:lnTo>
                                      <a:lnTo>
                                        <a:pt x="3580536" y="2448458"/>
                                      </a:lnTo>
                                      <a:lnTo>
                                        <a:pt x="3564255" y="2406015"/>
                                      </a:lnTo>
                                      <a:lnTo>
                                        <a:pt x="3546360" y="2371560"/>
                                      </a:lnTo>
                                      <a:lnTo>
                                        <a:pt x="3523919" y="2336038"/>
                                      </a:lnTo>
                                      <a:lnTo>
                                        <a:pt x="3496805" y="2299449"/>
                                      </a:lnTo>
                                      <a:lnTo>
                                        <a:pt x="3465157" y="2262073"/>
                                      </a:lnTo>
                                      <a:lnTo>
                                        <a:pt x="3453765" y="2250097"/>
                                      </a:lnTo>
                                      <a:lnTo>
                                        <a:pt x="3428746" y="2223770"/>
                                      </a:lnTo>
                                      <a:lnTo>
                                        <a:pt x="3413569" y="2209635"/>
                                      </a:lnTo>
                                      <a:lnTo>
                                        <a:pt x="3413569" y="2523134"/>
                                      </a:lnTo>
                                      <a:lnTo>
                                        <a:pt x="3410432" y="2548661"/>
                                      </a:lnTo>
                                      <a:lnTo>
                                        <a:pt x="3383915" y="2593086"/>
                                      </a:lnTo>
                                      <a:lnTo>
                                        <a:pt x="3340176" y="2618714"/>
                                      </a:lnTo>
                                      <a:lnTo>
                                        <a:pt x="3314522" y="2621483"/>
                                      </a:lnTo>
                                      <a:lnTo>
                                        <a:pt x="3286252" y="2617470"/>
                                      </a:lnTo>
                                      <a:lnTo>
                                        <a:pt x="3220936" y="2585936"/>
                                      </a:lnTo>
                                      <a:lnTo>
                                        <a:pt x="3183623" y="2557272"/>
                                      </a:lnTo>
                                      <a:lnTo>
                                        <a:pt x="3143250" y="2519807"/>
                                      </a:lnTo>
                                      <a:lnTo>
                                        <a:pt x="3105505" y="2479154"/>
                                      </a:lnTo>
                                      <a:lnTo>
                                        <a:pt x="3076600" y="2441600"/>
                                      </a:lnTo>
                                      <a:lnTo>
                                        <a:pt x="3056407" y="2407208"/>
                                      </a:lnTo>
                                      <a:lnTo>
                                        <a:pt x="3040786" y="2347785"/>
                                      </a:lnTo>
                                      <a:lnTo>
                                        <a:pt x="3043453" y="2322245"/>
                                      </a:lnTo>
                                      <a:lnTo>
                                        <a:pt x="3068193" y="2279396"/>
                                      </a:lnTo>
                                      <a:lnTo>
                                        <a:pt x="3112173" y="2253386"/>
                                      </a:lnTo>
                                      <a:lnTo>
                                        <a:pt x="3137890" y="2250097"/>
                                      </a:lnTo>
                                      <a:lnTo>
                                        <a:pt x="3166021" y="2253386"/>
                                      </a:lnTo>
                                      <a:lnTo>
                                        <a:pt x="3229521" y="2283256"/>
                                      </a:lnTo>
                                      <a:lnTo>
                                        <a:pt x="3265005" y="2310104"/>
                                      </a:lnTo>
                                      <a:lnTo>
                                        <a:pt x="3302889" y="2345055"/>
                                      </a:lnTo>
                                      <a:lnTo>
                                        <a:pt x="3344329" y="2389289"/>
                                      </a:lnTo>
                                      <a:lnTo>
                                        <a:pt x="3375926" y="2429167"/>
                                      </a:lnTo>
                                      <a:lnTo>
                                        <a:pt x="3397732" y="2464612"/>
                                      </a:lnTo>
                                      <a:lnTo>
                                        <a:pt x="3413569" y="2523134"/>
                                      </a:lnTo>
                                      <a:lnTo>
                                        <a:pt x="3413569" y="2209635"/>
                                      </a:lnTo>
                                      <a:lnTo>
                                        <a:pt x="3384359" y="2182406"/>
                                      </a:lnTo>
                                      <a:lnTo>
                                        <a:pt x="3340239" y="2147405"/>
                                      </a:lnTo>
                                      <a:lnTo>
                                        <a:pt x="3296424" y="2118715"/>
                                      </a:lnTo>
                                      <a:lnTo>
                                        <a:pt x="3252901" y="2096274"/>
                                      </a:lnTo>
                                      <a:lnTo>
                                        <a:pt x="3209709" y="2080006"/>
                                      </a:lnTo>
                                      <a:lnTo>
                                        <a:pt x="3166872" y="2069846"/>
                                      </a:lnTo>
                                      <a:lnTo>
                                        <a:pt x="3116834" y="2066315"/>
                                      </a:lnTo>
                                      <a:lnTo>
                                        <a:pt x="3069018" y="2072665"/>
                                      </a:lnTo>
                                      <a:lnTo>
                                        <a:pt x="3023438" y="2088769"/>
                                      </a:lnTo>
                                      <a:lnTo>
                                        <a:pt x="2980093" y="2114512"/>
                                      </a:lnTo>
                                      <a:lnTo>
                                        <a:pt x="2939034" y="2149729"/>
                                      </a:lnTo>
                                      <a:lnTo>
                                        <a:pt x="2904744" y="2190026"/>
                                      </a:lnTo>
                                      <a:lnTo>
                                        <a:pt x="2879839" y="2232964"/>
                                      </a:lnTo>
                                      <a:lnTo>
                                        <a:pt x="2864434" y="2278507"/>
                                      </a:lnTo>
                                      <a:lnTo>
                                        <a:pt x="2858643" y="2326602"/>
                                      </a:lnTo>
                                      <a:lnTo>
                                        <a:pt x="2862580" y="2377186"/>
                                      </a:lnTo>
                                      <a:lnTo>
                                        <a:pt x="2873006" y="2420582"/>
                                      </a:lnTo>
                                      <a:lnTo>
                                        <a:pt x="2889618" y="2464346"/>
                                      </a:lnTo>
                                      <a:lnTo>
                                        <a:pt x="2912453" y="2508478"/>
                                      </a:lnTo>
                                      <a:lnTo>
                                        <a:pt x="2941574" y="2552928"/>
                                      </a:lnTo>
                                      <a:lnTo>
                                        <a:pt x="2977045" y="2597645"/>
                                      </a:lnTo>
                                      <a:lnTo>
                                        <a:pt x="3018917" y="2642616"/>
                                      </a:lnTo>
                                      <a:lnTo>
                                        <a:pt x="3057474" y="2678912"/>
                                      </a:lnTo>
                                      <a:lnTo>
                                        <a:pt x="3095714" y="2710408"/>
                                      </a:lnTo>
                                      <a:lnTo>
                                        <a:pt x="3133560" y="2737167"/>
                                      </a:lnTo>
                                      <a:lnTo>
                                        <a:pt x="3170974" y="2759214"/>
                                      </a:lnTo>
                                      <a:lnTo>
                                        <a:pt x="3207893" y="2776601"/>
                                      </a:lnTo>
                                      <a:lnTo>
                                        <a:pt x="3252711" y="2792006"/>
                                      </a:lnTo>
                                      <a:lnTo>
                                        <a:pt x="3295358" y="2800693"/>
                                      </a:lnTo>
                                      <a:lnTo>
                                        <a:pt x="3335871" y="2802915"/>
                                      </a:lnTo>
                                      <a:lnTo>
                                        <a:pt x="3374263" y="2798953"/>
                                      </a:lnTo>
                                      <a:lnTo>
                                        <a:pt x="3410978" y="2788602"/>
                                      </a:lnTo>
                                      <a:lnTo>
                                        <a:pt x="3446843" y="2771368"/>
                                      </a:lnTo>
                                      <a:lnTo>
                                        <a:pt x="3481844" y="2747416"/>
                                      </a:lnTo>
                                      <a:lnTo>
                                        <a:pt x="3515995" y="2716911"/>
                                      </a:lnTo>
                                      <a:lnTo>
                                        <a:pt x="3545852" y="2682722"/>
                                      </a:lnTo>
                                      <a:lnTo>
                                        <a:pt x="3568662" y="2646984"/>
                                      </a:lnTo>
                                      <a:lnTo>
                                        <a:pt x="3579342" y="2621483"/>
                                      </a:lnTo>
                                      <a:lnTo>
                                        <a:pt x="3584283" y="2609710"/>
                                      </a:lnTo>
                                      <a:lnTo>
                                        <a:pt x="3592576" y="2570861"/>
                                      </a:lnTo>
                                      <a:lnTo>
                                        <a:pt x="3594430" y="2530856"/>
                                      </a:lnTo>
                                      <a:close/>
                                    </a:path>
                                    <a:path w="5505450" h="5661025">
                                      <a:moveTo>
                                        <a:pt x="4237799" y="1898713"/>
                                      </a:moveTo>
                                      <a:lnTo>
                                        <a:pt x="4226814" y="1835531"/>
                                      </a:lnTo>
                                      <a:lnTo>
                                        <a:pt x="4199420" y="1767636"/>
                                      </a:lnTo>
                                      <a:lnTo>
                                        <a:pt x="4179786" y="1732191"/>
                                      </a:lnTo>
                                      <a:lnTo>
                                        <a:pt x="4155948" y="1695831"/>
                                      </a:lnTo>
                                      <a:lnTo>
                                        <a:pt x="4117517" y="1711452"/>
                                      </a:lnTo>
                                      <a:lnTo>
                                        <a:pt x="4002278" y="1758823"/>
                                      </a:lnTo>
                                      <a:lnTo>
                                        <a:pt x="4022331" y="1788236"/>
                                      </a:lnTo>
                                      <a:lnTo>
                                        <a:pt x="4037863" y="1815719"/>
                                      </a:lnTo>
                                      <a:lnTo>
                                        <a:pt x="4049064" y="1841309"/>
                                      </a:lnTo>
                                      <a:lnTo>
                                        <a:pt x="4056126" y="1864995"/>
                                      </a:lnTo>
                                      <a:lnTo>
                                        <a:pt x="4058107" y="1887347"/>
                                      </a:lnTo>
                                      <a:lnTo>
                                        <a:pt x="4054373" y="1908327"/>
                                      </a:lnTo>
                                      <a:lnTo>
                                        <a:pt x="4029964" y="1946402"/>
                                      </a:lnTo>
                                      <a:lnTo>
                                        <a:pt x="3988892" y="1970443"/>
                                      </a:lnTo>
                                      <a:lnTo>
                                        <a:pt x="3965079" y="1973021"/>
                                      </a:lnTo>
                                      <a:lnTo>
                                        <a:pt x="3939159" y="1969135"/>
                                      </a:lnTo>
                                      <a:lnTo>
                                        <a:pt x="3875684" y="1935657"/>
                                      </a:lnTo>
                                      <a:lnTo>
                                        <a:pt x="3836708" y="1904365"/>
                                      </a:lnTo>
                                      <a:lnTo>
                                        <a:pt x="3792982" y="1863217"/>
                                      </a:lnTo>
                                      <a:lnTo>
                                        <a:pt x="3759441" y="1827504"/>
                                      </a:lnTo>
                                      <a:lnTo>
                                        <a:pt x="3732936" y="1794510"/>
                                      </a:lnTo>
                                      <a:lnTo>
                                        <a:pt x="3700907" y="1737233"/>
                                      </a:lnTo>
                                      <a:lnTo>
                                        <a:pt x="3692626" y="1704390"/>
                                      </a:lnTo>
                                      <a:lnTo>
                                        <a:pt x="3692868" y="1674964"/>
                                      </a:lnTo>
                                      <a:lnTo>
                                        <a:pt x="3718560" y="1626108"/>
                                      </a:lnTo>
                                      <a:lnTo>
                                        <a:pt x="3762629" y="1603121"/>
                                      </a:lnTo>
                                      <a:lnTo>
                                        <a:pt x="3775773" y="1601851"/>
                                      </a:lnTo>
                                      <a:lnTo>
                                        <a:pt x="3789375" y="1602105"/>
                                      </a:lnTo>
                                      <a:lnTo>
                                        <a:pt x="3827894" y="1611642"/>
                                      </a:lnTo>
                                      <a:lnTo>
                                        <a:pt x="3867150" y="1632966"/>
                                      </a:lnTo>
                                      <a:lnTo>
                                        <a:pt x="3942588" y="1490218"/>
                                      </a:lnTo>
                                      <a:lnTo>
                                        <a:pt x="3889870" y="1461084"/>
                                      </a:lnTo>
                                      <a:lnTo>
                                        <a:pt x="3839959" y="1440662"/>
                                      </a:lnTo>
                                      <a:lnTo>
                                        <a:pt x="3792918" y="1428572"/>
                                      </a:lnTo>
                                      <a:lnTo>
                                        <a:pt x="3748786" y="1424432"/>
                                      </a:lnTo>
                                      <a:lnTo>
                                        <a:pt x="3706520" y="1429385"/>
                                      </a:lnTo>
                                      <a:lnTo>
                                        <a:pt x="3665626" y="1443939"/>
                                      </a:lnTo>
                                      <a:lnTo>
                                        <a:pt x="3626015" y="1467904"/>
                                      </a:lnTo>
                                      <a:lnTo>
                                        <a:pt x="3587623" y="1501140"/>
                                      </a:lnTo>
                                      <a:lnTo>
                                        <a:pt x="3553612" y="1540979"/>
                                      </a:lnTo>
                                      <a:lnTo>
                                        <a:pt x="3528949" y="1583207"/>
                                      </a:lnTo>
                                      <a:lnTo>
                                        <a:pt x="3513709" y="1627797"/>
                                      </a:lnTo>
                                      <a:lnTo>
                                        <a:pt x="3508006" y="1674749"/>
                                      </a:lnTo>
                                      <a:lnTo>
                                        <a:pt x="3511931" y="1724025"/>
                                      </a:lnTo>
                                      <a:lnTo>
                                        <a:pt x="3522535" y="1766570"/>
                                      </a:lnTo>
                                      <a:lnTo>
                                        <a:pt x="3539325" y="1809699"/>
                                      </a:lnTo>
                                      <a:lnTo>
                                        <a:pt x="3562375" y="1853438"/>
                                      </a:lnTo>
                                      <a:lnTo>
                                        <a:pt x="3591801" y="1897773"/>
                                      </a:lnTo>
                                      <a:lnTo>
                                        <a:pt x="3627704" y="1942693"/>
                                      </a:lnTo>
                                      <a:lnTo>
                                        <a:pt x="3670173" y="1988185"/>
                                      </a:lnTo>
                                      <a:lnTo>
                                        <a:pt x="3711130" y="2026716"/>
                                      </a:lnTo>
                                      <a:lnTo>
                                        <a:pt x="3751542" y="2059787"/>
                                      </a:lnTo>
                                      <a:lnTo>
                                        <a:pt x="3791394" y="2087511"/>
                                      </a:lnTo>
                                      <a:lnTo>
                                        <a:pt x="3830663" y="2110003"/>
                                      </a:lnTo>
                                      <a:lnTo>
                                        <a:pt x="3869309" y="2127377"/>
                                      </a:lnTo>
                                      <a:lnTo>
                                        <a:pt x="3915486" y="2142363"/>
                                      </a:lnTo>
                                      <a:lnTo>
                                        <a:pt x="3958183" y="2150580"/>
                                      </a:lnTo>
                                      <a:lnTo>
                                        <a:pt x="3997337" y="2152332"/>
                                      </a:lnTo>
                                      <a:lnTo>
                                        <a:pt x="4032885" y="2147951"/>
                                      </a:lnTo>
                                      <a:lnTo>
                                        <a:pt x="4099725" y="2120328"/>
                                      </a:lnTo>
                                      <a:lnTo>
                                        <a:pt x="4132694" y="2097024"/>
                                      </a:lnTo>
                                      <a:lnTo>
                                        <a:pt x="4165346" y="2067560"/>
                                      </a:lnTo>
                                      <a:lnTo>
                                        <a:pt x="4209059" y="2013115"/>
                                      </a:lnTo>
                                      <a:lnTo>
                                        <a:pt x="4232402" y="1957324"/>
                                      </a:lnTo>
                                      <a:lnTo>
                                        <a:pt x="4237025" y="1928583"/>
                                      </a:lnTo>
                                      <a:lnTo>
                                        <a:pt x="4237799" y="1898713"/>
                                      </a:lnTo>
                                      <a:close/>
                                    </a:path>
                                    <a:path w="5505450" h="5661025">
                                      <a:moveTo>
                                        <a:pt x="4680788" y="1444447"/>
                                      </a:moveTo>
                                      <a:lnTo>
                                        <a:pt x="4676864" y="1403692"/>
                                      </a:lnTo>
                                      <a:lnTo>
                                        <a:pt x="4666894" y="1362100"/>
                                      </a:lnTo>
                                      <a:lnTo>
                                        <a:pt x="4650613" y="1319657"/>
                                      </a:lnTo>
                                      <a:lnTo>
                                        <a:pt x="4632769" y="1285138"/>
                                      </a:lnTo>
                                      <a:lnTo>
                                        <a:pt x="4610341" y="1249578"/>
                                      </a:lnTo>
                                      <a:lnTo>
                                        <a:pt x="4583290" y="1213040"/>
                                      </a:lnTo>
                                      <a:lnTo>
                                        <a:pt x="4551591" y="1175588"/>
                                      </a:lnTo>
                                      <a:lnTo>
                                        <a:pt x="4515231" y="1137285"/>
                                      </a:lnTo>
                                      <a:lnTo>
                                        <a:pt x="4499927" y="1123035"/>
                                      </a:lnTo>
                                      <a:lnTo>
                                        <a:pt x="4499927" y="1436776"/>
                                      </a:lnTo>
                                      <a:lnTo>
                                        <a:pt x="4496816" y="1462278"/>
                                      </a:lnTo>
                                      <a:lnTo>
                                        <a:pt x="4470387" y="1506601"/>
                                      </a:lnTo>
                                      <a:lnTo>
                                        <a:pt x="4426597" y="1532293"/>
                                      </a:lnTo>
                                      <a:lnTo>
                                        <a:pt x="4400905" y="1535112"/>
                                      </a:lnTo>
                                      <a:lnTo>
                                        <a:pt x="4372610" y="1531112"/>
                                      </a:lnTo>
                                      <a:lnTo>
                                        <a:pt x="4307294" y="1499577"/>
                                      </a:lnTo>
                                      <a:lnTo>
                                        <a:pt x="4269981" y="1470914"/>
                                      </a:lnTo>
                                      <a:lnTo>
                                        <a:pt x="4229608" y="1433449"/>
                                      </a:lnTo>
                                      <a:lnTo>
                                        <a:pt x="4191863" y="1392796"/>
                                      </a:lnTo>
                                      <a:lnTo>
                                        <a:pt x="4162958" y="1355242"/>
                                      </a:lnTo>
                                      <a:lnTo>
                                        <a:pt x="4142765" y="1320850"/>
                                      </a:lnTo>
                                      <a:lnTo>
                                        <a:pt x="4127169" y="1261414"/>
                                      </a:lnTo>
                                      <a:lnTo>
                                        <a:pt x="4129862" y="1235837"/>
                                      </a:lnTo>
                                      <a:lnTo>
                                        <a:pt x="4154551" y="1193038"/>
                                      </a:lnTo>
                                      <a:lnTo>
                                        <a:pt x="4198556" y="1166964"/>
                                      </a:lnTo>
                                      <a:lnTo>
                                        <a:pt x="4224299" y="1163624"/>
                                      </a:lnTo>
                                      <a:lnTo>
                                        <a:pt x="4252468" y="1166876"/>
                                      </a:lnTo>
                                      <a:lnTo>
                                        <a:pt x="4316006" y="1196771"/>
                                      </a:lnTo>
                                      <a:lnTo>
                                        <a:pt x="4351490" y="1223619"/>
                                      </a:lnTo>
                                      <a:lnTo>
                                        <a:pt x="4389374" y="1258570"/>
                                      </a:lnTo>
                                      <a:lnTo>
                                        <a:pt x="4430788" y="1302829"/>
                                      </a:lnTo>
                                      <a:lnTo>
                                        <a:pt x="4462348" y="1342745"/>
                                      </a:lnTo>
                                      <a:lnTo>
                                        <a:pt x="4484116" y="1378229"/>
                                      </a:lnTo>
                                      <a:lnTo>
                                        <a:pt x="4499927" y="1436776"/>
                                      </a:lnTo>
                                      <a:lnTo>
                                        <a:pt x="4499927" y="1123035"/>
                                      </a:lnTo>
                                      <a:lnTo>
                                        <a:pt x="4470844" y="1095921"/>
                                      </a:lnTo>
                                      <a:lnTo>
                                        <a:pt x="4426724" y="1060919"/>
                                      </a:lnTo>
                                      <a:lnTo>
                                        <a:pt x="4382909" y="1032230"/>
                                      </a:lnTo>
                                      <a:lnTo>
                                        <a:pt x="4339387" y="1009789"/>
                                      </a:lnTo>
                                      <a:lnTo>
                                        <a:pt x="4296194" y="993521"/>
                                      </a:lnTo>
                                      <a:lnTo>
                                        <a:pt x="4253357" y="983361"/>
                                      </a:lnTo>
                                      <a:lnTo>
                                        <a:pt x="4203268" y="979881"/>
                                      </a:lnTo>
                                      <a:lnTo>
                                        <a:pt x="4155440" y="986269"/>
                                      </a:lnTo>
                                      <a:lnTo>
                                        <a:pt x="4109859" y="1002411"/>
                                      </a:lnTo>
                                      <a:lnTo>
                                        <a:pt x="4066502" y="1028153"/>
                                      </a:lnTo>
                                      <a:lnTo>
                                        <a:pt x="4025392" y="1063371"/>
                                      </a:lnTo>
                                      <a:lnTo>
                                        <a:pt x="3991102" y="1103668"/>
                                      </a:lnTo>
                                      <a:lnTo>
                                        <a:pt x="3966197" y="1146606"/>
                                      </a:lnTo>
                                      <a:lnTo>
                                        <a:pt x="3950792" y="1192149"/>
                                      </a:lnTo>
                                      <a:lnTo>
                                        <a:pt x="3945001" y="1240243"/>
                                      </a:lnTo>
                                      <a:lnTo>
                                        <a:pt x="3948938" y="1290828"/>
                                      </a:lnTo>
                                      <a:lnTo>
                                        <a:pt x="3959364" y="1334223"/>
                                      </a:lnTo>
                                      <a:lnTo>
                                        <a:pt x="3975976" y="1377988"/>
                                      </a:lnTo>
                                      <a:lnTo>
                                        <a:pt x="3998811" y="1422120"/>
                                      </a:lnTo>
                                      <a:lnTo>
                                        <a:pt x="4027932" y="1466570"/>
                                      </a:lnTo>
                                      <a:lnTo>
                                        <a:pt x="4063403" y="1511287"/>
                                      </a:lnTo>
                                      <a:lnTo>
                                        <a:pt x="4105275" y="1556258"/>
                                      </a:lnTo>
                                      <a:lnTo>
                                        <a:pt x="4143832" y="1592554"/>
                                      </a:lnTo>
                                      <a:lnTo>
                                        <a:pt x="4182072" y="1624050"/>
                                      </a:lnTo>
                                      <a:lnTo>
                                        <a:pt x="4219943" y="1650809"/>
                                      </a:lnTo>
                                      <a:lnTo>
                                        <a:pt x="4257395" y="1672856"/>
                                      </a:lnTo>
                                      <a:lnTo>
                                        <a:pt x="4294378" y="1690243"/>
                                      </a:lnTo>
                                      <a:lnTo>
                                        <a:pt x="4339133" y="1705635"/>
                                      </a:lnTo>
                                      <a:lnTo>
                                        <a:pt x="4381792" y="1714271"/>
                                      </a:lnTo>
                                      <a:lnTo>
                                        <a:pt x="4422330" y="1716443"/>
                                      </a:lnTo>
                                      <a:lnTo>
                                        <a:pt x="4460735" y="1712468"/>
                                      </a:lnTo>
                                      <a:lnTo>
                                        <a:pt x="4533227" y="1684972"/>
                                      </a:lnTo>
                                      <a:lnTo>
                                        <a:pt x="4568253" y="1661007"/>
                                      </a:lnTo>
                                      <a:lnTo>
                                        <a:pt x="4602480" y="1630426"/>
                                      </a:lnTo>
                                      <a:lnTo>
                                        <a:pt x="4632261" y="1596301"/>
                                      </a:lnTo>
                                      <a:lnTo>
                                        <a:pt x="4655032" y="1560601"/>
                                      </a:lnTo>
                                      <a:lnTo>
                                        <a:pt x="4670641" y="1523288"/>
                                      </a:lnTo>
                                      <a:lnTo>
                                        <a:pt x="4678934" y="1484376"/>
                                      </a:lnTo>
                                      <a:lnTo>
                                        <a:pt x="4680788" y="1444447"/>
                                      </a:lnTo>
                                      <a:close/>
                                    </a:path>
                                    <a:path w="5505450" h="5661025">
                                      <a:moveTo>
                                        <a:pt x="4986147" y="1227963"/>
                                      </a:moveTo>
                                      <a:lnTo>
                                        <a:pt x="4780788" y="1022604"/>
                                      </a:lnTo>
                                      <a:lnTo>
                                        <a:pt x="4848479" y="954913"/>
                                      </a:lnTo>
                                      <a:lnTo>
                                        <a:pt x="4880622" y="916901"/>
                                      </a:lnTo>
                                      <a:lnTo>
                                        <a:pt x="4884090" y="910590"/>
                                      </a:lnTo>
                                      <a:lnTo>
                                        <a:pt x="4902111" y="877760"/>
                                      </a:lnTo>
                                      <a:lnTo>
                                        <a:pt x="4912817" y="837577"/>
                                      </a:lnTo>
                                      <a:lnTo>
                                        <a:pt x="4912614" y="796417"/>
                                      </a:lnTo>
                                      <a:lnTo>
                                        <a:pt x="4902517" y="754748"/>
                                      </a:lnTo>
                                      <a:lnTo>
                                        <a:pt x="4883442" y="713003"/>
                                      </a:lnTo>
                                      <a:lnTo>
                                        <a:pt x="4855299" y="671169"/>
                                      </a:lnTo>
                                      <a:lnTo>
                                        <a:pt x="4817999" y="629285"/>
                                      </a:lnTo>
                                      <a:lnTo>
                                        <a:pt x="4777473" y="593026"/>
                                      </a:lnTo>
                                      <a:lnTo>
                                        <a:pt x="4737443" y="565632"/>
                                      </a:lnTo>
                                      <a:lnTo>
                                        <a:pt x="4731893" y="563016"/>
                                      </a:lnTo>
                                      <a:lnTo>
                                        <a:pt x="4731893" y="812673"/>
                                      </a:lnTo>
                                      <a:lnTo>
                                        <a:pt x="4731131" y="828903"/>
                                      </a:lnTo>
                                      <a:lnTo>
                                        <a:pt x="4725314" y="845553"/>
                                      </a:lnTo>
                                      <a:lnTo>
                                        <a:pt x="4714595" y="862672"/>
                                      </a:lnTo>
                                      <a:lnTo>
                                        <a:pt x="4699127" y="880237"/>
                                      </a:lnTo>
                                      <a:lnTo>
                                        <a:pt x="4668774" y="910590"/>
                                      </a:lnTo>
                                      <a:lnTo>
                                        <a:pt x="4545330" y="787146"/>
                                      </a:lnTo>
                                      <a:lnTo>
                                        <a:pt x="4580509" y="751967"/>
                                      </a:lnTo>
                                      <a:lnTo>
                                        <a:pt x="4597628" y="737082"/>
                                      </a:lnTo>
                                      <a:lnTo>
                                        <a:pt x="4614189" y="727290"/>
                                      </a:lnTo>
                                      <a:lnTo>
                                        <a:pt x="4630229" y="722553"/>
                                      </a:lnTo>
                                      <a:lnTo>
                                        <a:pt x="4645787" y="722884"/>
                                      </a:lnTo>
                                      <a:lnTo>
                                        <a:pt x="4689233" y="742772"/>
                                      </a:lnTo>
                                      <a:lnTo>
                                        <a:pt x="4723168" y="782447"/>
                                      </a:lnTo>
                                      <a:lnTo>
                                        <a:pt x="4731893" y="812673"/>
                                      </a:lnTo>
                                      <a:lnTo>
                                        <a:pt x="4731893" y="563016"/>
                                      </a:lnTo>
                                      <a:lnTo>
                                        <a:pt x="4697946" y="546963"/>
                                      </a:lnTo>
                                      <a:lnTo>
                                        <a:pt x="4658995" y="536829"/>
                                      </a:lnTo>
                                      <a:lnTo>
                                        <a:pt x="4620869" y="536219"/>
                                      </a:lnTo>
                                      <a:lnTo>
                                        <a:pt x="4584039" y="545515"/>
                                      </a:lnTo>
                                      <a:lnTo>
                                        <a:pt x="4548530" y="564603"/>
                                      </a:lnTo>
                                      <a:lnTo>
                                        <a:pt x="4514342" y="593344"/>
                                      </a:lnTo>
                                      <a:lnTo>
                                        <a:pt x="4308729" y="798830"/>
                                      </a:lnTo>
                                      <a:lnTo>
                                        <a:pt x="4861941" y="1352042"/>
                                      </a:lnTo>
                                      <a:lnTo>
                                        <a:pt x="4986147" y="1227963"/>
                                      </a:lnTo>
                                      <a:close/>
                                    </a:path>
                                    <a:path w="5505450" h="5661025">
                                      <a:moveTo>
                                        <a:pt x="5505323" y="708660"/>
                                      </a:moveTo>
                                      <a:lnTo>
                                        <a:pt x="5273548" y="477012"/>
                                      </a:lnTo>
                                      <a:lnTo>
                                        <a:pt x="5240020" y="381711"/>
                                      </a:lnTo>
                                      <a:lnTo>
                                        <a:pt x="5141201" y="95250"/>
                                      </a:lnTo>
                                      <a:lnTo>
                                        <a:pt x="5107686" y="0"/>
                                      </a:lnTo>
                                      <a:lnTo>
                                        <a:pt x="4971034" y="136652"/>
                                      </a:lnTo>
                                      <a:lnTo>
                                        <a:pt x="4988852" y="181178"/>
                                      </a:lnTo>
                                      <a:lnTo>
                                        <a:pt x="5041531" y="315112"/>
                                      </a:lnTo>
                                      <a:lnTo>
                                        <a:pt x="5077079" y="404241"/>
                                      </a:lnTo>
                                      <a:lnTo>
                                        <a:pt x="5032565" y="386359"/>
                                      </a:lnTo>
                                      <a:lnTo>
                                        <a:pt x="4898745" y="333527"/>
                                      </a:lnTo>
                                      <a:lnTo>
                                        <a:pt x="4809744" y="297942"/>
                                      </a:lnTo>
                                      <a:lnTo>
                                        <a:pt x="4672457" y="435229"/>
                                      </a:lnTo>
                                      <a:lnTo>
                                        <a:pt x="4767770" y="468693"/>
                                      </a:lnTo>
                                      <a:lnTo>
                                        <a:pt x="5054397" y="567385"/>
                                      </a:lnTo>
                                      <a:lnTo>
                                        <a:pt x="5149723" y="600837"/>
                                      </a:lnTo>
                                      <a:lnTo>
                                        <a:pt x="5381498" y="832485"/>
                                      </a:lnTo>
                                      <a:lnTo>
                                        <a:pt x="5505323" y="70866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7.907999pt;margin-top:-.828084pt;width:433.5pt;height:445.75pt;mso-position-horizontal-relative:column;mso-position-vertical-relative:paragraph;z-index:-25172480" id="docshapegroup292" coordorigin="358,-17" coordsize="8670,8915">
                      <v:shape style="position:absolute;left:358;top:-17;width:8670;height:8915" id="docshape293" coordorigin="358,-17" coordsize="8670,8915" path="m1424,8703l553,7832,358,8027,1229,8898,1424,8703xm2016,8027l2015,7988,2010,7945,2001,7901,1987,7857,1968,7813,1945,7770,1917,7728,1887,7687,1853,7647,1816,7608,1297,7088,1103,7282,1634,7814,1667,7850,1691,7886,1708,7920,1718,7954,1719,7987,1713,8018,1699,8046,1678,8072,1652,8094,1623,8108,1592,8114,1559,8112,1525,8102,1490,8086,1455,8061,1419,8029,888,7498,693,7692,1213,8211,1247,8243,1286,8276,1330,8308,1378,8341,1410,8359,1445,8375,1482,8388,1520,8399,1559,8407,1595,8411,1629,8411,1662,8408,1693,8401,1725,8389,1757,8373,1788,8352,1819,8329,1847,8306,1873,8283,1897,8260,1933,8220,1963,8179,1987,8138,2004,8096,2012,8063,2016,8027xm2744,7244l2738,7180,2722,7114,2696,7047,2668,6993,2633,6937,2590,6879,2540,6820,2522,6802,2483,6760,2459,6738,2459,7232,2454,7272,2439,7309,2413,7342,2380,7367,2343,7382,2303,7387,2258,7380,2209,7362,2156,7331,2097,7286,2033,7226,1974,7163,1928,7103,1897,7049,1878,7000,1872,6956,1876,6915,1891,6879,1915,6848,1948,6822,1984,6807,2025,6802,2069,6807,2117,6824,2169,6854,2225,6896,2285,6951,2350,7021,2400,7084,2434,7140,2453,7188,2459,7232,2459,6738,2413,6695,2344,6640,2275,6595,2206,6559,2138,6534,2071,6518,1992,6512,1916,6522,1845,6548,1776,6588,1712,6644,1658,6707,1618,6775,1594,6847,1585,6922,1591,7002,1608,7070,1634,7139,1670,7209,1716,7279,1772,7349,1838,7420,1898,7477,1958,7527,2018,7569,2077,7603,2135,7631,2206,7655,2273,7669,2337,7672,2397,7666,2455,7650,2511,7623,2567,7585,2620,7537,2667,7483,2703,7427,2720,7387,2728,7368,2741,7307,2744,7244xm3015,6664l2828,6477,2574,6731,2761,6918,3015,6664xm3526,6602l2655,5730,2460,5925,3331,6797,3526,6602xm3860,6267l3537,5944,3643,5837,3694,5778,3699,5768,3728,5716,3745,5653,3744,5588,3728,5522,3705,5472,3698,5457,3654,5391,3595,5325,3532,5268,3469,5224,3460,5220,3460,5613,3459,5639,3449,5665,3432,5692,3408,5720,3360,5768,3166,5573,3221,5518,3248,5494,3274,5479,3300,5472,3324,5472,3348,5478,3371,5489,3393,5503,3414,5522,3432,5543,3446,5566,3455,5589,3460,5613,3460,5220,3406,5195,3345,5179,3285,5178,3227,5193,3171,5223,3117,5268,2793,5592,3665,6463,3860,6267xm4650,5478l3994,4822,4192,4623,3977,4408,3386,5000,3601,5215,3799,5016,4455,5672,4650,5478xm5285,4842l4629,4186,4828,3988,4613,3773,4021,4364,4236,4579,4435,4381,5091,5037,5285,4842xm6019,3969l6013,3905,5997,3839,5971,3772,5943,3718,5908,3662,5865,3605,5815,3546,5797,3527,5758,3485,5734,3463,5734,3957,5729,3997,5713,4034,5687,4067,5655,4092,5618,4107,5578,4112,5533,4105,5484,4087,5431,4056,5372,4011,5308,3952,5249,3888,5203,3828,5171,3774,5153,3725,5147,3681,5151,3641,5165,3605,5190,3573,5223,3547,5259,3532,5300,3527,5344,3532,5392,3549,5444,3579,5500,3621,5560,3676,5625,3746,5675,3809,5709,3865,5728,3913,5734,3957,5734,3463,5688,3420,5618,3365,5549,3320,5481,3285,5413,3259,5345,3243,5267,3237,5191,3247,5119,3273,5051,3313,4987,3369,4933,3432,4893,3500,4869,3572,4860,3647,4866,3727,4883,3795,4909,3864,4945,3934,4991,4004,5046,4074,5112,4145,5173,4202,5233,4252,5293,4294,5352,4329,5410,4356,5481,4380,5548,4394,5612,4397,5672,4391,5730,4375,5786,4348,5841,4310,5895,4262,5942,4208,5978,4152,5995,4112,6003,4093,6016,4032,6019,3969xm7032,2974l7027,2925,7015,2874,6996,2821,6971,2767,6941,2711,6903,2654,6842,2679,6661,2753,6693,2800,6717,2843,6735,2883,6746,2920,6749,2956,6743,2989,6728,3020,6705,3049,6674,3072,6640,3086,6602,3091,6562,3084,6515,3066,6462,3032,6400,2982,6331,2918,6279,2861,6237,2809,6206,2762,6186,2719,6173,2668,6174,2621,6187,2580,6214,2544,6229,2531,6246,2521,6264,2513,6284,2508,6304,2506,6326,2506,6348,2510,6371,2516,6386,2521,6404,2530,6425,2541,6448,2555,6567,2330,6484,2284,6405,2252,6331,2233,6262,2227,6195,2234,6131,2257,6068,2295,6008,2347,5954,2410,5916,2477,5892,2547,5883,2621,5889,2698,5905,2765,5932,2833,5968,2902,6015,2972,6071,3043,6138,3114,6202,3175,6266,3227,6329,3271,6391,3306,6452,3334,6524,3357,6592,3370,6653,3373,6709,3366,6762,3349,6814,3323,6866,3286,6918,3239,6956,3197,6987,3154,7009,3110,7023,3066,7031,3021,7032,2974xm7729,2258l7723,2194,7708,2128,7682,2062,7654,2007,7619,1951,7576,1894,7526,1835,7508,1816,7469,1774,7445,1752,7445,2246,7440,2286,7424,2323,7398,2356,7366,2381,7329,2396,7289,2401,7244,2395,7195,2376,7141,2345,7083,2300,7019,2241,6960,2177,6914,2118,6882,2064,6864,2014,6858,1970,6862,1930,6876,1894,6901,1862,6933,1837,6970,1821,7011,1816,7055,1821,7103,1838,7155,1868,7211,1910,7271,1965,7336,2035,7385,2098,7420,2154,7439,2203,7445,2246,7445,1752,7399,1709,7329,1654,7260,1609,7192,1574,7124,1548,7056,1532,6977,1527,6902,1537,6830,1562,6762,1603,6697,1658,6643,1721,6604,1789,6580,1861,6571,1937,6577,2016,6593,2085,6620,2153,6656,2223,6701,2293,6757,2363,6823,2434,6884,2491,6944,2541,7004,2583,7063,2618,7121,2645,7191,2669,7259,2683,7322,2686,7383,2680,7441,2664,7497,2637,7552,2599,7606,2551,7653,2497,7689,2441,7706,2401,7714,2382,7727,2321,7729,2258xm8210,1917l7887,1594,7994,1487,8044,1427,8050,1417,8078,1366,8095,1302,8095,1238,8079,1172,8056,1121,8049,1106,8004,1040,7946,974,7882,917,7819,874,7810,870,7810,1263,7809,1289,7800,1315,7783,1342,7758,1370,7711,1417,7516,1223,7572,1168,7599,1144,7625,1129,7650,1121,7674,1122,7698,1128,7721,1139,7743,1153,7764,1172,7782,1193,7796,1216,7805,1239,7810,1263,7810,870,7757,845,7695,829,7635,828,7577,843,7521,873,7467,918,7144,1241,8015,2113,8210,1917xm9028,1099l8663,735,8610,585,8455,133,8402,-17,8187,199,8215,269,8298,480,8354,620,8283,592,8073,509,7933,453,7716,669,7866,722,8318,877,8468,930,8833,1294,9028,1099xe" filled="true" fillcolor="#c0c0c0" stroked="false">
                        <v:path arrowok="t"/>
                        <v:fill opacity="32896f" type="solid"/>
                      </v:shape>
                      <w10:wrap type="none"/>
                    </v:group>
                  </w:pict>
                </mc:Fallback>
              </mc:AlternateContent>
            </w:r>
            <w:r>
              <w:rPr>
                <w:spacing w:val="-2"/>
                <w:sz w:val="18"/>
              </w:rPr>
              <w:t>0.000000</w:t>
            </w:r>
          </w:p>
        </w:tc>
        <w:tc>
          <w:tcPr>
            <w:tcW w:w="1561" w:type="dxa"/>
          </w:tcPr>
          <w:p>
            <w:pPr>
              <w:pStyle w:val="TableParagraph"/>
              <w:spacing w:before="5"/>
              <w:ind w:left="51" w:right="4"/>
              <w:jc w:val="center"/>
              <w:rPr>
                <w:sz w:val="18"/>
              </w:rPr>
            </w:pPr>
            <w:r>
              <w:rPr>
                <w:spacing w:val="-2"/>
                <w:sz w:val="18"/>
              </w:rPr>
              <w:t>0.000000</w:t>
            </w:r>
          </w:p>
        </w:tc>
        <w:tc>
          <w:tcPr>
            <w:tcW w:w="1350" w:type="dxa"/>
          </w:tcPr>
          <w:p>
            <w:pPr>
              <w:pStyle w:val="TableParagraph"/>
              <w:spacing w:before="5"/>
              <w:ind w:left="51" w:right="74"/>
              <w:jc w:val="center"/>
              <w:rPr>
                <w:sz w:val="18"/>
              </w:rPr>
            </w:pPr>
            <w:r>
              <w:rPr>
                <w:spacing w:val="-2"/>
                <w:sz w:val="18"/>
              </w:rPr>
              <w:t>0.000000</w:t>
            </w:r>
          </w:p>
        </w:tc>
        <w:tc>
          <w:tcPr>
            <w:tcW w:w="1418" w:type="dxa"/>
          </w:tcPr>
          <w:p>
            <w:pPr>
              <w:pStyle w:val="TableParagraph"/>
              <w:spacing w:before="5"/>
              <w:ind w:left="53" w:right="10"/>
              <w:jc w:val="center"/>
              <w:rPr>
                <w:sz w:val="18"/>
              </w:rPr>
            </w:pPr>
            <w:r>
              <w:rPr>
                <w:spacing w:val="-2"/>
                <w:sz w:val="18"/>
              </w:rPr>
              <w:t>0.000000</w:t>
            </w:r>
          </w:p>
        </w:tc>
        <w:tc>
          <w:tcPr>
            <w:tcW w:w="1406" w:type="dxa"/>
          </w:tcPr>
          <w:p>
            <w:pPr>
              <w:pStyle w:val="TableParagraph"/>
              <w:spacing w:before="5"/>
              <w:ind w:left="154" w:right="102"/>
              <w:jc w:val="center"/>
              <w:rPr>
                <w:sz w:val="18"/>
              </w:rPr>
            </w:pPr>
            <w:r>
              <w:rPr>
                <w:spacing w:val="-2"/>
                <w:sz w:val="18"/>
              </w:rPr>
              <w:t>0.000000</w:t>
            </w:r>
          </w:p>
        </w:tc>
        <w:tc>
          <w:tcPr>
            <w:tcW w:w="1439" w:type="dxa"/>
          </w:tcPr>
          <w:p>
            <w:pPr>
              <w:pStyle w:val="TableParagraph"/>
              <w:spacing w:before="5"/>
              <w:ind w:left="50" w:right="7"/>
              <w:jc w:val="center"/>
              <w:rPr>
                <w:sz w:val="18"/>
              </w:rPr>
            </w:pPr>
            <w:r>
              <w:rPr>
                <w:spacing w:val="-2"/>
                <w:sz w:val="18"/>
              </w:rPr>
              <w:t>1.000000</w:t>
            </w:r>
          </w:p>
        </w:tc>
        <w:tc>
          <w:tcPr>
            <w:tcW w:w="1409" w:type="dxa"/>
          </w:tcPr>
          <w:p>
            <w:pPr>
              <w:pStyle w:val="TableParagraph"/>
              <w:spacing w:before="5"/>
              <w:ind w:left="56" w:right="27"/>
              <w:jc w:val="center"/>
              <w:rPr>
                <w:sz w:val="18"/>
              </w:rPr>
            </w:pPr>
            <w:r>
              <w:rPr>
                <w:spacing w:val="-2"/>
                <w:sz w:val="18"/>
              </w:rPr>
              <w:t>0.003063</w:t>
            </w:r>
          </w:p>
        </w:tc>
        <w:tc>
          <w:tcPr>
            <w:tcW w:w="2834" w:type="dxa"/>
          </w:tcPr>
          <w:p>
            <w:pPr>
              <w:pStyle w:val="TableParagraph"/>
              <w:spacing w:before="5"/>
              <w:ind w:right="1425"/>
              <w:jc w:val="center"/>
              <w:rPr>
                <w:sz w:val="18"/>
              </w:rPr>
            </w:pPr>
            <w:r>
              <w:rPr>
                <w:spacing w:val="-2"/>
                <w:sz w:val="18"/>
              </w:rPr>
              <w:t>-0.059031</w:t>
            </w:r>
          </w:p>
        </w:tc>
      </w:tr>
      <w:tr>
        <w:trPr>
          <w:trHeight w:val="338" w:hRule="atLeast"/>
        </w:trPr>
        <w:tc>
          <w:tcPr>
            <w:tcW w:w="1467" w:type="dxa"/>
          </w:tcPr>
          <w:p>
            <w:pPr>
              <w:pStyle w:val="TableParagraph"/>
              <w:spacing w:line="240" w:lineRule="auto" w:before="0"/>
              <w:rPr>
                <w:rFonts w:ascii="Times New Roman"/>
                <w:sz w:val="18"/>
              </w:rPr>
            </w:pPr>
          </w:p>
        </w:tc>
        <w:tc>
          <w:tcPr>
            <w:tcW w:w="1266" w:type="dxa"/>
          </w:tcPr>
          <w:p>
            <w:pPr>
              <w:pStyle w:val="TableParagraph"/>
              <w:spacing w:line="240" w:lineRule="auto" w:before="0"/>
              <w:rPr>
                <w:rFonts w:ascii="Times New Roman"/>
                <w:sz w:val="18"/>
              </w:rPr>
            </w:pPr>
          </w:p>
        </w:tc>
        <w:tc>
          <w:tcPr>
            <w:tcW w:w="1561" w:type="dxa"/>
          </w:tcPr>
          <w:p>
            <w:pPr>
              <w:pStyle w:val="TableParagraph"/>
              <w:spacing w:line="240" w:lineRule="auto" w:before="0"/>
              <w:rPr>
                <w:rFonts w:ascii="Times New Roman"/>
                <w:sz w:val="18"/>
              </w:rPr>
            </w:pPr>
          </w:p>
        </w:tc>
        <w:tc>
          <w:tcPr>
            <w:tcW w:w="1350" w:type="dxa"/>
          </w:tcPr>
          <w:p>
            <w:pPr>
              <w:pStyle w:val="TableParagraph"/>
              <w:spacing w:line="240" w:lineRule="auto" w:before="0"/>
              <w:rPr>
                <w:rFonts w:ascii="Times New Roman"/>
                <w:sz w:val="18"/>
              </w:rPr>
            </w:pPr>
          </w:p>
        </w:tc>
        <w:tc>
          <w:tcPr>
            <w:tcW w:w="1418" w:type="dxa"/>
          </w:tcPr>
          <w:p>
            <w:pPr>
              <w:pStyle w:val="TableParagraph"/>
              <w:spacing w:line="240" w:lineRule="auto" w:before="0"/>
              <w:rPr>
                <w:rFonts w:ascii="Times New Roman"/>
                <w:sz w:val="18"/>
              </w:rPr>
            </w:pPr>
          </w:p>
        </w:tc>
        <w:tc>
          <w:tcPr>
            <w:tcW w:w="1406" w:type="dxa"/>
          </w:tcPr>
          <w:p>
            <w:pPr>
              <w:pStyle w:val="TableParagraph"/>
              <w:spacing w:line="240" w:lineRule="auto" w:before="0"/>
              <w:rPr>
                <w:rFonts w:ascii="Times New Roman"/>
                <w:sz w:val="18"/>
              </w:rPr>
            </w:pPr>
          </w:p>
        </w:tc>
        <w:tc>
          <w:tcPr>
            <w:tcW w:w="1439" w:type="dxa"/>
          </w:tcPr>
          <w:p>
            <w:pPr>
              <w:pStyle w:val="TableParagraph"/>
              <w:spacing w:line="240" w:lineRule="auto" w:before="0"/>
              <w:rPr>
                <w:rFonts w:ascii="Times New Roman"/>
                <w:sz w:val="18"/>
              </w:rPr>
            </w:pPr>
          </w:p>
        </w:tc>
        <w:tc>
          <w:tcPr>
            <w:tcW w:w="1409" w:type="dxa"/>
          </w:tcPr>
          <w:p>
            <w:pPr>
              <w:pStyle w:val="TableParagraph"/>
              <w:spacing w:line="240" w:lineRule="auto"/>
              <w:ind w:left="56" w:right="27"/>
              <w:jc w:val="center"/>
              <w:rPr>
                <w:sz w:val="18"/>
              </w:rPr>
            </w:pPr>
            <w:r>
              <w:rPr>
                <w:spacing w:val="-2"/>
                <w:sz w:val="18"/>
              </w:rPr>
              <w:t>(0.23331)</w:t>
            </w:r>
          </w:p>
        </w:tc>
        <w:tc>
          <w:tcPr>
            <w:tcW w:w="2834" w:type="dxa"/>
          </w:tcPr>
          <w:p>
            <w:pPr>
              <w:pStyle w:val="TableParagraph"/>
              <w:spacing w:line="240" w:lineRule="auto"/>
              <w:ind w:left="51" w:right="1425"/>
              <w:jc w:val="center"/>
              <w:rPr>
                <w:sz w:val="18"/>
              </w:rPr>
            </w:pPr>
            <w:r>
              <w:rPr>
                <w:spacing w:val="-2"/>
                <w:sz w:val="18"/>
              </w:rPr>
              <w:t>(0.01989)</w:t>
            </w:r>
          </w:p>
        </w:tc>
      </w:tr>
      <w:tr>
        <w:trPr>
          <w:trHeight w:val="337" w:hRule="atLeast"/>
        </w:trPr>
        <w:tc>
          <w:tcPr>
            <w:tcW w:w="14150" w:type="dxa"/>
            <w:gridSpan w:val="9"/>
          </w:tcPr>
          <w:p>
            <w:pPr>
              <w:pStyle w:val="TableParagraph"/>
              <w:spacing w:line="198" w:lineRule="exact" w:before="119"/>
              <w:rPr>
                <w:sz w:val="18"/>
              </w:rPr>
            </w:pPr>
            <w:r>
              <w:rPr>
                <w:sz w:val="18"/>
              </w:rPr>
              <w:t>Adjustment</w:t>
            </w:r>
            <w:r>
              <w:rPr>
                <w:spacing w:val="-4"/>
                <w:sz w:val="18"/>
              </w:rPr>
              <w:t> </w:t>
            </w:r>
            <w:r>
              <w:rPr>
                <w:sz w:val="18"/>
              </w:rPr>
              <w:t>coefficients</w:t>
            </w:r>
            <w:r>
              <w:rPr>
                <w:spacing w:val="-3"/>
                <w:sz w:val="18"/>
              </w:rPr>
              <w:t> </w:t>
            </w:r>
            <w:r>
              <w:rPr>
                <w:sz w:val="18"/>
              </w:rPr>
              <w:t>(standard</w:t>
            </w:r>
            <w:r>
              <w:rPr>
                <w:spacing w:val="-3"/>
                <w:sz w:val="18"/>
              </w:rPr>
              <w:t> </w:t>
            </w:r>
            <w:r>
              <w:rPr>
                <w:sz w:val="18"/>
              </w:rPr>
              <w:t>error</w:t>
            </w:r>
            <w:r>
              <w:rPr>
                <w:spacing w:val="-7"/>
                <w:sz w:val="18"/>
              </w:rPr>
              <w:t> </w:t>
            </w:r>
            <w:r>
              <w:rPr>
                <w:sz w:val="18"/>
              </w:rPr>
              <w:t>in</w:t>
            </w:r>
            <w:r>
              <w:rPr>
                <w:spacing w:val="-1"/>
                <w:sz w:val="18"/>
              </w:rPr>
              <w:t> </w:t>
            </w:r>
            <w:r>
              <w:rPr>
                <w:spacing w:val="-2"/>
                <w:sz w:val="18"/>
              </w:rPr>
              <w:t>parentheses)</w:t>
            </w:r>
          </w:p>
        </w:tc>
      </w:tr>
      <w:tr>
        <w:trPr>
          <w:trHeight w:val="224" w:hRule="atLeast"/>
        </w:trPr>
        <w:tc>
          <w:tcPr>
            <w:tcW w:w="1467" w:type="dxa"/>
          </w:tcPr>
          <w:p>
            <w:pPr>
              <w:pStyle w:val="TableParagraph"/>
              <w:spacing w:before="5"/>
              <w:ind w:right="81"/>
              <w:jc w:val="center"/>
              <w:rPr>
                <w:sz w:val="18"/>
              </w:rPr>
            </w:pPr>
            <w:r>
              <w:rPr>
                <w:spacing w:val="-2"/>
                <w:sz w:val="18"/>
              </w:rPr>
              <w:t>D(RGDP)</w:t>
            </w:r>
          </w:p>
        </w:tc>
        <w:tc>
          <w:tcPr>
            <w:tcW w:w="1266" w:type="dxa"/>
          </w:tcPr>
          <w:p>
            <w:pPr>
              <w:pStyle w:val="TableParagraph"/>
              <w:spacing w:before="5"/>
              <w:ind w:left="38" w:right="48"/>
              <w:jc w:val="center"/>
              <w:rPr>
                <w:sz w:val="18"/>
              </w:rPr>
            </w:pPr>
            <w:r>
              <w:rPr>
                <w:spacing w:val="-2"/>
                <w:sz w:val="18"/>
              </w:rPr>
              <w:t>-0.225295</w:t>
            </w:r>
          </w:p>
        </w:tc>
        <w:tc>
          <w:tcPr>
            <w:tcW w:w="1561" w:type="dxa"/>
          </w:tcPr>
          <w:p>
            <w:pPr>
              <w:pStyle w:val="TableParagraph"/>
              <w:spacing w:before="5"/>
              <w:ind w:left="51" w:right="4"/>
              <w:jc w:val="center"/>
              <w:rPr>
                <w:sz w:val="18"/>
              </w:rPr>
            </w:pPr>
            <w:r>
              <w:rPr>
                <w:spacing w:val="-2"/>
                <w:sz w:val="18"/>
              </w:rPr>
              <w:t>0.707098</w:t>
            </w:r>
          </w:p>
        </w:tc>
        <w:tc>
          <w:tcPr>
            <w:tcW w:w="1350" w:type="dxa"/>
          </w:tcPr>
          <w:p>
            <w:pPr>
              <w:pStyle w:val="TableParagraph"/>
              <w:spacing w:before="5"/>
              <w:ind w:left="51" w:right="74"/>
              <w:jc w:val="center"/>
              <w:rPr>
                <w:sz w:val="18"/>
              </w:rPr>
            </w:pPr>
            <w:r>
              <w:rPr>
                <w:spacing w:val="-2"/>
                <w:sz w:val="18"/>
              </w:rPr>
              <w:t>58.08043</w:t>
            </w:r>
          </w:p>
        </w:tc>
        <w:tc>
          <w:tcPr>
            <w:tcW w:w="1418" w:type="dxa"/>
          </w:tcPr>
          <w:p>
            <w:pPr>
              <w:pStyle w:val="TableParagraph"/>
              <w:spacing w:before="5"/>
              <w:ind w:left="53" w:right="10"/>
              <w:jc w:val="center"/>
              <w:rPr>
                <w:sz w:val="18"/>
              </w:rPr>
            </w:pPr>
            <w:r>
              <w:rPr>
                <w:spacing w:val="-2"/>
                <w:sz w:val="18"/>
              </w:rPr>
              <w:t>16.99654</w:t>
            </w:r>
          </w:p>
        </w:tc>
        <w:tc>
          <w:tcPr>
            <w:tcW w:w="1406" w:type="dxa"/>
          </w:tcPr>
          <w:p>
            <w:pPr>
              <w:pStyle w:val="TableParagraph"/>
              <w:spacing w:before="5"/>
              <w:ind w:left="103" w:right="102"/>
              <w:jc w:val="center"/>
              <w:rPr>
                <w:sz w:val="18"/>
              </w:rPr>
            </w:pPr>
            <w:r>
              <w:rPr>
                <w:spacing w:val="-2"/>
                <w:sz w:val="18"/>
              </w:rPr>
              <w:t>-1.460082</w:t>
            </w:r>
          </w:p>
        </w:tc>
        <w:tc>
          <w:tcPr>
            <w:tcW w:w="1439" w:type="dxa"/>
          </w:tcPr>
          <w:p>
            <w:pPr>
              <w:pStyle w:val="TableParagraph"/>
              <w:spacing w:before="5"/>
              <w:ind w:left="44" w:right="48"/>
              <w:jc w:val="center"/>
              <w:rPr>
                <w:sz w:val="18"/>
              </w:rPr>
            </w:pPr>
            <w:r>
              <w:rPr>
                <w:spacing w:val="-2"/>
                <w:sz w:val="18"/>
              </w:rPr>
              <w:t>-0.002427</w:t>
            </w:r>
          </w:p>
        </w:tc>
        <w:tc>
          <w:tcPr>
            <w:tcW w:w="1409" w:type="dxa"/>
          </w:tcPr>
          <w:p>
            <w:pPr>
              <w:pStyle w:val="TableParagraph"/>
              <w:spacing w:before="5"/>
              <w:ind w:left="56" w:right="27"/>
              <w:jc w:val="center"/>
              <w:rPr>
                <w:sz w:val="18"/>
              </w:rPr>
            </w:pPr>
            <w:r>
              <w:rPr>
                <w:spacing w:val="-2"/>
                <w:sz w:val="18"/>
              </w:rPr>
              <w:t>146.8665</w:t>
            </w: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(0.06492)</w:t>
            </w:r>
          </w:p>
        </w:tc>
        <w:tc>
          <w:tcPr>
            <w:tcW w:w="1561" w:type="dxa"/>
          </w:tcPr>
          <w:p>
            <w:pPr>
              <w:pStyle w:val="TableParagraph"/>
              <w:ind w:left="52" w:right="4"/>
              <w:jc w:val="center"/>
              <w:rPr>
                <w:sz w:val="18"/>
              </w:rPr>
            </w:pPr>
            <w:r>
              <w:rPr>
                <w:spacing w:val="-2"/>
                <w:sz w:val="18"/>
              </w:rPr>
              <w:t>(0.33289)</w:t>
            </w:r>
          </w:p>
        </w:tc>
        <w:tc>
          <w:tcPr>
            <w:tcW w:w="1350" w:type="dxa"/>
          </w:tcPr>
          <w:p>
            <w:pPr>
              <w:pStyle w:val="TableParagraph"/>
              <w:ind w:left="52" w:right="74"/>
              <w:jc w:val="center"/>
              <w:rPr>
                <w:sz w:val="18"/>
              </w:rPr>
            </w:pPr>
            <w:r>
              <w:rPr>
                <w:spacing w:val="-2"/>
                <w:sz w:val="18"/>
              </w:rPr>
              <w:t>(20.1568)</w:t>
            </w:r>
          </w:p>
        </w:tc>
        <w:tc>
          <w:tcPr>
            <w:tcW w:w="1418" w:type="dxa"/>
          </w:tcPr>
          <w:p>
            <w:pPr>
              <w:pStyle w:val="TableParagraph"/>
              <w:ind w:left="53" w:right="10"/>
              <w:jc w:val="center"/>
              <w:rPr>
                <w:sz w:val="18"/>
              </w:rPr>
            </w:pPr>
            <w:r>
              <w:rPr>
                <w:spacing w:val="-2"/>
                <w:sz w:val="18"/>
              </w:rPr>
              <w:t>(16.0731)</w:t>
            </w:r>
          </w:p>
        </w:tc>
        <w:tc>
          <w:tcPr>
            <w:tcW w:w="1406" w:type="dxa"/>
          </w:tcPr>
          <w:p>
            <w:pPr>
              <w:pStyle w:val="TableParagraph"/>
              <w:ind w:left="154" w:right="102"/>
              <w:jc w:val="center"/>
              <w:rPr>
                <w:sz w:val="18"/>
              </w:rPr>
            </w:pPr>
            <w:r>
              <w:rPr>
                <w:spacing w:val="-2"/>
                <w:sz w:val="18"/>
              </w:rPr>
              <w:t>(0.98966)</w:t>
            </w:r>
          </w:p>
        </w:tc>
        <w:tc>
          <w:tcPr>
            <w:tcW w:w="1439" w:type="dxa"/>
          </w:tcPr>
          <w:p>
            <w:pPr>
              <w:pStyle w:val="TableParagraph"/>
              <w:ind w:left="51" w:right="7"/>
              <w:jc w:val="center"/>
              <w:rPr>
                <w:sz w:val="18"/>
              </w:rPr>
            </w:pPr>
            <w:r>
              <w:rPr>
                <w:spacing w:val="-2"/>
                <w:sz w:val="18"/>
              </w:rPr>
              <w:t>(0.09151)</w:t>
            </w:r>
          </w:p>
        </w:tc>
        <w:tc>
          <w:tcPr>
            <w:tcW w:w="1409" w:type="dxa"/>
          </w:tcPr>
          <w:p>
            <w:pPr>
              <w:pStyle w:val="TableParagraph"/>
              <w:ind w:left="56" w:right="27"/>
              <w:jc w:val="center"/>
              <w:rPr>
                <w:sz w:val="18"/>
              </w:rPr>
            </w:pPr>
            <w:r>
              <w:rPr>
                <w:spacing w:val="-2"/>
                <w:sz w:val="18"/>
              </w:rPr>
              <w:t>(60.2041)</w:t>
            </w: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2" w:right="81"/>
              <w:jc w:val="center"/>
              <w:rPr>
                <w:sz w:val="18"/>
              </w:rPr>
            </w:pPr>
            <w:r>
              <w:rPr>
                <w:spacing w:val="-2"/>
                <w:sz w:val="18"/>
              </w:rPr>
              <w:t>D(FDI)</w:t>
            </w:r>
          </w:p>
        </w:tc>
        <w:tc>
          <w:tcPr>
            <w:tcW w:w="1266" w:type="dxa"/>
          </w:tcPr>
          <w:p>
            <w:pPr>
              <w:pStyle w:val="TableParagraph"/>
              <w:ind w:left="47" w:right="10"/>
              <w:jc w:val="center"/>
              <w:rPr>
                <w:sz w:val="18"/>
              </w:rPr>
            </w:pPr>
            <w:r>
              <w:rPr>
                <w:spacing w:val="-2"/>
                <w:sz w:val="18"/>
              </w:rPr>
              <w:t>0.073432</w:t>
            </w:r>
          </w:p>
        </w:tc>
        <w:tc>
          <w:tcPr>
            <w:tcW w:w="1561" w:type="dxa"/>
          </w:tcPr>
          <w:p>
            <w:pPr>
              <w:pStyle w:val="TableParagraph"/>
              <w:ind w:left="48" w:right="48"/>
              <w:jc w:val="center"/>
              <w:rPr>
                <w:sz w:val="18"/>
              </w:rPr>
            </w:pPr>
            <w:r>
              <w:rPr>
                <w:spacing w:val="-2"/>
                <w:sz w:val="18"/>
              </w:rPr>
              <w:t>-0.591663</w:t>
            </w:r>
          </w:p>
        </w:tc>
        <w:tc>
          <w:tcPr>
            <w:tcW w:w="1350" w:type="dxa"/>
          </w:tcPr>
          <w:p>
            <w:pPr>
              <w:pStyle w:val="TableParagraph"/>
              <w:ind w:left="1" w:right="74"/>
              <w:jc w:val="center"/>
              <w:rPr>
                <w:sz w:val="18"/>
              </w:rPr>
            </w:pPr>
            <w:r>
              <w:rPr>
                <w:spacing w:val="-2"/>
                <w:sz w:val="18"/>
              </w:rPr>
              <w:t>-8.631396</w:t>
            </w:r>
          </w:p>
        </w:tc>
        <w:tc>
          <w:tcPr>
            <w:tcW w:w="1418" w:type="dxa"/>
          </w:tcPr>
          <w:p>
            <w:pPr>
              <w:pStyle w:val="TableParagraph"/>
              <w:ind w:left="43" w:right="48"/>
              <w:jc w:val="center"/>
              <w:rPr>
                <w:sz w:val="18"/>
              </w:rPr>
            </w:pPr>
            <w:r>
              <w:rPr>
                <w:spacing w:val="-2"/>
                <w:sz w:val="18"/>
              </w:rPr>
              <w:t>-5.917217</w:t>
            </w:r>
          </w:p>
        </w:tc>
        <w:tc>
          <w:tcPr>
            <w:tcW w:w="1406" w:type="dxa"/>
          </w:tcPr>
          <w:p>
            <w:pPr>
              <w:pStyle w:val="TableParagraph"/>
              <w:ind w:left="103" w:right="102"/>
              <w:jc w:val="center"/>
              <w:rPr>
                <w:sz w:val="18"/>
              </w:rPr>
            </w:pPr>
            <w:r>
              <w:rPr>
                <w:spacing w:val="-2"/>
                <w:sz w:val="18"/>
              </w:rPr>
              <w:t>-0.126644</w:t>
            </w:r>
          </w:p>
        </w:tc>
        <w:tc>
          <w:tcPr>
            <w:tcW w:w="1439" w:type="dxa"/>
          </w:tcPr>
          <w:p>
            <w:pPr>
              <w:pStyle w:val="TableParagraph"/>
              <w:ind w:left="44" w:right="48"/>
              <w:jc w:val="center"/>
              <w:rPr>
                <w:sz w:val="18"/>
              </w:rPr>
            </w:pPr>
            <w:r>
              <w:rPr>
                <w:spacing w:val="-2"/>
                <w:sz w:val="18"/>
              </w:rPr>
              <w:t>-0.068984</w:t>
            </w:r>
          </w:p>
        </w:tc>
        <w:tc>
          <w:tcPr>
            <w:tcW w:w="1409" w:type="dxa"/>
          </w:tcPr>
          <w:p>
            <w:pPr>
              <w:pStyle w:val="TableParagraph"/>
              <w:ind w:left="56" w:right="27"/>
              <w:jc w:val="center"/>
              <w:rPr>
                <w:sz w:val="18"/>
              </w:rPr>
            </w:pPr>
            <w:r>
              <w:rPr>
                <w:spacing w:val="-2"/>
                <w:sz w:val="18"/>
              </w:rPr>
              <w:t>0.596339</w:t>
            </w: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198" w:lineRule="exact"/>
              <w:ind w:left="48" w:right="10"/>
              <w:jc w:val="center"/>
              <w:rPr>
                <w:sz w:val="18"/>
              </w:rPr>
            </w:pPr>
            <w:r>
              <w:rPr>
                <w:spacing w:val="-2"/>
                <w:sz w:val="18"/>
              </w:rPr>
              <w:t>(0.02574)</w:t>
            </w:r>
          </w:p>
        </w:tc>
        <w:tc>
          <w:tcPr>
            <w:tcW w:w="1561" w:type="dxa"/>
          </w:tcPr>
          <w:p>
            <w:pPr>
              <w:pStyle w:val="TableParagraph"/>
              <w:spacing w:line="198" w:lineRule="exact"/>
              <w:ind w:left="52" w:right="4"/>
              <w:jc w:val="center"/>
              <w:rPr>
                <w:sz w:val="18"/>
              </w:rPr>
            </w:pPr>
            <w:r>
              <w:rPr>
                <w:spacing w:val="-2"/>
                <w:sz w:val="18"/>
              </w:rPr>
              <w:t>(0.13198)</w:t>
            </w:r>
          </w:p>
        </w:tc>
        <w:tc>
          <w:tcPr>
            <w:tcW w:w="1350" w:type="dxa"/>
          </w:tcPr>
          <w:p>
            <w:pPr>
              <w:pStyle w:val="TableParagraph"/>
              <w:spacing w:line="198" w:lineRule="exact"/>
              <w:ind w:left="52" w:right="74"/>
              <w:jc w:val="center"/>
              <w:rPr>
                <w:sz w:val="18"/>
              </w:rPr>
            </w:pPr>
            <w:r>
              <w:rPr>
                <w:spacing w:val="-2"/>
                <w:sz w:val="18"/>
              </w:rPr>
              <w:t>(7.99125)</w:t>
            </w:r>
          </w:p>
        </w:tc>
        <w:tc>
          <w:tcPr>
            <w:tcW w:w="1418" w:type="dxa"/>
          </w:tcPr>
          <w:p>
            <w:pPr>
              <w:pStyle w:val="TableParagraph"/>
              <w:spacing w:line="198" w:lineRule="exact"/>
              <w:ind w:left="53" w:right="10"/>
              <w:jc w:val="center"/>
              <w:rPr>
                <w:sz w:val="18"/>
              </w:rPr>
            </w:pPr>
            <w:r>
              <w:rPr>
                <w:spacing w:val="-2"/>
                <w:sz w:val="18"/>
              </w:rPr>
              <w:t>(6.37227)</w:t>
            </w:r>
          </w:p>
        </w:tc>
        <w:tc>
          <w:tcPr>
            <w:tcW w:w="1406" w:type="dxa"/>
          </w:tcPr>
          <w:p>
            <w:pPr>
              <w:pStyle w:val="TableParagraph"/>
              <w:spacing w:line="198" w:lineRule="exact"/>
              <w:ind w:left="154" w:right="102"/>
              <w:jc w:val="center"/>
              <w:rPr>
                <w:sz w:val="18"/>
              </w:rPr>
            </w:pPr>
            <w:r>
              <w:rPr>
                <w:spacing w:val="-2"/>
                <w:sz w:val="18"/>
              </w:rPr>
              <w:t>(0.39235)</w:t>
            </w:r>
          </w:p>
        </w:tc>
        <w:tc>
          <w:tcPr>
            <w:tcW w:w="1439" w:type="dxa"/>
          </w:tcPr>
          <w:p>
            <w:pPr>
              <w:pStyle w:val="TableParagraph"/>
              <w:spacing w:line="198" w:lineRule="exact"/>
              <w:ind w:left="51" w:right="7"/>
              <w:jc w:val="center"/>
              <w:rPr>
                <w:sz w:val="18"/>
              </w:rPr>
            </w:pPr>
            <w:r>
              <w:rPr>
                <w:spacing w:val="-2"/>
                <w:sz w:val="18"/>
              </w:rPr>
              <w:t>(0.03628)</w:t>
            </w:r>
          </w:p>
        </w:tc>
        <w:tc>
          <w:tcPr>
            <w:tcW w:w="1409" w:type="dxa"/>
          </w:tcPr>
          <w:p>
            <w:pPr>
              <w:pStyle w:val="TableParagraph"/>
              <w:spacing w:line="198" w:lineRule="exact"/>
              <w:ind w:left="56" w:right="27"/>
              <w:jc w:val="center"/>
              <w:rPr>
                <w:sz w:val="18"/>
              </w:rPr>
            </w:pPr>
            <w:r>
              <w:rPr>
                <w:spacing w:val="-2"/>
                <w:sz w:val="18"/>
              </w:rPr>
              <w:t>(23.8682)</w:t>
            </w: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00" w:lineRule="exact" w:before="5"/>
              <w:ind w:left="2" w:right="81"/>
              <w:jc w:val="center"/>
              <w:rPr>
                <w:sz w:val="18"/>
              </w:rPr>
            </w:pPr>
            <w:r>
              <w:rPr>
                <w:spacing w:val="-2"/>
                <w:sz w:val="18"/>
              </w:rPr>
              <w:t>D(FPI)</w:t>
            </w:r>
          </w:p>
        </w:tc>
        <w:tc>
          <w:tcPr>
            <w:tcW w:w="1266" w:type="dxa"/>
          </w:tcPr>
          <w:p>
            <w:pPr>
              <w:pStyle w:val="TableParagraph"/>
              <w:spacing w:line="200" w:lineRule="exact" w:before="5"/>
              <w:ind w:left="38" w:right="48"/>
              <w:jc w:val="center"/>
              <w:rPr>
                <w:sz w:val="18"/>
              </w:rPr>
            </w:pPr>
            <w:r>
              <w:rPr>
                <w:spacing w:val="-2"/>
                <w:sz w:val="18"/>
              </w:rPr>
              <w:t>-0.000386</w:t>
            </w:r>
          </w:p>
        </w:tc>
        <w:tc>
          <w:tcPr>
            <w:tcW w:w="1561" w:type="dxa"/>
          </w:tcPr>
          <w:p>
            <w:pPr>
              <w:pStyle w:val="TableParagraph"/>
              <w:spacing w:line="200" w:lineRule="exact" w:before="5"/>
              <w:ind w:left="51" w:right="4"/>
              <w:jc w:val="center"/>
              <w:rPr>
                <w:sz w:val="18"/>
              </w:rPr>
            </w:pPr>
            <w:r>
              <w:rPr>
                <w:spacing w:val="-2"/>
                <w:sz w:val="18"/>
              </w:rPr>
              <w:t>0.008928</w:t>
            </w:r>
          </w:p>
        </w:tc>
        <w:tc>
          <w:tcPr>
            <w:tcW w:w="1350" w:type="dxa"/>
          </w:tcPr>
          <w:p>
            <w:pPr>
              <w:pStyle w:val="TableParagraph"/>
              <w:spacing w:line="200" w:lineRule="exact" w:before="5"/>
              <w:ind w:left="1" w:right="74"/>
              <w:jc w:val="center"/>
              <w:rPr>
                <w:sz w:val="18"/>
              </w:rPr>
            </w:pPr>
            <w:r>
              <w:rPr>
                <w:spacing w:val="-2"/>
                <w:sz w:val="18"/>
              </w:rPr>
              <w:t>-0.806128</w:t>
            </w:r>
          </w:p>
        </w:tc>
        <w:tc>
          <w:tcPr>
            <w:tcW w:w="1418" w:type="dxa"/>
          </w:tcPr>
          <w:p>
            <w:pPr>
              <w:pStyle w:val="TableParagraph"/>
              <w:spacing w:line="200" w:lineRule="exact" w:before="5"/>
              <w:ind w:left="43" w:right="48"/>
              <w:jc w:val="center"/>
              <w:rPr>
                <w:sz w:val="18"/>
              </w:rPr>
            </w:pPr>
            <w:r>
              <w:rPr>
                <w:spacing w:val="-2"/>
                <w:sz w:val="18"/>
              </w:rPr>
              <w:t>-0.168959</w:t>
            </w:r>
          </w:p>
        </w:tc>
        <w:tc>
          <w:tcPr>
            <w:tcW w:w="1406" w:type="dxa"/>
          </w:tcPr>
          <w:p>
            <w:pPr>
              <w:pStyle w:val="TableParagraph"/>
              <w:spacing w:line="200" w:lineRule="exact" w:before="5"/>
              <w:ind w:left="103" w:right="102"/>
              <w:jc w:val="center"/>
              <w:rPr>
                <w:sz w:val="18"/>
              </w:rPr>
            </w:pPr>
            <w:r>
              <w:rPr>
                <w:spacing w:val="-2"/>
                <w:sz w:val="18"/>
              </w:rPr>
              <w:t>-0.013757</w:t>
            </w:r>
          </w:p>
        </w:tc>
        <w:tc>
          <w:tcPr>
            <w:tcW w:w="1439" w:type="dxa"/>
          </w:tcPr>
          <w:p>
            <w:pPr>
              <w:pStyle w:val="TableParagraph"/>
              <w:spacing w:line="200" w:lineRule="exact" w:before="5"/>
              <w:ind w:left="44" w:right="48"/>
              <w:jc w:val="center"/>
              <w:rPr>
                <w:sz w:val="18"/>
              </w:rPr>
            </w:pPr>
            <w:r>
              <w:rPr>
                <w:spacing w:val="-2"/>
                <w:sz w:val="18"/>
              </w:rPr>
              <w:t>-0.001851</w:t>
            </w:r>
          </w:p>
        </w:tc>
        <w:tc>
          <w:tcPr>
            <w:tcW w:w="1409" w:type="dxa"/>
          </w:tcPr>
          <w:p>
            <w:pPr>
              <w:pStyle w:val="TableParagraph"/>
              <w:spacing w:line="200" w:lineRule="exact" w:before="5"/>
              <w:ind w:left="56" w:right="27"/>
              <w:jc w:val="center"/>
              <w:rPr>
                <w:sz w:val="18"/>
              </w:rPr>
            </w:pPr>
            <w:r>
              <w:rPr>
                <w:spacing w:val="-2"/>
                <w:sz w:val="18"/>
              </w:rPr>
              <w:t>0.150961</w:t>
            </w: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(0.00105)</w:t>
            </w:r>
          </w:p>
        </w:tc>
        <w:tc>
          <w:tcPr>
            <w:tcW w:w="1561" w:type="dxa"/>
          </w:tcPr>
          <w:p>
            <w:pPr>
              <w:pStyle w:val="TableParagraph"/>
              <w:ind w:left="52" w:right="4"/>
              <w:jc w:val="center"/>
              <w:rPr>
                <w:sz w:val="18"/>
              </w:rPr>
            </w:pPr>
            <w:r>
              <w:rPr>
                <w:spacing w:val="-2"/>
                <w:sz w:val="18"/>
              </w:rPr>
              <w:t>(0.00540)</w:t>
            </w:r>
          </w:p>
        </w:tc>
        <w:tc>
          <w:tcPr>
            <w:tcW w:w="1350" w:type="dxa"/>
          </w:tcPr>
          <w:p>
            <w:pPr>
              <w:pStyle w:val="TableParagraph"/>
              <w:ind w:left="52" w:right="74"/>
              <w:jc w:val="center"/>
              <w:rPr>
                <w:sz w:val="18"/>
              </w:rPr>
            </w:pPr>
            <w:r>
              <w:rPr>
                <w:spacing w:val="-2"/>
                <w:sz w:val="18"/>
              </w:rPr>
              <w:t>(0.32674)</w:t>
            </w:r>
          </w:p>
        </w:tc>
        <w:tc>
          <w:tcPr>
            <w:tcW w:w="1418" w:type="dxa"/>
          </w:tcPr>
          <w:p>
            <w:pPr>
              <w:pStyle w:val="TableParagraph"/>
              <w:ind w:left="53" w:right="10"/>
              <w:jc w:val="center"/>
              <w:rPr>
                <w:sz w:val="18"/>
              </w:rPr>
            </w:pPr>
            <w:r>
              <w:rPr>
                <w:spacing w:val="-2"/>
                <w:sz w:val="18"/>
              </w:rPr>
              <w:t>(0.26054)</w:t>
            </w:r>
          </w:p>
        </w:tc>
        <w:tc>
          <w:tcPr>
            <w:tcW w:w="1406" w:type="dxa"/>
          </w:tcPr>
          <w:p>
            <w:pPr>
              <w:pStyle w:val="TableParagraph"/>
              <w:ind w:left="154" w:right="102"/>
              <w:jc w:val="center"/>
              <w:rPr>
                <w:sz w:val="18"/>
              </w:rPr>
            </w:pPr>
            <w:r>
              <w:rPr>
                <w:spacing w:val="-2"/>
                <w:sz w:val="18"/>
              </w:rPr>
              <w:t>(0.01604)</w:t>
            </w:r>
          </w:p>
        </w:tc>
        <w:tc>
          <w:tcPr>
            <w:tcW w:w="1439" w:type="dxa"/>
          </w:tcPr>
          <w:p>
            <w:pPr>
              <w:pStyle w:val="TableParagraph"/>
              <w:ind w:left="51" w:right="7"/>
              <w:jc w:val="center"/>
              <w:rPr>
                <w:sz w:val="18"/>
              </w:rPr>
            </w:pPr>
            <w:r>
              <w:rPr>
                <w:spacing w:val="-2"/>
                <w:sz w:val="18"/>
              </w:rPr>
              <w:t>(0.00148)</w:t>
            </w:r>
          </w:p>
        </w:tc>
        <w:tc>
          <w:tcPr>
            <w:tcW w:w="1409" w:type="dxa"/>
          </w:tcPr>
          <w:p>
            <w:pPr>
              <w:pStyle w:val="TableParagraph"/>
              <w:ind w:left="56" w:right="27"/>
              <w:jc w:val="center"/>
              <w:rPr>
                <w:sz w:val="18"/>
              </w:rPr>
            </w:pPr>
            <w:r>
              <w:rPr>
                <w:spacing w:val="-2"/>
                <w:sz w:val="18"/>
              </w:rPr>
              <w:t>(0.97590)</w:t>
            </w: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5" w:right="81"/>
              <w:jc w:val="center"/>
              <w:rPr>
                <w:sz w:val="18"/>
              </w:rPr>
            </w:pPr>
            <w:r>
              <w:rPr>
                <w:spacing w:val="-2"/>
                <w:sz w:val="18"/>
              </w:rPr>
              <w:t>D(TOP)</w:t>
            </w:r>
          </w:p>
        </w:tc>
        <w:tc>
          <w:tcPr>
            <w:tcW w:w="1266" w:type="dxa"/>
          </w:tcPr>
          <w:p>
            <w:pPr>
              <w:pStyle w:val="TableParagraph"/>
              <w:ind w:left="38" w:right="48"/>
              <w:jc w:val="center"/>
              <w:rPr>
                <w:sz w:val="18"/>
              </w:rPr>
            </w:pPr>
            <w:r>
              <w:rPr>
                <w:spacing w:val="-2"/>
                <w:sz w:val="18"/>
              </w:rPr>
              <w:t>-0.000978</w:t>
            </w:r>
          </w:p>
        </w:tc>
        <w:tc>
          <w:tcPr>
            <w:tcW w:w="1561" w:type="dxa"/>
          </w:tcPr>
          <w:p>
            <w:pPr>
              <w:pStyle w:val="TableParagraph"/>
              <w:ind w:left="51" w:right="4"/>
              <w:jc w:val="center"/>
              <w:rPr>
                <w:sz w:val="18"/>
              </w:rPr>
            </w:pPr>
            <w:r>
              <w:rPr>
                <w:spacing w:val="-2"/>
                <w:sz w:val="18"/>
              </w:rPr>
              <w:t>0.001529</w:t>
            </w:r>
          </w:p>
        </w:tc>
        <w:tc>
          <w:tcPr>
            <w:tcW w:w="1350" w:type="dxa"/>
          </w:tcPr>
          <w:p>
            <w:pPr>
              <w:pStyle w:val="TableParagraph"/>
              <w:ind w:left="51" w:right="74"/>
              <w:jc w:val="center"/>
              <w:rPr>
                <w:sz w:val="18"/>
              </w:rPr>
            </w:pPr>
            <w:r>
              <w:rPr>
                <w:spacing w:val="-2"/>
                <w:sz w:val="18"/>
              </w:rPr>
              <w:t>0.283258</w:t>
            </w:r>
          </w:p>
        </w:tc>
        <w:tc>
          <w:tcPr>
            <w:tcW w:w="1418" w:type="dxa"/>
          </w:tcPr>
          <w:p>
            <w:pPr>
              <w:pStyle w:val="TableParagraph"/>
              <w:ind w:left="53" w:right="10"/>
              <w:jc w:val="center"/>
              <w:rPr>
                <w:sz w:val="18"/>
              </w:rPr>
            </w:pPr>
            <w:r>
              <w:rPr>
                <w:spacing w:val="-2"/>
                <w:sz w:val="18"/>
              </w:rPr>
              <w:t>0.132088</w:t>
            </w:r>
          </w:p>
        </w:tc>
        <w:tc>
          <w:tcPr>
            <w:tcW w:w="1406" w:type="dxa"/>
          </w:tcPr>
          <w:p>
            <w:pPr>
              <w:pStyle w:val="TableParagraph"/>
              <w:ind w:left="103" w:right="102"/>
              <w:jc w:val="center"/>
              <w:rPr>
                <w:sz w:val="18"/>
              </w:rPr>
            </w:pPr>
            <w:r>
              <w:rPr>
                <w:spacing w:val="-2"/>
                <w:sz w:val="18"/>
              </w:rPr>
              <w:t>-0.020788</w:t>
            </w:r>
          </w:p>
        </w:tc>
        <w:tc>
          <w:tcPr>
            <w:tcW w:w="1439" w:type="dxa"/>
          </w:tcPr>
          <w:p>
            <w:pPr>
              <w:pStyle w:val="TableParagraph"/>
              <w:ind w:left="50" w:right="7"/>
              <w:jc w:val="center"/>
              <w:rPr>
                <w:sz w:val="18"/>
              </w:rPr>
            </w:pPr>
            <w:r>
              <w:rPr>
                <w:spacing w:val="-2"/>
                <w:sz w:val="18"/>
              </w:rPr>
              <w:t>0.001258</w:t>
            </w:r>
          </w:p>
        </w:tc>
        <w:tc>
          <w:tcPr>
            <w:tcW w:w="1409" w:type="dxa"/>
          </w:tcPr>
          <w:p>
            <w:pPr>
              <w:pStyle w:val="TableParagraph"/>
              <w:ind w:left="56" w:right="27"/>
              <w:jc w:val="center"/>
              <w:rPr>
                <w:sz w:val="18"/>
              </w:rPr>
            </w:pPr>
            <w:r>
              <w:rPr>
                <w:spacing w:val="-2"/>
                <w:sz w:val="18"/>
              </w:rPr>
              <w:t>0.311744</w:t>
            </w: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198" w:lineRule="exact"/>
              <w:ind w:left="48" w:right="10"/>
              <w:jc w:val="center"/>
              <w:rPr>
                <w:sz w:val="18"/>
              </w:rPr>
            </w:pPr>
            <w:r>
              <w:rPr>
                <w:spacing w:val="-2"/>
                <w:sz w:val="18"/>
              </w:rPr>
              <w:t>(0.00073)</w:t>
            </w:r>
          </w:p>
        </w:tc>
        <w:tc>
          <w:tcPr>
            <w:tcW w:w="1561" w:type="dxa"/>
          </w:tcPr>
          <w:p>
            <w:pPr>
              <w:pStyle w:val="TableParagraph"/>
              <w:spacing w:line="198" w:lineRule="exact"/>
              <w:ind w:left="52" w:right="4"/>
              <w:jc w:val="center"/>
              <w:rPr>
                <w:sz w:val="18"/>
              </w:rPr>
            </w:pPr>
            <w:r>
              <w:rPr>
                <w:spacing w:val="-2"/>
                <w:sz w:val="18"/>
              </w:rPr>
              <w:t>(0.00377)</w:t>
            </w:r>
          </w:p>
        </w:tc>
        <w:tc>
          <w:tcPr>
            <w:tcW w:w="1350" w:type="dxa"/>
          </w:tcPr>
          <w:p>
            <w:pPr>
              <w:pStyle w:val="TableParagraph"/>
              <w:spacing w:line="198" w:lineRule="exact"/>
              <w:ind w:left="52" w:right="74"/>
              <w:jc w:val="center"/>
              <w:rPr>
                <w:sz w:val="18"/>
              </w:rPr>
            </w:pPr>
            <w:r>
              <w:rPr>
                <w:spacing w:val="-2"/>
                <w:sz w:val="18"/>
              </w:rPr>
              <w:t>(0.22799)</w:t>
            </w:r>
          </w:p>
        </w:tc>
        <w:tc>
          <w:tcPr>
            <w:tcW w:w="1418" w:type="dxa"/>
          </w:tcPr>
          <w:p>
            <w:pPr>
              <w:pStyle w:val="TableParagraph"/>
              <w:spacing w:line="198" w:lineRule="exact"/>
              <w:ind w:left="53" w:right="10"/>
              <w:jc w:val="center"/>
              <w:rPr>
                <w:sz w:val="18"/>
              </w:rPr>
            </w:pPr>
            <w:r>
              <w:rPr>
                <w:spacing w:val="-2"/>
                <w:sz w:val="18"/>
              </w:rPr>
              <w:t>(0.18180)</w:t>
            </w:r>
          </w:p>
        </w:tc>
        <w:tc>
          <w:tcPr>
            <w:tcW w:w="1406" w:type="dxa"/>
          </w:tcPr>
          <w:p>
            <w:pPr>
              <w:pStyle w:val="TableParagraph"/>
              <w:spacing w:line="198" w:lineRule="exact"/>
              <w:ind w:left="154" w:right="102"/>
              <w:jc w:val="center"/>
              <w:rPr>
                <w:sz w:val="18"/>
              </w:rPr>
            </w:pPr>
            <w:r>
              <w:rPr>
                <w:spacing w:val="-2"/>
                <w:sz w:val="18"/>
              </w:rPr>
              <w:t>(0.01119)</w:t>
            </w:r>
          </w:p>
        </w:tc>
        <w:tc>
          <w:tcPr>
            <w:tcW w:w="1439" w:type="dxa"/>
          </w:tcPr>
          <w:p>
            <w:pPr>
              <w:pStyle w:val="TableParagraph"/>
              <w:spacing w:line="198" w:lineRule="exact"/>
              <w:ind w:left="51" w:right="7"/>
              <w:jc w:val="center"/>
              <w:rPr>
                <w:sz w:val="18"/>
              </w:rPr>
            </w:pPr>
            <w:r>
              <w:rPr>
                <w:spacing w:val="-2"/>
                <w:sz w:val="18"/>
              </w:rPr>
              <w:t>(0.00104)</w:t>
            </w:r>
          </w:p>
        </w:tc>
        <w:tc>
          <w:tcPr>
            <w:tcW w:w="1409" w:type="dxa"/>
          </w:tcPr>
          <w:p>
            <w:pPr>
              <w:pStyle w:val="TableParagraph"/>
              <w:spacing w:line="198" w:lineRule="exact"/>
              <w:ind w:left="56" w:right="27"/>
              <w:jc w:val="center"/>
              <w:rPr>
                <w:sz w:val="18"/>
              </w:rPr>
            </w:pPr>
            <w:r>
              <w:rPr>
                <w:spacing w:val="-2"/>
                <w:sz w:val="18"/>
              </w:rPr>
              <w:t>(0.68095)</w:t>
            </w: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before="5"/>
              <w:ind w:left="2" w:right="81"/>
              <w:jc w:val="center"/>
              <w:rPr>
                <w:sz w:val="18"/>
              </w:rPr>
            </w:pPr>
            <w:r>
              <w:rPr>
                <w:spacing w:val="-2"/>
                <w:sz w:val="18"/>
              </w:rPr>
              <w:t>D(REM)</w:t>
            </w:r>
          </w:p>
        </w:tc>
        <w:tc>
          <w:tcPr>
            <w:tcW w:w="1266" w:type="dxa"/>
          </w:tcPr>
          <w:p>
            <w:pPr>
              <w:pStyle w:val="TableParagraph"/>
              <w:spacing w:before="5"/>
              <w:ind w:left="38" w:right="48"/>
              <w:jc w:val="center"/>
              <w:rPr>
                <w:sz w:val="18"/>
              </w:rPr>
            </w:pPr>
            <w:r>
              <w:rPr>
                <w:spacing w:val="-2"/>
                <w:sz w:val="18"/>
              </w:rPr>
              <w:t>-0.051761</w:t>
            </w:r>
          </w:p>
        </w:tc>
        <w:tc>
          <w:tcPr>
            <w:tcW w:w="1561" w:type="dxa"/>
          </w:tcPr>
          <w:p>
            <w:pPr>
              <w:pStyle w:val="TableParagraph"/>
              <w:spacing w:before="5"/>
              <w:ind w:left="51" w:right="4"/>
              <w:jc w:val="center"/>
              <w:rPr>
                <w:sz w:val="18"/>
              </w:rPr>
            </w:pPr>
            <w:r>
              <w:rPr>
                <w:spacing w:val="-2"/>
                <w:sz w:val="18"/>
              </w:rPr>
              <w:t>0.196997</w:t>
            </w:r>
          </w:p>
        </w:tc>
        <w:tc>
          <w:tcPr>
            <w:tcW w:w="1350" w:type="dxa"/>
          </w:tcPr>
          <w:p>
            <w:pPr>
              <w:pStyle w:val="TableParagraph"/>
              <w:spacing w:before="5"/>
              <w:ind w:left="51" w:right="74"/>
              <w:jc w:val="center"/>
              <w:rPr>
                <w:sz w:val="18"/>
              </w:rPr>
            </w:pPr>
            <w:r>
              <w:rPr>
                <w:spacing w:val="-2"/>
                <w:sz w:val="18"/>
              </w:rPr>
              <w:t>11.13292</w:t>
            </w:r>
          </w:p>
        </w:tc>
        <w:tc>
          <w:tcPr>
            <w:tcW w:w="1418" w:type="dxa"/>
          </w:tcPr>
          <w:p>
            <w:pPr>
              <w:pStyle w:val="TableParagraph"/>
              <w:spacing w:before="5"/>
              <w:ind w:left="53" w:right="10"/>
              <w:jc w:val="center"/>
              <w:rPr>
                <w:sz w:val="18"/>
              </w:rPr>
            </w:pPr>
            <w:r>
              <w:rPr>
                <w:spacing w:val="-2"/>
                <w:sz w:val="18"/>
              </w:rPr>
              <w:t>8.353200</w:t>
            </w:r>
          </w:p>
        </w:tc>
        <w:tc>
          <w:tcPr>
            <w:tcW w:w="1406" w:type="dxa"/>
          </w:tcPr>
          <w:p>
            <w:pPr>
              <w:pStyle w:val="TableParagraph"/>
              <w:spacing w:before="5"/>
              <w:ind w:left="103" w:right="102"/>
              <w:jc w:val="center"/>
              <w:rPr>
                <w:sz w:val="18"/>
              </w:rPr>
            </w:pPr>
            <w:r>
              <w:rPr>
                <w:spacing w:val="-2"/>
                <w:sz w:val="18"/>
              </w:rPr>
              <w:t>-1.082503</w:t>
            </w:r>
          </w:p>
        </w:tc>
        <w:tc>
          <w:tcPr>
            <w:tcW w:w="1439" w:type="dxa"/>
          </w:tcPr>
          <w:p>
            <w:pPr>
              <w:pStyle w:val="TableParagraph"/>
              <w:spacing w:before="5"/>
              <w:ind w:left="50" w:right="7"/>
              <w:jc w:val="center"/>
              <w:rPr>
                <w:sz w:val="18"/>
              </w:rPr>
            </w:pPr>
            <w:r>
              <w:rPr>
                <w:spacing w:val="-2"/>
                <w:sz w:val="18"/>
              </w:rPr>
              <w:t>0.055947</w:t>
            </w:r>
          </w:p>
        </w:tc>
        <w:tc>
          <w:tcPr>
            <w:tcW w:w="1409" w:type="dxa"/>
          </w:tcPr>
          <w:p>
            <w:pPr>
              <w:pStyle w:val="TableParagraph"/>
              <w:spacing w:before="5"/>
              <w:ind w:left="56" w:right="27"/>
              <w:jc w:val="center"/>
              <w:rPr>
                <w:sz w:val="18"/>
              </w:rPr>
            </w:pPr>
            <w:r>
              <w:rPr>
                <w:spacing w:val="-2"/>
                <w:sz w:val="18"/>
              </w:rPr>
              <w:t>23.03043</w:t>
            </w: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(0.02104)</w:t>
            </w:r>
          </w:p>
        </w:tc>
        <w:tc>
          <w:tcPr>
            <w:tcW w:w="1561" w:type="dxa"/>
          </w:tcPr>
          <w:p>
            <w:pPr>
              <w:pStyle w:val="TableParagraph"/>
              <w:ind w:left="52" w:right="4"/>
              <w:jc w:val="center"/>
              <w:rPr>
                <w:sz w:val="18"/>
              </w:rPr>
            </w:pPr>
            <w:r>
              <w:rPr>
                <w:spacing w:val="-2"/>
                <w:sz w:val="18"/>
              </w:rPr>
              <w:t>(0.10786)</w:t>
            </w:r>
          </w:p>
        </w:tc>
        <w:tc>
          <w:tcPr>
            <w:tcW w:w="1350" w:type="dxa"/>
          </w:tcPr>
          <w:p>
            <w:pPr>
              <w:pStyle w:val="TableParagraph"/>
              <w:ind w:left="52" w:right="74"/>
              <w:jc w:val="center"/>
              <w:rPr>
                <w:sz w:val="18"/>
              </w:rPr>
            </w:pPr>
            <w:r>
              <w:rPr>
                <w:spacing w:val="-2"/>
                <w:sz w:val="18"/>
              </w:rPr>
              <w:t>(6.53086)</w:t>
            </w:r>
          </w:p>
        </w:tc>
        <w:tc>
          <w:tcPr>
            <w:tcW w:w="1418" w:type="dxa"/>
          </w:tcPr>
          <w:p>
            <w:pPr>
              <w:pStyle w:val="TableParagraph"/>
              <w:ind w:left="53" w:right="10"/>
              <w:jc w:val="center"/>
              <w:rPr>
                <w:sz w:val="18"/>
              </w:rPr>
            </w:pPr>
            <w:r>
              <w:rPr>
                <w:spacing w:val="-2"/>
                <w:sz w:val="18"/>
              </w:rPr>
              <w:t>(5.20774)</w:t>
            </w:r>
          </w:p>
        </w:tc>
        <w:tc>
          <w:tcPr>
            <w:tcW w:w="1406" w:type="dxa"/>
          </w:tcPr>
          <w:p>
            <w:pPr>
              <w:pStyle w:val="TableParagraph"/>
              <w:ind w:left="154" w:right="102"/>
              <w:jc w:val="center"/>
              <w:rPr>
                <w:sz w:val="18"/>
              </w:rPr>
            </w:pPr>
            <w:r>
              <w:rPr>
                <w:spacing w:val="-2"/>
                <w:sz w:val="18"/>
              </w:rPr>
              <w:t>(0.32065)</w:t>
            </w:r>
          </w:p>
        </w:tc>
        <w:tc>
          <w:tcPr>
            <w:tcW w:w="1439" w:type="dxa"/>
          </w:tcPr>
          <w:p>
            <w:pPr>
              <w:pStyle w:val="TableParagraph"/>
              <w:ind w:left="51" w:right="7"/>
              <w:jc w:val="center"/>
              <w:rPr>
                <w:sz w:val="18"/>
              </w:rPr>
            </w:pPr>
            <w:r>
              <w:rPr>
                <w:spacing w:val="-2"/>
                <w:sz w:val="18"/>
              </w:rPr>
              <w:t>(0.02965)</w:t>
            </w:r>
          </w:p>
        </w:tc>
        <w:tc>
          <w:tcPr>
            <w:tcW w:w="1409" w:type="dxa"/>
          </w:tcPr>
          <w:p>
            <w:pPr>
              <w:pStyle w:val="TableParagraph"/>
              <w:ind w:left="56" w:right="27"/>
              <w:jc w:val="center"/>
              <w:rPr>
                <w:sz w:val="18"/>
              </w:rPr>
            </w:pPr>
            <w:r>
              <w:rPr>
                <w:spacing w:val="-2"/>
                <w:sz w:val="18"/>
              </w:rPr>
              <w:t>(19.5063)</w:t>
            </w: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right="81"/>
              <w:jc w:val="center"/>
              <w:rPr>
                <w:sz w:val="18"/>
              </w:rPr>
            </w:pPr>
            <w:r>
              <w:rPr>
                <w:spacing w:val="-2"/>
                <w:sz w:val="18"/>
              </w:rPr>
              <w:t>D(ODA)</w:t>
            </w:r>
          </w:p>
        </w:tc>
        <w:tc>
          <w:tcPr>
            <w:tcW w:w="1266" w:type="dxa"/>
          </w:tcPr>
          <w:p>
            <w:pPr>
              <w:pStyle w:val="TableParagraph"/>
              <w:ind w:left="47" w:right="10"/>
              <w:jc w:val="center"/>
              <w:rPr>
                <w:sz w:val="18"/>
              </w:rPr>
            </w:pPr>
            <w:r>
              <w:rPr>
                <w:spacing w:val="-2"/>
                <w:sz w:val="18"/>
              </w:rPr>
              <w:t>0.357145</w:t>
            </w:r>
          </w:p>
        </w:tc>
        <w:tc>
          <w:tcPr>
            <w:tcW w:w="1561" w:type="dxa"/>
          </w:tcPr>
          <w:p>
            <w:pPr>
              <w:pStyle w:val="TableParagraph"/>
              <w:ind w:left="51" w:right="4"/>
              <w:jc w:val="center"/>
              <w:rPr>
                <w:sz w:val="18"/>
              </w:rPr>
            </w:pPr>
            <w:r>
              <w:rPr>
                <w:spacing w:val="-2"/>
                <w:sz w:val="18"/>
              </w:rPr>
              <w:t>0.734005</w:t>
            </w:r>
          </w:p>
        </w:tc>
        <w:tc>
          <w:tcPr>
            <w:tcW w:w="1350" w:type="dxa"/>
          </w:tcPr>
          <w:p>
            <w:pPr>
              <w:pStyle w:val="TableParagraph"/>
              <w:ind w:left="1" w:right="74"/>
              <w:jc w:val="center"/>
              <w:rPr>
                <w:sz w:val="18"/>
              </w:rPr>
            </w:pPr>
            <w:r>
              <w:rPr>
                <w:spacing w:val="-2"/>
                <w:sz w:val="18"/>
              </w:rPr>
              <w:t>-106.3214</w:t>
            </w:r>
          </w:p>
        </w:tc>
        <w:tc>
          <w:tcPr>
            <w:tcW w:w="1418" w:type="dxa"/>
          </w:tcPr>
          <w:p>
            <w:pPr>
              <w:pStyle w:val="TableParagraph"/>
              <w:ind w:left="43" w:right="48"/>
              <w:jc w:val="center"/>
              <w:rPr>
                <w:sz w:val="18"/>
              </w:rPr>
            </w:pPr>
            <w:r>
              <w:rPr>
                <w:spacing w:val="-2"/>
                <w:sz w:val="18"/>
              </w:rPr>
              <w:t>-28.61129</w:t>
            </w:r>
          </w:p>
        </w:tc>
        <w:tc>
          <w:tcPr>
            <w:tcW w:w="1406" w:type="dxa"/>
          </w:tcPr>
          <w:p>
            <w:pPr>
              <w:pStyle w:val="TableParagraph"/>
              <w:ind w:left="154" w:right="102"/>
              <w:jc w:val="center"/>
              <w:rPr>
                <w:sz w:val="18"/>
              </w:rPr>
            </w:pPr>
            <w:r>
              <w:rPr>
                <w:spacing w:val="-2"/>
                <w:sz w:val="18"/>
              </w:rPr>
              <w:t>8.084104</w:t>
            </w:r>
          </w:p>
        </w:tc>
        <w:tc>
          <w:tcPr>
            <w:tcW w:w="1439" w:type="dxa"/>
          </w:tcPr>
          <w:p>
            <w:pPr>
              <w:pStyle w:val="TableParagraph"/>
              <w:ind w:left="44" w:right="48"/>
              <w:jc w:val="center"/>
              <w:rPr>
                <w:sz w:val="18"/>
              </w:rPr>
            </w:pPr>
            <w:r>
              <w:rPr>
                <w:spacing w:val="-2"/>
                <w:sz w:val="18"/>
              </w:rPr>
              <w:t>-1.080048</w:t>
            </w:r>
          </w:p>
        </w:tc>
        <w:tc>
          <w:tcPr>
            <w:tcW w:w="1409" w:type="dxa"/>
          </w:tcPr>
          <w:p>
            <w:pPr>
              <w:pStyle w:val="TableParagraph"/>
              <w:ind w:left="56" w:right="75"/>
              <w:jc w:val="center"/>
              <w:rPr>
                <w:sz w:val="18"/>
              </w:rPr>
            </w:pPr>
            <w:r>
              <w:rPr>
                <w:spacing w:val="-2"/>
                <w:sz w:val="18"/>
              </w:rPr>
              <w:t>-60.88081</w:t>
            </w: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198" w:lineRule="exact"/>
              <w:ind w:left="48" w:right="10"/>
              <w:jc w:val="center"/>
              <w:rPr>
                <w:sz w:val="18"/>
              </w:rPr>
            </w:pPr>
            <w:r>
              <w:rPr>
                <w:spacing w:val="-2"/>
                <w:sz w:val="18"/>
              </w:rPr>
              <w:t>(0.16226)</w:t>
            </w:r>
          </w:p>
        </w:tc>
        <w:tc>
          <w:tcPr>
            <w:tcW w:w="1561" w:type="dxa"/>
          </w:tcPr>
          <w:p>
            <w:pPr>
              <w:pStyle w:val="TableParagraph"/>
              <w:spacing w:line="198" w:lineRule="exact"/>
              <w:ind w:left="52" w:right="4"/>
              <w:jc w:val="center"/>
              <w:rPr>
                <w:sz w:val="18"/>
              </w:rPr>
            </w:pPr>
            <w:r>
              <w:rPr>
                <w:spacing w:val="-2"/>
                <w:sz w:val="18"/>
              </w:rPr>
              <w:t>(0.83196)</w:t>
            </w:r>
          </w:p>
        </w:tc>
        <w:tc>
          <w:tcPr>
            <w:tcW w:w="1350" w:type="dxa"/>
          </w:tcPr>
          <w:p>
            <w:pPr>
              <w:pStyle w:val="TableParagraph"/>
              <w:spacing w:line="198" w:lineRule="exact"/>
              <w:ind w:left="52" w:right="74"/>
              <w:jc w:val="center"/>
              <w:rPr>
                <w:sz w:val="18"/>
              </w:rPr>
            </w:pPr>
            <w:r>
              <w:rPr>
                <w:spacing w:val="-2"/>
                <w:sz w:val="18"/>
              </w:rPr>
              <w:t>(50.3752)</w:t>
            </w:r>
          </w:p>
        </w:tc>
        <w:tc>
          <w:tcPr>
            <w:tcW w:w="1418" w:type="dxa"/>
          </w:tcPr>
          <w:p>
            <w:pPr>
              <w:pStyle w:val="TableParagraph"/>
              <w:spacing w:line="198" w:lineRule="exact"/>
              <w:ind w:left="53" w:right="10"/>
              <w:jc w:val="center"/>
              <w:rPr>
                <w:sz w:val="18"/>
              </w:rPr>
            </w:pPr>
            <w:r>
              <w:rPr>
                <w:spacing w:val="-2"/>
                <w:sz w:val="18"/>
              </w:rPr>
              <w:t>(40.1695)</w:t>
            </w:r>
          </w:p>
        </w:tc>
        <w:tc>
          <w:tcPr>
            <w:tcW w:w="1406" w:type="dxa"/>
          </w:tcPr>
          <w:p>
            <w:pPr>
              <w:pStyle w:val="TableParagraph"/>
              <w:spacing w:line="198" w:lineRule="exact"/>
              <w:ind w:left="154" w:right="102"/>
              <w:jc w:val="center"/>
              <w:rPr>
                <w:sz w:val="18"/>
              </w:rPr>
            </w:pPr>
            <w:r>
              <w:rPr>
                <w:spacing w:val="-2"/>
                <w:sz w:val="18"/>
              </w:rPr>
              <w:t>(2.47332)</w:t>
            </w:r>
          </w:p>
        </w:tc>
        <w:tc>
          <w:tcPr>
            <w:tcW w:w="1439" w:type="dxa"/>
          </w:tcPr>
          <w:p>
            <w:pPr>
              <w:pStyle w:val="TableParagraph"/>
              <w:spacing w:line="198" w:lineRule="exact"/>
              <w:ind w:left="51" w:right="7"/>
              <w:jc w:val="center"/>
              <w:rPr>
                <w:sz w:val="18"/>
              </w:rPr>
            </w:pPr>
            <w:r>
              <w:rPr>
                <w:spacing w:val="-2"/>
                <w:sz w:val="18"/>
              </w:rPr>
              <w:t>(0.22869)</w:t>
            </w:r>
          </w:p>
        </w:tc>
        <w:tc>
          <w:tcPr>
            <w:tcW w:w="1409" w:type="dxa"/>
          </w:tcPr>
          <w:p>
            <w:pPr>
              <w:pStyle w:val="TableParagraph"/>
              <w:spacing w:line="198" w:lineRule="exact"/>
              <w:ind w:left="56" w:right="27"/>
              <w:jc w:val="center"/>
              <w:rPr>
                <w:sz w:val="18"/>
              </w:rPr>
            </w:pPr>
            <w:r>
              <w:rPr>
                <w:spacing w:val="-2"/>
                <w:sz w:val="18"/>
              </w:rPr>
              <w:t>(150.460)</w:t>
            </w: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before="5"/>
              <w:ind w:right="81"/>
              <w:jc w:val="center"/>
              <w:rPr>
                <w:sz w:val="18"/>
              </w:rPr>
            </w:pPr>
            <w:r>
              <w:rPr>
                <w:spacing w:val="-2"/>
                <w:sz w:val="18"/>
              </w:rPr>
              <w:t>D(CPS_GDP)</w:t>
            </w:r>
          </w:p>
        </w:tc>
        <w:tc>
          <w:tcPr>
            <w:tcW w:w="1266" w:type="dxa"/>
          </w:tcPr>
          <w:p>
            <w:pPr>
              <w:pStyle w:val="TableParagraph"/>
              <w:spacing w:before="5"/>
              <w:ind w:left="47" w:right="10"/>
              <w:jc w:val="center"/>
              <w:rPr>
                <w:sz w:val="18"/>
              </w:rPr>
            </w:pPr>
            <w:r>
              <w:rPr>
                <w:spacing w:val="-2"/>
                <w:sz w:val="18"/>
              </w:rPr>
              <w:t>0.000280</w:t>
            </w:r>
          </w:p>
        </w:tc>
        <w:tc>
          <w:tcPr>
            <w:tcW w:w="1561" w:type="dxa"/>
          </w:tcPr>
          <w:p>
            <w:pPr>
              <w:pStyle w:val="TableParagraph"/>
              <w:spacing w:before="5"/>
              <w:ind w:left="48" w:right="48"/>
              <w:jc w:val="center"/>
              <w:rPr>
                <w:sz w:val="18"/>
              </w:rPr>
            </w:pPr>
            <w:r>
              <w:rPr>
                <w:spacing w:val="-2"/>
                <w:sz w:val="18"/>
              </w:rPr>
              <w:t>-0.001141</w:t>
            </w:r>
          </w:p>
        </w:tc>
        <w:tc>
          <w:tcPr>
            <w:tcW w:w="1350" w:type="dxa"/>
          </w:tcPr>
          <w:p>
            <w:pPr>
              <w:pStyle w:val="TableParagraph"/>
              <w:spacing w:before="5"/>
              <w:ind w:left="51" w:right="74"/>
              <w:jc w:val="center"/>
              <w:rPr>
                <w:sz w:val="18"/>
              </w:rPr>
            </w:pPr>
            <w:r>
              <w:rPr>
                <w:spacing w:val="-2"/>
                <w:sz w:val="18"/>
              </w:rPr>
              <w:t>0.047567</w:t>
            </w:r>
          </w:p>
        </w:tc>
        <w:tc>
          <w:tcPr>
            <w:tcW w:w="1418" w:type="dxa"/>
          </w:tcPr>
          <w:p>
            <w:pPr>
              <w:pStyle w:val="TableParagraph"/>
              <w:spacing w:before="5"/>
              <w:ind w:left="53" w:right="10"/>
              <w:jc w:val="center"/>
              <w:rPr>
                <w:sz w:val="18"/>
              </w:rPr>
            </w:pPr>
            <w:r>
              <w:rPr>
                <w:spacing w:val="-2"/>
                <w:sz w:val="18"/>
              </w:rPr>
              <w:t>0.009703</w:t>
            </w:r>
          </w:p>
        </w:tc>
        <w:tc>
          <w:tcPr>
            <w:tcW w:w="1406" w:type="dxa"/>
          </w:tcPr>
          <w:p>
            <w:pPr>
              <w:pStyle w:val="TableParagraph"/>
              <w:spacing w:before="5"/>
              <w:ind w:left="103" w:right="102"/>
              <w:jc w:val="center"/>
              <w:rPr>
                <w:sz w:val="18"/>
              </w:rPr>
            </w:pPr>
            <w:r>
              <w:rPr>
                <w:spacing w:val="-2"/>
                <w:sz w:val="18"/>
              </w:rPr>
              <w:t>-0.005007</w:t>
            </w:r>
          </w:p>
        </w:tc>
        <w:tc>
          <w:tcPr>
            <w:tcW w:w="1439" w:type="dxa"/>
          </w:tcPr>
          <w:p>
            <w:pPr>
              <w:pStyle w:val="TableParagraph"/>
              <w:spacing w:before="5"/>
              <w:ind w:left="47" w:right="7"/>
              <w:jc w:val="center"/>
              <w:rPr>
                <w:sz w:val="18"/>
              </w:rPr>
            </w:pPr>
            <w:r>
              <w:rPr>
                <w:spacing w:val="-2"/>
                <w:sz w:val="18"/>
              </w:rPr>
              <w:t>6.05E-</w:t>
            </w:r>
            <w:r>
              <w:rPr>
                <w:spacing w:val="-5"/>
                <w:sz w:val="18"/>
              </w:rPr>
              <w:t>05</w:t>
            </w:r>
          </w:p>
        </w:tc>
        <w:tc>
          <w:tcPr>
            <w:tcW w:w="1409" w:type="dxa"/>
          </w:tcPr>
          <w:p>
            <w:pPr>
              <w:pStyle w:val="TableParagraph"/>
              <w:spacing w:before="5"/>
              <w:ind w:left="56" w:right="75"/>
              <w:jc w:val="center"/>
              <w:rPr>
                <w:sz w:val="18"/>
              </w:rPr>
            </w:pPr>
            <w:r>
              <w:rPr>
                <w:spacing w:val="-2"/>
                <w:sz w:val="18"/>
              </w:rPr>
              <w:t>-0.786805</w:t>
            </w: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ind w:left="48" w:right="10"/>
              <w:jc w:val="center"/>
              <w:rPr>
                <w:sz w:val="18"/>
              </w:rPr>
            </w:pPr>
            <w:r>
              <w:rPr>
                <w:spacing w:val="-2"/>
                <w:sz w:val="18"/>
              </w:rPr>
              <w:t>(0.00016)</w:t>
            </w:r>
          </w:p>
        </w:tc>
        <w:tc>
          <w:tcPr>
            <w:tcW w:w="1561" w:type="dxa"/>
          </w:tcPr>
          <w:p>
            <w:pPr>
              <w:pStyle w:val="TableParagraph"/>
              <w:ind w:left="52" w:right="4"/>
              <w:jc w:val="center"/>
              <w:rPr>
                <w:sz w:val="18"/>
              </w:rPr>
            </w:pPr>
            <w:r>
              <w:rPr>
                <w:spacing w:val="-2"/>
                <w:sz w:val="18"/>
              </w:rPr>
              <w:t>(0.00082)</w:t>
            </w:r>
          </w:p>
        </w:tc>
        <w:tc>
          <w:tcPr>
            <w:tcW w:w="1350" w:type="dxa"/>
          </w:tcPr>
          <w:p>
            <w:pPr>
              <w:pStyle w:val="TableParagraph"/>
              <w:ind w:left="52" w:right="74"/>
              <w:jc w:val="center"/>
              <w:rPr>
                <w:sz w:val="18"/>
              </w:rPr>
            </w:pPr>
            <w:r>
              <w:rPr>
                <w:spacing w:val="-2"/>
                <w:sz w:val="18"/>
              </w:rPr>
              <w:t>(0.04949)</w:t>
            </w:r>
          </w:p>
        </w:tc>
        <w:tc>
          <w:tcPr>
            <w:tcW w:w="1418" w:type="dxa"/>
          </w:tcPr>
          <w:p>
            <w:pPr>
              <w:pStyle w:val="TableParagraph"/>
              <w:ind w:left="53" w:right="10"/>
              <w:jc w:val="center"/>
              <w:rPr>
                <w:sz w:val="18"/>
              </w:rPr>
            </w:pPr>
            <w:r>
              <w:rPr>
                <w:spacing w:val="-2"/>
                <w:sz w:val="18"/>
              </w:rPr>
              <w:t>(0.03947)</w:t>
            </w:r>
          </w:p>
        </w:tc>
        <w:tc>
          <w:tcPr>
            <w:tcW w:w="1406" w:type="dxa"/>
          </w:tcPr>
          <w:p>
            <w:pPr>
              <w:pStyle w:val="TableParagraph"/>
              <w:ind w:left="154" w:right="102"/>
              <w:jc w:val="center"/>
              <w:rPr>
                <w:sz w:val="18"/>
              </w:rPr>
            </w:pPr>
            <w:r>
              <w:rPr>
                <w:spacing w:val="-2"/>
                <w:sz w:val="18"/>
              </w:rPr>
              <w:t>(0.00243)</w:t>
            </w:r>
          </w:p>
        </w:tc>
        <w:tc>
          <w:tcPr>
            <w:tcW w:w="1439" w:type="dxa"/>
          </w:tcPr>
          <w:p>
            <w:pPr>
              <w:pStyle w:val="TableParagraph"/>
              <w:ind w:left="51" w:right="7"/>
              <w:jc w:val="center"/>
              <w:rPr>
                <w:sz w:val="18"/>
              </w:rPr>
            </w:pPr>
            <w:r>
              <w:rPr>
                <w:spacing w:val="-2"/>
                <w:sz w:val="18"/>
              </w:rPr>
              <w:t>(0.00022)</w:t>
            </w:r>
          </w:p>
        </w:tc>
        <w:tc>
          <w:tcPr>
            <w:tcW w:w="1409" w:type="dxa"/>
          </w:tcPr>
          <w:p>
            <w:pPr>
              <w:pStyle w:val="TableParagraph"/>
              <w:ind w:left="56" w:right="27"/>
              <w:jc w:val="center"/>
              <w:rPr>
                <w:sz w:val="18"/>
              </w:rPr>
            </w:pPr>
            <w:r>
              <w:rPr>
                <w:spacing w:val="-2"/>
                <w:sz w:val="18"/>
              </w:rPr>
              <w:t>(0.14782)</w:t>
            </w:r>
          </w:p>
        </w:tc>
        <w:tc>
          <w:tcPr>
            <w:tcW w:w="2834" w:type="dxa"/>
          </w:tcPr>
          <w:p>
            <w:pPr>
              <w:pStyle w:val="TableParagraph"/>
              <w:spacing w:line="240" w:lineRule="auto" w:before="0"/>
              <w:rPr>
                <w:rFonts w:ascii="Times New Roman"/>
                <w:sz w:val="16"/>
              </w:rPr>
            </w:pPr>
          </w:p>
        </w:tc>
      </w:tr>
      <w:tr>
        <w:trPr>
          <w:trHeight w:val="225" w:hRule="atLeast"/>
        </w:trPr>
        <w:tc>
          <w:tcPr>
            <w:tcW w:w="1467" w:type="dxa"/>
          </w:tcPr>
          <w:p>
            <w:pPr>
              <w:pStyle w:val="TableParagraph"/>
              <w:ind w:left="2" w:right="81"/>
              <w:jc w:val="center"/>
              <w:rPr>
                <w:sz w:val="18"/>
              </w:rPr>
            </w:pPr>
            <w:r>
              <w:rPr>
                <w:spacing w:val="-2"/>
                <w:sz w:val="18"/>
              </w:rPr>
              <w:t>D(INT)</w:t>
            </w:r>
          </w:p>
        </w:tc>
        <w:tc>
          <w:tcPr>
            <w:tcW w:w="1266" w:type="dxa"/>
          </w:tcPr>
          <w:p>
            <w:pPr>
              <w:pStyle w:val="TableParagraph"/>
              <w:ind w:left="38" w:right="48"/>
              <w:jc w:val="center"/>
              <w:rPr>
                <w:sz w:val="18"/>
              </w:rPr>
            </w:pPr>
            <w:r>
              <w:rPr>
                <w:spacing w:val="-2"/>
                <w:sz w:val="18"/>
              </w:rPr>
              <w:t>-0.000294</w:t>
            </w:r>
          </w:p>
        </w:tc>
        <w:tc>
          <w:tcPr>
            <w:tcW w:w="1561" w:type="dxa"/>
          </w:tcPr>
          <w:p>
            <w:pPr>
              <w:pStyle w:val="TableParagraph"/>
              <w:ind w:left="51" w:right="4"/>
              <w:jc w:val="center"/>
              <w:rPr>
                <w:sz w:val="18"/>
              </w:rPr>
            </w:pPr>
            <w:r>
              <w:rPr>
                <w:spacing w:val="-2"/>
                <w:sz w:val="18"/>
              </w:rPr>
              <w:t>0.001981</w:t>
            </w:r>
          </w:p>
        </w:tc>
        <w:tc>
          <w:tcPr>
            <w:tcW w:w="1350" w:type="dxa"/>
          </w:tcPr>
          <w:p>
            <w:pPr>
              <w:pStyle w:val="TableParagraph"/>
              <w:ind w:left="51" w:right="74"/>
              <w:jc w:val="center"/>
              <w:rPr>
                <w:sz w:val="18"/>
              </w:rPr>
            </w:pPr>
            <w:r>
              <w:rPr>
                <w:spacing w:val="-2"/>
                <w:sz w:val="18"/>
              </w:rPr>
              <w:t>0.117626</w:t>
            </w:r>
          </w:p>
        </w:tc>
        <w:tc>
          <w:tcPr>
            <w:tcW w:w="1418" w:type="dxa"/>
          </w:tcPr>
          <w:p>
            <w:pPr>
              <w:pStyle w:val="TableParagraph"/>
              <w:ind w:left="43" w:right="48"/>
              <w:jc w:val="center"/>
              <w:rPr>
                <w:sz w:val="18"/>
              </w:rPr>
            </w:pPr>
            <w:r>
              <w:rPr>
                <w:spacing w:val="-2"/>
                <w:sz w:val="18"/>
              </w:rPr>
              <w:t>-0.127872</w:t>
            </w:r>
          </w:p>
        </w:tc>
        <w:tc>
          <w:tcPr>
            <w:tcW w:w="1406" w:type="dxa"/>
          </w:tcPr>
          <w:p>
            <w:pPr>
              <w:pStyle w:val="TableParagraph"/>
              <w:ind w:left="154" w:right="102"/>
              <w:jc w:val="center"/>
              <w:rPr>
                <w:sz w:val="18"/>
              </w:rPr>
            </w:pPr>
            <w:r>
              <w:rPr>
                <w:spacing w:val="-2"/>
                <w:sz w:val="18"/>
              </w:rPr>
              <w:t>0.003357</w:t>
            </w:r>
          </w:p>
        </w:tc>
        <w:tc>
          <w:tcPr>
            <w:tcW w:w="1439" w:type="dxa"/>
          </w:tcPr>
          <w:p>
            <w:pPr>
              <w:pStyle w:val="TableParagraph"/>
              <w:ind w:left="44" w:right="51"/>
              <w:jc w:val="center"/>
              <w:rPr>
                <w:sz w:val="18"/>
              </w:rPr>
            </w:pPr>
            <w:r>
              <w:rPr>
                <w:spacing w:val="-2"/>
                <w:sz w:val="18"/>
              </w:rPr>
              <w:t>-2.95E-</w:t>
            </w:r>
            <w:r>
              <w:rPr>
                <w:spacing w:val="-5"/>
                <w:sz w:val="18"/>
              </w:rPr>
              <w:t>05</w:t>
            </w:r>
          </w:p>
        </w:tc>
        <w:tc>
          <w:tcPr>
            <w:tcW w:w="1409" w:type="dxa"/>
          </w:tcPr>
          <w:p>
            <w:pPr>
              <w:pStyle w:val="TableParagraph"/>
              <w:ind w:left="56" w:right="27"/>
              <w:jc w:val="center"/>
              <w:rPr>
                <w:sz w:val="18"/>
              </w:rPr>
            </w:pPr>
            <w:r>
              <w:rPr>
                <w:spacing w:val="-2"/>
                <w:sz w:val="18"/>
              </w:rPr>
              <w:t>0.180454</w:t>
            </w: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198" w:lineRule="exact"/>
              <w:ind w:left="48" w:right="10"/>
              <w:jc w:val="center"/>
              <w:rPr>
                <w:sz w:val="18"/>
              </w:rPr>
            </w:pPr>
            <w:r>
              <w:rPr>
                <w:spacing w:val="-2"/>
                <w:sz w:val="18"/>
              </w:rPr>
              <w:t>(0.00040)</w:t>
            </w:r>
          </w:p>
        </w:tc>
        <w:tc>
          <w:tcPr>
            <w:tcW w:w="1561" w:type="dxa"/>
          </w:tcPr>
          <w:p>
            <w:pPr>
              <w:pStyle w:val="TableParagraph"/>
              <w:spacing w:line="198" w:lineRule="exact"/>
              <w:ind w:left="52" w:right="4"/>
              <w:jc w:val="center"/>
              <w:rPr>
                <w:sz w:val="18"/>
              </w:rPr>
            </w:pPr>
            <w:r>
              <w:rPr>
                <w:spacing w:val="-2"/>
                <w:sz w:val="18"/>
              </w:rPr>
              <w:t>(0.00203)</w:t>
            </w:r>
          </w:p>
        </w:tc>
        <w:tc>
          <w:tcPr>
            <w:tcW w:w="1350" w:type="dxa"/>
          </w:tcPr>
          <w:p>
            <w:pPr>
              <w:pStyle w:val="TableParagraph"/>
              <w:spacing w:line="198" w:lineRule="exact"/>
              <w:ind w:left="52" w:right="74"/>
              <w:jc w:val="center"/>
              <w:rPr>
                <w:sz w:val="18"/>
              </w:rPr>
            </w:pPr>
            <w:r>
              <w:rPr>
                <w:spacing w:val="-2"/>
                <w:sz w:val="18"/>
              </w:rPr>
              <w:t>(0.12289)</w:t>
            </w:r>
          </w:p>
        </w:tc>
        <w:tc>
          <w:tcPr>
            <w:tcW w:w="1418" w:type="dxa"/>
          </w:tcPr>
          <w:p>
            <w:pPr>
              <w:pStyle w:val="TableParagraph"/>
              <w:spacing w:line="198" w:lineRule="exact"/>
              <w:ind w:left="53" w:right="10"/>
              <w:jc w:val="center"/>
              <w:rPr>
                <w:sz w:val="18"/>
              </w:rPr>
            </w:pPr>
            <w:r>
              <w:rPr>
                <w:spacing w:val="-2"/>
                <w:sz w:val="18"/>
              </w:rPr>
              <w:t>(0.09799)</w:t>
            </w:r>
          </w:p>
        </w:tc>
        <w:tc>
          <w:tcPr>
            <w:tcW w:w="1406" w:type="dxa"/>
          </w:tcPr>
          <w:p>
            <w:pPr>
              <w:pStyle w:val="TableParagraph"/>
              <w:spacing w:line="198" w:lineRule="exact"/>
              <w:ind w:left="154" w:right="102"/>
              <w:jc w:val="center"/>
              <w:rPr>
                <w:sz w:val="18"/>
              </w:rPr>
            </w:pPr>
            <w:r>
              <w:rPr>
                <w:spacing w:val="-2"/>
                <w:sz w:val="18"/>
              </w:rPr>
              <w:t>(0.00603)</w:t>
            </w:r>
          </w:p>
        </w:tc>
        <w:tc>
          <w:tcPr>
            <w:tcW w:w="1439" w:type="dxa"/>
          </w:tcPr>
          <w:p>
            <w:pPr>
              <w:pStyle w:val="TableParagraph"/>
              <w:spacing w:line="198" w:lineRule="exact"/>
              <w:ind w:left="51" w:right="7"/>
              <w:jc w:val="center"/>
              <w:rPr>
                <w:sz w:val="18"/>
              </w:rPr>
            </w:pPr>
            <w:r>
              <w:rPr>
                <w:spacing w:val="-2"/>
                <w:sz w:val="18"/>
              </w:rPr>
              <w:t>(0.00056)</w:t>
            </w:r>
          </w:p>
        </w:tc>
        <w:tc>
          <w:tcPr>
            <w:tcW w:w="1409" w:type="dxa"/>
          </w:tcPr>
          <w:p>
            <w:pPr>
              <w:pStyle w:val="TableParagraph"/>
              <w:spacing w:line="198" w:lineRule="exact"/>
              <w:ind w:left="56" w:right="27"/>
              <w:jc w:val="center"/>
              <w:rPr>
                <w:sz w:val="18"/>
              </w:rPr>
            </w:pPr>
            <w:r>
              <w:rPr>
                <w:spacing w:val="-2"/>
                <w:sz w:val="18"/>
              </w:rPr>
              <w:t>(0.36705)</w:t>
            </w:r>
          </w:p>
        </w:tc>
        <w:tc>
          <w:tcPr>
            <w:tcW w:w="2834" w:type="dxa"/>
          </w:tcPr>
          <w:p>
            <w:pPr>
              <w:pStyle w:val="TableParagraph"/>
              <w:spacing w:line="240" w:lineRule="auto" w:before="0"/>
              <w:rPr>
                <w:rFonts w:ascii="Times New Roman"/>
                <w:sz w:val="16"/>
              </w:rPr>
            </w:pPr>
          </w:p>
        </w:tc>
      </w:tr>
      <w:tr>
        <w:trPr>
          <w:trHeight w:val="224" w:hRule="atLeast"/>
        </w:trPr>
        <w:tc>
          <w:tcPr>
            <w:tcW w:w="1467" w:type="dxa"/>
          </w:tcPr>
          <w:p>
            <w:pPr>
              <w:pStyle w:val="TableParagraph"/>
              <w:spacing w:before="5"/>
              <w:ind w:right="81"/>
              <w:jc w:val="center"/>
              <w:rPr>
                <w:sz w:val="18"/>
              </w:rPr>
            </w:pPr>
            <w:r>
              <w:rPr>
                <w:spacing w:val="-2"/>
                <w:sz w:val="18"/>
              </w:rPr>
              <w:t>D(EXCH)</w:t>
            </w:r>
          </w:p>
        </w:tc>
        <w:tc>
          <w:tcPr>
            <w:tcW w:w="1266" w:type="dxa"/>
          </w:tcPr>
          <w:p>
            <w:pPr>
              <w:pStyle w:val="TableParagraph"/>
              <w:spacing w:before="5"/>
              <w:ind w:left="47" w:right="10"/>
              <w:jc w:val="center"/>
              <w:rPr>
                <w:sz w:val="18"/>
              </w:rPr>
            </w:pPr>
            <w:r>
              <w:rPr>
                <w:spacing w:val="-2"/>
                <w:sz w:val="18"/>
              </w:rPr>
              <w:t>0.001281</w:t>
            </w:r>
          </w:p>
        </w:tc>
        <w:tc>
          <w:tcPr>
            <w:tcW w:w="1561" w:type="dxa"/>
          </w:tcPr>
          <w:p>
            <w:pPr>
              <w:pStyle w:val="TableParagraph"/>
              <w:spacing w:before="5"/>
              <w:ind w:left="48" w:right="48"/>
              <w:jc w:val="center"/>
              <w:rPr>
                <w:sz w:val="18"/>
              </w:rPr>
            </w:pPr>
            <w:r>
              <w:rPr>
                <w:spacing w:val="-2"/>
                <w:sz w:val="18"/>
              </w:rPr>
              <w:t>-0.018264</w:t>
            </w:r>
          </w:p>
        </w:tc>
        <w:tc>
          <w:tcPr>
            <w:tcW w:w="1350" w:type="dxa"/>
          </w:tcPr>
          <w:p>
            <w:pPr>
              <w:pStyle w:val="TableParagraph"/>
              <w:spacing w:before="5"/>
              <w:ind w:left="51" w:right="74"/>
              <w:jc w:val="center"/>
              <w:rPr>
                <w:sz w:val="18"/>
              </w:rPr>
            </w:pPr>
            <w:r>
              <w:rPr>
                <w:spacing w:val="-2"/>
                <w:sz w:val="18"/>
              </w:rPr>
              <w:t>0.113648</w:t>
            </w:r>
          </w:p>
        </w:tc>
        <w:tc>
          <w:tcPr>
            <w:tcW w:w="1418" w:type="dxa"/>
          </w:tcPr>
          <w:p>
            <w:pPr>
              <w:pStyle w:val="TableParagraph"/>
              <w:spacing w:before="5"/>
              <w:ind w:left="53" w:right="10"/>
              <w:jc w:val="center"/>
              <w:rPr>
                <w:sz w:val="18"/>
              </w:rPr>
            </w:pPr>
            <w:r>
              <w:rPr>
                <w:spacing w:val="-2"/>
                <w:sz w:val="18"/>
              </w:rPr>
              <w:t>0.559250</w:t>
            </w:r>
          </w:p>
        </w:tc>
        <w:tc>
          <w:tcPr>
            <w:tcW w:w="1406" w:type="dxa"/>
          </w:tcPr>
          <w:p>
            <w:pPr>
              <w:pStyle w:val="TableParagraph"/>
              <w:spacing w:before="5"/>
              <w:ind w:left="154" w:right="102"/>
              <w:jc w:val="center"/>
              <w:rPr>
                <w:sz w:val="18"/>
              </w:rPr>
            </w:pPr>
            <w:r>
              <w:rPr>
                <w:spacing w:val="-2"/>
                <w:sz w:val="18"/>
              </w:rPr>
              <w:t>0.011670</w:t>
            </w:r>
          </w:p>
        </w:tc>
        <w:tc>
          <w:tcPr>
            <w:tcW w:w="1439" w:type="dxa"/>
          </w:tcPr>
          <w:p>
            <w:pPr>
              <w:pStyle w:val="TableParagraph"/>
              <w:spacing w:before="5"/>
              <w:ind w:left="44" w:right="48"/>
              <w:jc w:val="center"/>
              <w:rPr>
                <w:sz w:val="18"/>
              </w:rPr>
            </w:pPr>
            <w:r>
              <w:rPr>
                <w:spacing w:val="-2"/>
                <w:sz w:val="18"/>
              </w:rPr>
              <w:t>-0.003119</w:t>
            </w:r>
          </w:p>
        </w:tc>
        <w:tc>
          <w:tcPr>
            <w:tcW w:w="1409" w:type="dxa"/>
          </w:tcPr>
          <w:p>
            <w:pPr>
              <w:pStyle w:val="TableParagraph"/>
              <w:spacing w:before="5"/>
              <w:ind w:left="56" w:right="27"/>
              <w:jc w:val="center"/>
              <w:rPr>
                <w:sz w:val="18"/>
              </w:rPr>
            </w:pPr>
            <w:r>
              <w:rPr>
                <w:spacing w:val="-2"/>
                <w:sz w:val="18"/>
              </w:rPr>
              <w:t>2.313755</w:t>
            </w:r>
          </w:p>
        </w:tc>
        <w:tc>
          <w:tcPr>
            <w:tcW w:w="2834" w:type="dxa"/>
          </w:tcPr>
          <w:p>
            <w:pPr>
              <w:pStyle w:val="TableParagraph"/>
              <w:spacing w:line="240" w:lineRule="auto" w:before="0"/>
              <w:rPr>
                <w:rFonts w:ascii="Times New Roman"/>
                <w:sz w:val="16"/>
              </w:rPr>
            </w:pPr>
          </w:p>
        </w:tc>
      </w:tr>
      <w:tr>
        <w:trPr>
          <w:trHeight w:val="304" w:hRule="atLeast"/>
        </w:trPr>
        <w:tc>
          <w:tcPr>
            <w:tcW w:w="1467" w:type="dxa"/>
            <w:tcBorders>
              <w:bottom w:val="double" w:sz="6" w:space="0" w:color="000000"/>
            </w:tcBorders>
          </w:tcPr>
          <w:p>
            <w:pPr>
              <w:pStyle w:val="TableParagraph"/>
              <w:spacing w:line="240" w:lineRule="auto" w:before="0"/>
              <w:rPr>
                <w:rFonts w:ascii="Times New Roman"/>
                <w:sz w:val="18"/>
              </w:rPr>
            </w:pPr>
          </w:p>
        </w:tc>
        <w:tc>
          <w:tcPr>
            <w:tcW w:w="1266" w:type="dxa"/>
            <w:tcBorders>
              <w:bottom w:val="double" w:sz="6" w:space="0" w:color="000000"/>
            </w:tcBorders>
          </w:tcPr>
          <w:p>
            <w:pPr>
              <w:pStyle w:val="TableParagraph"/>
              <w:spacing w:line="240" w:lineRule="auto"/>
              <w:ind w:left="48" w:right="10"/>
              <w:jc w:val="center"/>
              <w:rPr>
                <w:sz w:val="18"/>
              </w:rPr>
            </w:pPr>
            <w:r>
              <w:rPr>
                <w:spacing w:val="-2"/>
                <w:sz w:val="18"/>
              </w:rPr>
              <w:t>(0.00152)</w:t>
            </w:r>
          </w:p>
        </w:tc>
        <w:tc>
          <w:tcPr>
            <w:tcW w:w="1561" w:type="dxa"/>
            <w:tcBorders>
              <w:bottom w:val="double" w:sz="6" w:space="0" w:color="000000"/>
            </w:tcBorders>
          </w:tcPr>
          <w:p>
            <w:pPr>
              <w:pStyle w:val="TableParagraph"/>
              <w:spacing w:line="240" w:lineRule="auto"/>
              <w:ind w:left="52" w:right="4"/>
              <w:jc w:val="center"/>
              <w:rPr>
                <w:sz w:val="18"/>
              </w:rPr>
            </w:pPr>
            <w:r>
              <w:rPr>
                <w:spacing w:val="-2"/>
                <w:sz w:val="18"/>
              </w:rPr>
              <w:t>(0.00778)</w:t>
            </w:r>
          </w:p>
        </w:tc>
        <w:tc>
          <w:tcPr>
            <w:tcW w:w="1350" w:type="dxa"/>
            <w:tcBorders>
              <w:bottom w:val="double" w:sz="6" w:space="0" w:color="000000"/>
            </w:tcBorders>
          </w:tcPr>
          <w:p>
            <w:pPr>
              <w:pStyle w:val="TableParagraph"/>
              <w:spacing w:line="240" w:lineRule="auto"/>
              <w:ind w:left="52" w:right="74"/>
              <w:jc w:val="center"/>
              <w:rPr>
                <w:sz w:val="18"/>
              </w:rPr>
            </w:pPr>
            <w:r>
              <w:rPr>
                <w:spacing w:val="-2"/>
                <w:sz w:val="18"/>
              </w:rPr>
              <w:t>(0.47093)</w:t>
            </w:r>
          </w:p>
        </w:tc>
        <w:tc>
          <w:tcPr>
            <w:tcW w:w="1418" w:type="dxa"/>
            <w:tcBorders>
              <w:bottom w:val="double" w:sz="6" w:space="0" w:color="000000"/>
            </w:tcBorders>
          </w:tcPr>
          <w:p>
            <w:pPr>
              <w:pStyle w:val="TableParagraph"/>
              <w:spacing w:line="240" w:lineRule="auto"/>
              <w:ind w:left="53" w:right="10"/>
              <w:jc w:val="center"/>
              <w:rPr>
                <w:sz w:val="18"/>
              </w:rPr>
            </w:pPr>
            <w:r>
              <w:rPr>
                <w:spacing w:val="-2"/>
                <w:sz w:val="18"/>
              </w:rPr>
              <w:t>(0.37552)</w:t>
            </w:r>
          </w:p>
        </w:tc>
        <w:tc>
          <w:tcPr>
            <w:tcW w:w="1406" w:type="dxa"/>
            <w:tcBorders>
              <w:bottom w:val="double" w:sz="6" w:space="0" w:color="000000"/>
            </w:tcBorders>
          </w:tcPr>
          <w:p>
            <w:pPr>
              <w:pStyle w:val="TableParagraph"/>
              <w:spacing w:line="240" w:lineRule="auto"/>
              <w:ind w:left="154" w:right="102"/>
              <w:jc w:val="center"/>
              <w:rPr>
                <w:sz w:val="18"/>
              </w:rPr>
            </w:pPr>
            <w:r>
              <w:rPr>
                <w:spacing w:val="-2"/>
                <w:sz w:val="18"/>
              </w:rPr>
              <w:t>(0.02312)</w:t>
            </w:r>
          </w:p>
        </w:tc>
        <w:tc>
          <w:tcPr>
            <w:tcW w:w="1439" w:type="dxa"/>
            <w:tcBorders>
              <w:bottom w:val="double" w:sz="6" w:space="0" w:color="000000"/>
            </w:tcBorders>
          </w:tcPr>
          <w:p>
            <w:pPr>
              <w:pStyle w:val="TableParagraph"/>
              <w:spacing w:line="240" w:lineRule="auto"/>
              <w:ind w:left="51" w:right="7"/>
              <w:jc w:val="center"/>
              <w:rPr>
                <w:sz w:val="18"/>
              </w:rPr>
            </w:pPr>
            <w:r>
              <w:rPr>
                <w:spacing w:val="-2"/>
                <w:sz w:val="18"/>
              </w:rPr>
              <w:t>(0.00214)</w:t>
            </w:r>
          </w:p>
        </w:tc>
        <w:tc>
          <w:tcPr>
            <w:tcW w:w="1409" w:type="dxa"/>
            <w:tcBorders>
              <w:bottom w:val="double" w:sz="6" w:space="0" w:color="000000"/>
            </w:tcBorders>
          </w:tcPr>
          <w:p>
            <w:pPr>
              <w:pStyle w:val="TableParagraph"/>
              <w:spacing w:line="240" w:lineRule="auto"/>
              <w:ind w:left="56" w:right="27"/>
              <w:jc w:val="center"/>
              <w:rPr>
                <w:sz w:val="18"/>
              </w:rPr>
            </w:pPr>
            <w:r>
              <w:rPr>
                <w:spacing w:val="-2"/>
                <w:sz w:val="18"/>
              </w:rPr>
              <w:t>(1.40656)</w:t>
            </w:r>
          </w:p>
        </w:tc>
        <w:tc>
          <w:tcPr>
            <w:tcW w:w="2834" w:type="dxa"/>
            <w:tcBorders>
              <w:bottom w:val="double" w:sz="6" w:space="0" w:color="000000"/>
            </w:tcBorders>
          </w:tcPr>
          <w:p>
            <w:pPr>
              <w:pStyle w:val="TableParagraph"/>
              <w:spacing w:line="240" w:lineRule="auto" w:before="0"/>
              <w:rPr>
                <w:rFonts w:ascii="Times New Roman"/>
                <w:sz w:val="18"/>
              </w:rPr>
            </w:pPr>
          </w:p>
        </w:tc>
      </w:tr>
      <w:tr>
        <w:trPr>
          <w:trHeight w:val="629" w:hRule="atLeast"/>
        </w:trPr>
        <w:tc>
          <w:tcPr>
            <w:tcW w:w="2733" w:type="dxa"/>
            <w:gridSpan w:val="2"/>
            <w:tcBorders>
              <w:top w:val="double" w:sz="6" w:space="0" w:color="000000"/>
              <w:bottom w:val="double" w:sz="6" w:space="0" w:color="000000"/>
            </w:tcBorders>
          </w:tcPr>
          <w:p>
            <w:pPr>
              <w:pStyle w:val="TableParagraph"/>
              <w:spacing w:line="240" w:lineRule="auto" w:before="124"/>
              <w:rPr>
                <w:rFonts w:ascii="Times New Roman"/>
                <w:b/>
                <w:sz w:val="18"/>
              </w:rPr>
            </w:pPr>
          </w:p>
          <w:p>
            <w:pPr>
              <w:pStyle w:val="TableParagraph"/>
              <w:spacing w:line="240" w:lineRule="auto" w:before="1"/>
              <w:rPr>
                <w:sz w:val="18"/>
              </w:rPr>
            </w:pPr>
            <w:r>
              <w:rPr>
                <w:sz w:val="18"/>
              </w:rPr>
              <w:t>8</w:t>
            </w:r>
            <w:r>
              <w:rPr>
                <w:spacing w:val="-5"/>
                <w:sz w:val="18"/>
              </w:rPr>
              <w:t> </w:t>
            </w:r>
            <w:r>
              <w:rPr>
                <w:sz w:val="18"/>
              </w:rPr>
              <w:t>Cointegrating</w:t>
            </w:r>
            <w:r>
              <w:rPr>
                <w:spacing w:val="-5"/>
                <w:sz w:val="18"/>
              </w:rPr>
              <w:t> </w:t>
            </w:r>
            <w:r>
              <w:rPr>
                <w:spacing w:val="-2"/>
                <w:sz w:val="18"/>
              </w:rPr>
              <w:t>Equation(s):</w:t>
            </w:r>
          </w:p>
        </w:tc>
        <w:tc>
          <w:tcPr>
            <w:tcW w:w="1561" w:type="dxa"/>
            <w:tcBorders>
              <w:top w:val="double" w:sz="6" w:space="0" w:color="000000"/>
              <w:bottom w:val="double" w:sz="6" w:space="0" w:color="000000"/>
            </w:tcBorders>
          </w:tcPr>
          <w:p>
            <w:pPr>
              <w:pStyle w:val="TableParagraph"/>
              <w:spacing w:line="240" w:lineRule="auto" w:before="124"/>
              <w:rPr>
                <w:rFonts w:ascii="Times New Roman"/>
                <w:b/>
                <w:sz w:val="18"/>
              </w:rPr>
            </w:pPr>
          </w:p>
          <w:p>
            <w:pPr>
              <w:pStyle w:val="TableParagraph"/>
              <w:spacing w:line="240" w:lineRule="auto" w:before="1"/>
              <w:ind w:left="48" w:right="51"/>
              <w:jc w:val="center"/>
              <w:rPr>
                <w:sz w:val="18"/>
              </w:rPr>
            </w:pPr>
            <w:r>
              <w:rPr>
                <w:sz w:val="18"/>
              </w:rPr>
              <w:t>Log</w:t>
            </w:r>
            <w:r>
              <w:rPr>
                <w:spacing w:val="-3"/>
                <w:sz w:val="18"/>
              </w:rPr>
              <w:t> </w:t>
            </w:r>
            <w:r>
              <w:rPr>
                <w:spacing w:val="-2"/>
                <w:sz w:val="18"/>
              </w:rPr>
              <w:t>likelihood</w:t>
            </w:r>
          </w:p>
        </w:tc>
        <w:tc>
          <w:tcPr>
            <w:tcW w:w="1350" w:type="dxa"/>
            <w:tcBorders>
              <w:top w:val="double" w:sz="6" w:space="0" w:color="000000"/>
              <w:bottom w:val="double" w:sz="6" w:space="0" w:color="000000"/>
            </w:tcBorders>
          </w:tcPr>
          <w:p>
            <w:pPr>
              <w:pStyle w:val="TableParagraph"/>
              <w:spacing w:line="240" w:lineRule="auto" w:before="124"/>
              <w:rPr>
                <w:rFonts w:ascii="Times New Roman"/>
                <w:b/>
                <w:sz w:val="18"/>
              </w:rPr>
            </w:pPr>
          </w:p>
          <w:p>
            <w:pPr>
              <w:pStyle w:val="TableParagraph"/>
              <w:spacing w:line="240" w:lineRule="auto" w:before="1"/>
              <w:ind w:right="74"/>
              <w:jc w:val="center"/>
              <w:rPr>
                <w:sz w:val="18"/>
              </w:rPr>
            </w:pPr>
            <w:r>
              <w:rPr>
                <w:spacing w:val="-2"/>
                <w:sz w:val="18"/>
              </w:rPr>
              <w:t>-1357.900</w:t>
            </w:r>
          </w:p>
        </w:tc>
        <w:tc>
          <w:tcPr>
            <w:tcW w:w="1418"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06"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39"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409"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834" w:type="dxa"/>
            <w:tcBorders>
              <w:top w:val="double" w:sz="6" w:space="0" w:color="000000"/>
              <w:bottom w:val="double" w:sz="6" w:space="0" w:color="000000"/>
            </w:tcBorders>
          </w:tcPr>
          <w:p>
            <w:pPr>
              <w:pStyle w:val="TableParagraph"/>
              <w:spacing w:line="240" w:lineRule="auto" w:before="0"/>
              <w:rPr>
                <w:rFonts w:ascii="Times New Roman"/>
                <w:sz w:val="18"/>
              </w:rPr>
            </w:pPr>
          </w:p>
        </w:tc>
      </w:tr>
      <w:tr>
        <w:trPr>
          <w:trHeight w:val="327" w:hRule="atLeast"/>
        </w:trPr>
        <w:tc>
          <w:tcPr>
            <w:tcW w:w="14150" w:type="dxa"/>
            <w:gridSpan w:val="9"/>
            <w:tcBorders>
              <w:top w:val="double" w:sz="6" w:space="0" w:color="000000"/>
            </w:tcBorders>
          </w:tcPr>
          <w:p>
            <w:pPr>
              <w:pStyle w:val="TableParagraph"/>
              <w:spacing w:before="108"/>
              <w:rPr>
                <w:sz w:val="18"/>
              </w:rPr>
            </w:pPr>
            <w:r>
              <w:rPr>
                <w:sz w:val="18"/>
              </w:rPr>
              <w:t>Normalized</w:t>
            </w:r>
            <w:r>
              <w:rPr>
                <w:spacing w:val="-11"/>
                <w:sz w:val="18"/>
              </w:rPr>
              <w:t> </w:t>
            </w:r>
            <w:r>
              <w:rPr>
                <w:sz w:val="18"/>
              </w:rPr>
              <w:t>cointegrating</w:t>
            </w:r>
            <w:r>
              <w:rPr>
                <w:spacing w:val="-12"/>
                <w:sz w:val="18"/>
              </w:rPr>
              <w:t> </w:t>
            </w:r>
            <w:r>
              <w:rPr>
                <w:sz w:val="18"/>
              </w:rPr>
              <w:t>coefficients</w:t>
            </w:r>
            <w:r>
              <w:rPr>
                <w:spacing w:val="-12"/>
                <w:sz w:val="18"/>
              </w:rPr>
              <w:t> </w:t>
            </w:r>
            <w:r>
              <w:rPr>
                <w:sz w:val="18"/>
              </w:rPr>
              <w:t>(standard</w:t>
            </w:r>
            <w:r>
              <w:rPr>
                <w:spacing w:val="-10"/>
                <w:sz w:val="18"/>
              </w:rPr>
              <w:t> </w:t>
            </w:r>
            <w:r>
              <w:rPr>
                <w:sz w:val="18"/>
              </w:rPr>
              <w:t>error</w:t>
            </w:r>
            <w:r>
              <w:rPr>
                <w:spacing w:val="-13"/>
                <w:sz w:val="18"/>
              </w:rPr>
              <w:t> </w:t>
            </w:r>
            <w:r>
              <w:rPr>
                <w:sz w:val="18"/>
              </w:rPr>
              <w:t>in</w:t>
            </w:r>
            <w:r>
              <w:rPr>
                <w:spacing w:val="-12"/>
                <w:sz w:val="18"/>
              </w:rPr>
              <w:t> </w:t>
            </w:r>
            <w:r>
              <w:rPr>
                <w:spacing w:val="-2"/>
                <w:sz w:val="18"/>
              </w:rPr>
              <w:t>parentheses)</w:t>
            </w:r>
          </w:p>
        </w:tc>
      </w:tr>
      <w:tr>
        <w:trPr>
          <w:trHeight w:val="224" w:hRule="atLeast"/>
        </w:trPr>
        <w:tc>
          <w:tcPr>
            <w:tcW w:w="1467" w:type="dxa"/>
          </w:tcPr>
          <w:p>
            <w:pPr>
              <w:pStyle w:val="TableParagraph"/>
              <w:spacing w:line="198" w:lineRule="exact"/>
              <w:ind w:right="81"/>
              <w:jc w:val="center"/>
              <w:rPr>
                <w:sz w:val="18"/>
              </w:rPr>
            </w:pPr>
            <w:r>
              <w:rPr>
                <w:spacing w:val="-4"/>
                <w:sz w:val="18"/>
              </w:rPr>
              <w:t>RGDP</w:t>
            </w:r>
          </w:p>
        </w:tc>
        <w:tc>
          <w:tcPr>
            <w:tcW w:w="1266" w:type="dxa"/>
          </w:tcPr>
          <w:p>
            <w:pPr>
              <w:pStyle w:val="TableParagraph"/>
              <w:spacing w:line="198" w:lineRule="exact"/>
              <w:ind w:left="38" w:right="47"/>
              <w:jc w:val="center"/>
              <w:rPr>
                <w:sz w:val="18"/>
              </w:rPr>
            </w:pPr>
            <w:r>
              <w:rPr>
                <w:spacing w:val="-5"/>
                <w:sz w:val="18"/>
              </w:rPr>
              <w:t>FDI</w:t>
            </w:r>
          </w:p>
        </w:tc>
        <w:tc>
          <w:tcPr>
            <w:tcW w:w="1561" w:type="dxa"/>
          </w:tcPr>
          <w:p>
            <w:pPr>
              <w:pStyle w:val="TableParagraph"/>
              <w:spacing w:line="198" w:lineRule="exact"/>
              <w:ind w:left="48" w:right="52"/>
              <w:jc w:val="center"/>
              <w:rPr>
                <w:sz w:val="18"/>
              </w:rPr>
            </w:pPr>
            <w:r>
              <w:rPr>
                <w:spacing w:val="-5"/>
                <w:sz w:val="18"/>
              </w:rPr>
              <w:t>FPI</w:t>
            </w:r>
          </w:p>
        </w:tc>
        <w:tc>
          <w:tcPr>
            <w:tcW w:w="1350" w:type="dxa"/>
          </w:tcPr>
          <w:p>
            <w:pPr>
              <w:pStyle w:val="TableParagraph"/>
              <w:spacing w:line="198" w:lineRule="exact"/>
              <w:ind w:right="74"/>
              <w:jc w:val="center"/>
              <w:rPr>
                <w:sz w:val="18"/>
              </w:rPr>
            </w:pPr>
            <w:r>
              <w:rPr>
                <w:spacing w:val="-5"/>
                <w:sz w:val="18"/>
              </w:rPr>
              <w:t>TOP</w:t>
            </w:r>
          </w:p>
        </w:tc>
        <w:tc>
          <w:tcPr>
            <w:tcW w:w="1418" w:type="dxa"/>
          </w:tcPr>
          <w:p>
            <w:pPr>
              <w:pStyle w:val="TableParagraph"/>
              <w:spacing w:line="198" w:lineRule="exact"/>
              <w:ind w:left="43" w:right="52"/>
              <w:jc w:val="center"/>
              <w:rPr>
                <w:sz w:val="18"/>
              </w:rPr>
            </w:pPr>
            <w:r>
              <w:rPr>
                <w:spacing w:val="-5"/>
                <w:sz w:val="18"/>
              </w:rPr>
              <w:t>REM</w:t>
            </w:r>
          </w:p>
        </w:tc>
        <w:tc>
          <w:tcPr>
            <w:tcW w:w="1406" w:type="dxa"/>
          </w:tcPr>
          <w:p>
            <w:pPr>
              <w:pStyle w:val="TableParagraph"/>
              <w:spacing w:line="198" w:lineRule="exact"/>
              <w:ind w:left="103" w:right="102"/>
              <w:jc w:val="center"/>
              <w:rPr>
                <w:sz w:val="18"/>
              </w:rPr>
            </w:pPr>
            <w:r>
              <w:rPr>
                <w:spacing w:val="-5"/>
                <w:sz w:val="18"/>
              </w:rPr>
              <w:t>ODA</w:t>
            </w:r>
          </w:p>
        </w:tc>
        <w:tc>
          <w:tcPr>
            <w:tcW w:w="1439" w:type="dxa"/>
          </w:tcPr>
          <w:p>
            <w:pPr>
              <w:pStyle w:val="TableParagraph"/>
              <w:spacing w:line="198" w:lineRule="exact"/>
              <w:ind w:left="44" w:right="48"/>
              <w:jc w:val="center"/>
              <w:rPr>
                <w:sz w:val="18"/>
              </w:rPr>
            </w:pPr>
            <w:r>
              <w:rPr>
                <w:spacing w:val="-2"/>
                <w:sz w:val="18"/>
              </w:rPr>
              <w:t>CPS_GDP</w:t>
            </w:r>
          </w:p>
        </w:tc>
        <w:tc>
          <w:tcPr>
            <w:tcW w:w="1409" w:type="dxa"/>
          </w:tcPr>
          <w:p>
            <w:pPr>
              <w:pStyle w:val="TableParagraph"/>
              <w:spacing w:line="198" w:lineRule="exact"/>
              <w:ind w:left="56" w:right="74"/>
              <w:jc w:val="center"/>
              <w:rPr>
                <w:sz w:val="18"/>
              </w:rPr>
            </w:pPr>
            <w:r>
              <w:rPr>
                <w:spacing w:val="-5"/>
                <w:sz w:val="18"/>
              </w:rPr>
              <w:t>INT</w:t>
            </w:r>
          </w:p>
        </w:tc>
        <w:tc>
          <w:tcPr>
            <w:tcW w:w="2834" w:type="dxa"/>
          </w:tcPr>
          <w:p>
            <w:pPr>
              <w:pStyle w:val="TableParagraph"/>
              <w:spacing w:line="198" w:lineRule="exact"/>
              <w:ind w:right="1425"/>
              <w:jc w:val="center"/>
              <w:rPr>
                <w:sz w:val="18"/>
              </w:rPr>
            </w:pPr>
            <w:r>
              <w:rPr>
                <w:spacing w:val="-4"/>
                <w:sz w:val="18"/>
              </w:rPr>
              <w:t>EXCH</w:t>
            </w:r>
          </w:p>
        </w:tc>
      </w:tr>
      <w:tr>
        <w:trPr>
          <w:trHeight w:val="224" w:hRule="atLeast"/>
        </w:trPr>
        <w:tc>
          <w:tcPr>
            <w:tcW w:w="1467" w:type="dxa"/>
          </w:tcPr>
          <w:p>
            <w:pPr>
              <w:pStyle w:val="TableParagraph"/>
              <w:spacing w:before="5"/>
              <w:ind w:left="56" w:right="81"/>
              <w:jc w:val="center"/>
              <w:rPr>
                <w:sz w:val="18"/>
              </w:rPr>
            </w:pPr>
            <w:r>
              <w:rPr>
                <w:spacing w:val="-2"/>
                <w:sz w:val="18"/>
              </w:rPr>
              <w:t>1.000000</w:t>
            </w:r>
          </w:p>
        </w:tc>
        <w:tc>
          <w:tcPr>
            <w:tcW w:w="1266" w:type="dxa"/>
          </w:tcPr>
          <w:p>
            <w:pPr>
              <w:pStyle w:val="TableParagraph"/>
              <w:spacing w:before="5"/>
              <w:ind w:left="47" w:right="10"/>
              <w:jc w:val="center"/>
              <w:rPr>
                <w:sz w:val="18"/>
              </w:rPr>
            </w:pPr>
            <w:r>
              <w:rPr>
                <w:spacing w:val="-2"/>
                <w:sz w:val="18"/>
              </w:rPr>
              <w:t>0.000000</w:t>
            </w:r>
          </w:p>
        </w:tc>
        <w:tc>
          <w:tcPr>
            <w:tcW w:w="1561" w:type="dxa"/>
          </w:tcPr>
          <w:p>
            <w:pPr>
              <w:pStyle w:val="TableParagraph"/>
              <w:spacing w:before="5"/>
              <w:ind w:left="51" w:right="4"/>
              <w:jc w:val="center"/>
              <w:rPr>
                <w:sz w:val="18"/>
              </w:rPr>
            </w:pPr>
            <w:r>
              <w:rPr>
                <w:spacing w:val="-2"/>
                <w:sz w:val="18"/>
              </w:rPr>
              <w:t>0.000000</w:t>
            </w:r>
          </w:p>
        </w:tc>
        <w:tc>
          <w:tcPr>
            <w:tcW w:w="1350" w:type="dxa"/>
          </w:tcPr>
          <w:p>
            <w:pPr>
              <w:pStyle w:val="TableParagraph"/>
              <w:spacing w:before="5"/>
              <w:ind w:left="51" w:right="74"/>
              <w:jc w:val="center"/>
              <w:rPr>
                <w:sz w:val="18"/>
              </w:rPr>
            </w:pPr>
            <w:r>
              <w:rPr>
                <w:spacing w:val="-2"/>
                <w:sz w:val="18"/>
              </w:rPr>
              <w:t>0.000000</w:t>
            </w:r>
          </w:p>
        </w:tc>
        <w:tc>
          <w:tcPr>
            <w:tcW w:w="1418" w:type="dxa"/>
          </w:tcPr>
          <w:p>
            <w:pPr>
              <w:pStyle w:val="TableParagraph"/>
              <w:spacing w:before="5"/>
              <w:ind w:left="53" w:right="10"/>
              <w:jc w:val="center"/>
              <w:rPr>
                <w:sz w:val="18"/>
              </w:rPr>
            </w:pPr>
            <w:r>
              <w:rPr>
                <w:spacing w:val="-2"/>
                <w:sz w:val="18"/>
              </w:rPr>
              <w:t>0.000000</w:t>
            </w:r>
          </w:p>
        </w:tc>
        <w:tc>
          <w:tcPr>
            <w:tcW w:w="1406" w:type="dxa"/>
          </w:tcPr>
          <w:p>
            <w:pPr>
              <w:pStyle w:val="TableParagraph"/>
              <w:spacing w:before="5"/>
              <w:ind w:left="154" w:right="102"/>
              <w:jc w:val="center"/>
              <w:rPr>
                <w:sz w:val="18"/>
              </w:rPr>
            </w:pPr>
            <w:r>
              <w:rPr>
                <w:spacing w:val="-2"/>
                <w:sz w:val="18"/>
              </w:rPr>
              <w:t>0.000000</w:t>
            </w:r>
          </w:p>
        </w:tc>
        <w:tc>
          <w:tcPr>
            <w:tcW w:w="1439" w:type="dxa"/>
          </w:tcPr>
          <w:p>
            <w:pPr>
              <w:pStyle w:val="TableParagraph"/>
              <w:spacing w:before="5"/>
              <w:ind w:left="50" w:right="7"/>
              <w:jc w:val="center"/>
              <w:rPr>
                <w:sz w:val="18"/>
              </w:rPr>
            </w:pPr>
            <w:r>
              <w:rPr>
                <w:spacing w:val="-2"/>
                <w:sz w:val="18"/>
              </w:rPr>
              <w:t>0.000000</w:t>
            </w:r>
          </w:p>
        </w:tc>
        <w:tc>
          <w:tcPr>
            <w:tcW w:w="1409" w:type="dxa"/>
          </w:tcPr>
          <w:p>
            <w:pPr>
              <w:pStyle w:val="TableParagraph"/>
              <w:spacing w:before="5"/>
              <w:ind w:left="56" w:right="27"/>
              <w:jc w:val="center"/>
              <w:rPr>
                <w:sz w:val="18"/>
              </w:rPr>
            </w:pPr>
            <w:r>
              <w:rPr>
                <w:spacing w:val="-2"/>
                <w:sz w:val="18"/>
              </w:rPr>
              <w:t>0.000000</w:t>
            </w:r>
          </w:p>
        </w:tc>
        <w:tc>
          <w:tcPr>
            <w:tcW w:w="2834" w:type="dxa"/>
          </w:tcPr>
          <w:p>
            <w:pPr>
              <w:pStyle w:val="TableParagraph"/>
              <w:spacing w:before="5"/>
              <w:ind w:right="1425"/>
              <w:jc w:val="center"/>
              <w:rPr>
                <w:sz w:val="18"/>
              </w:rPr>
            </w:pPr>
            <w:r>
              <w:rPr>
                <w:spacing w:val="-2"/>
                <w:sz w:val="18"/>
              </w:rPr>
              <w:t>-267.0686</w:t>
            </w: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ind w:left="51" w:right="1425"/>
              <w:jc w:val="center"/>
              <w:rPr>
                <w:sz w:val="18"/>
              </w:rPr>
            </w:pPr>
            <w:r>
              <w:rPr>
                <w:spacing w:val="-2"/>
                <w:sz w:val="18"/>
              </w:rPr>
              <w:t>(41.6108)</w:t>
            </w:r>
          </w:p>
        </w:tc>
      </w:tr>
      <w:tr>
        <w:trPr>
          <w:trHeight w:val="225" w:hRule="atLeast"/>
        </w:trPr>
        <w:tc>
          <w:tcPr>
            <w:tcW w:w="1467" w:type="dxa"/>
          </w:tcPr>
          <w:p>
            <w:pPr>
              <w:pStyle w:val="TableParagraph"/>
              <w:ind w:left="56" w:right="81"/>
              <w:jc w:val="center"/>
              <w:rPr>
                <w:sz w:val="18"/>
              </w:rPr>
            </w:pPr>
            <w:r>
              <w:rPr>
                <w:spacing w:val="-2"/>
                <w:sz w:val="18"/>
              </w:rPr>
              <w:t>0.000000</w:t>
            </w:r>
          </w:p>
        </w:tc>
        <w:tc>
          <w:tcPr>
            <w:tcW w:w="1266" w:type="dxa"/>
          </w:tcPr>
          <w:p>
            <w:pPr>
              <w:pStyle w:val="TableParagraph"/>
              <w:ind w:left="47" w:right="10"/>
              <w:jc w:val="center"/>
              <w:rPr>
                <w:sz w:val="18"/>
              </w:rPr>
            </w:pPr>
            <w:r>
              <w:rPr>
                <w:spacing w:val="-2"/>
                <w:sz w:val="18"/>
              </w:rPr>
              <w:t>1.000000</w:t>
            </w:r>
          </w:p>
        </w:tc>
        <w:tc>
          <w:tcPr>
            <w:tcW w:w="1561" w:type="dxa"/>
          </w:tcPr>
          <w:p>
            <w:pPr>
              <w:pStyle w:val="TableParagraph"/>
              <w:ind w:left="51" w:right="4"/>
              <w:jc w:val="center"/>
              <w:rPr>
                <w:sz w:val="18"/>
              </w:rPr>
            </w:pPr>
            <w:r>
              <w:rPr>
                <w:spacing w:val="-2"/>
                <w:sz w:val="18"/>
              </w:rPr>
              <w:t>0.000000</w:t>
            </w:r>
          </w:p>
        </w:tc>
        <w:tc>
          <w:tcPr>
            <w:tcW w:w="1350" w:type="dxa"/>
          </w:tcPr>
          <w:p>
            <w:pPr>
              <w:pStyle w:val="TableParagraph"/>
              <w:ind w:left="51" w:right="74"/>
              <w:jc w:val="center"/>
              <w:rPr>
                <w:sz w:val="18"/>
              </w:rPr>
            </w:pPr>
            <w:r>
              <w:rPr>
                <w:spacing w:val="-2"/>
                <w:sz w:val="18"/>
              </w:rPr>
              <w:t>0.000000</w:t>
            </w:r>
          </w:p>
        </w:tc>
        <w:tc>
          <w:tcPr>
            <w:tcW w:w="1418" w:type="dxa"/>
          </w:tcPr>
          <w:p>
            <w:pPr>
              <w:pStyle w:val="TableParagraph"/>
              <w:ind w:left="53" w:right="10"/>
              <w:jc w:val="center"/>
              <w:rPr>
                <w:sz w:val="18"/>
              </w:rPr>
            </w:pPr>
            <w:r>
              <w:rPr>
                <w:spacing w:val="-2"/>
                <w:sz w:val="18"/>
              </w:rPr>
              <w:t>0.000000</w:t>
            </w:r>
          </w:p>
        </w:tc>
        <w:tc>
          <w:tcPr>
            <w:tcW w:w="1406" w:type="dxa"/>
          </w:tcPr>
          <w:p>
            <w:pPr>
              <w:pStyle w:val="TableParagraph"/>
              <w:ind w:left="154" w:right="102"/>
              <w:jc w:val="center"/>
              <w:rPr>
                <w:sz w:val="18"/>
              </w:rPr>
            </w:pPr>
            <w:r>
              <w:rPr>
                <w:spacing w:val="-2"/>
                <w:sz w:val="18"/>
              </w:rPr>
              <w:t>0.000000</w:t>
            </w:r>
          </w:p>
        </w:tc>
        <w:tc>
          <w:tcPr>
            <w:tcW w:w="1439" w:type="dxa"/>
          </w:tcPr>
          <w:p>
            <w:pPr>
              <w:pStyle w:val="TableParagraph"/>
              <w:ind w:left="50" w:right="7"/>
              <w:jc w:val="center"/>
              <w:rPr>
                <w:sz w:val="18"/>
              </w:rPr>
            </w:pPr>
            <w:r>
              <w:rPr>
                <w:spacing w:val="-2"/>
                <w:sz w:val="18"/>
              </w:rPr>
              <w:t>0.000000</w:t>
            </w:r>
          </w:p>
        </w:tc>
        <w:tc>
          <w:tcPr>
            <w:tcW w:w="1409" w:type="dxa"/>
          </w:tcPr>
          <w:p>
            <w:pPr>
              <w:pStyle w:val="TableParagraph"/>
              <w:ind w:left="56" w:right="27"/>
              <w:jc w:val="center"/>
              <w:rPr>
                <w:sz w:val="18"/>
              </w:rPr>
            </w:pPr>
            <w:r>
              <w:rPr>
                <w:spacing w:val="-2"/>
                <w:sz w:val="18"/>
              </w:rPr>
              <w:t>0.000000</w:t>
            </w:r>
          </w:p>
        </w:tc>
        <w:tc>
          <w:tcPr>
            <w:tcW w:w="2834" w:type="dxa"/>
          </w:tcPr>
          <w:p>
            <w:pPr>
              <w:pStyle w:val="TableParagraph"/>
              <w:ind w:right="1425"/>
              <w:jc w:val="center"/>
              <w:rPr>
                <w:sz w:val="18"/>
              </w:rPr>
            </w:pPr>
            <w:r>
              <w:rPr>
                <w:spacing w:val="-2"/>
                <w:sz w:val="18"/>
              </w:rPr>
              <w:t>-8.577906</w:t>
            </w: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198" w:lineRule="exact"/>
              <w:ind w:left="51" w:right="1425"/>
              <w:jc w:val="center"/>
              <w:rPr>
                <w:sz w:val="18"/>
              </w:rPr>
            </w:pPr>
            <w:r>
              <w:rPr>
                <w:spacing w:val="-2"/>
                <w:sz w:val="18"/>
              </w:rPr>
              <w:t>(4.01973)</w:t>
            </w:r>
          </w:p>
        </w:tc>
      </w:tr>
      <w:tr>
        <w:trPr>
          <w:trHeight w:val="224" w:hRule="atLeast"/>
        </w:trPr>
        <w:tc>
          <w:tcPr>
            <w:tcW w:w="1467" w:type="dxa"/>
          </w:tcPr>
          <w:p>
            <w:pPr>
              <w:pStyle w:val="TableParagraph"/>
              <w:spacing w:before="5"/>
              <w:ind w:left="56" w:right="81"/>
              <w:jc w:val="center"/>
              <w:rPr>
                <w:sz w:val="18"/>
              </w:rPr>
            </w:pPr>
            <w:r>
              <w:rPr>
                <w:spacing w:val="-2"/>
                <w:sz w:val="18"/>
              </w:rPr>
              <w:t>0.000000</w:t>
            </w:r>
          </w:p>
        </w:tc>
        <w:tc>
          <w:tcPr>
            <w:tcW w:w="1266" w:type="dxa"/>
          </w:tcPr>
          <w:p>
            <w:pPr>
              <w:pStyle w:val="TableParagraph"/>
              <w:spacing w:before="5"/>
              <w:ind w:left="47" w:right="10"/>
              <w:jc w:val="center"/>
              <w:rPr>
                <w:sz w:val="18"/>
              </w:rPr>
            </w:pPr>
            <w:r>
              <w:rPr>
                <w:spacing w:val="-2"/>
                <w:sz w:val="18"/>
              </w:rPr>
              <w:t>0.000000</w:t>
            </w:r>
          </w:p>
        </w:tc>
        <w:tc>
          <w:tcPr>
            <w:tcW w:w="1561" w:type="dxa"/>
          </w:tcPr>
          <w:p>
            <w:pPr>
              <w:pStyle w:val="TableParagraph"/>
              <w:spacing w:before="5"/>
              <w:ind w:left="51" w:right="4"/>
              <w:jc w:val="center"/>
              <w:rPr>
                <w:sz w:val="18"/>
              </w:rPr>
            </w:pPr>
            <w:r>
              <w:rPr>
                <w:spacing w:val="-2"/>
                <w:sz w:val="18"/>
              </w:rPr>
              <w:t>1.000000</w:t>
            </w:r>
          </w:p>
        </w:tc>
        <w:tc>
          <w:tcPr>
            <w:tcW w:w="1350" w:type="dxa"/>
          </w:tcPr>
          <w:p>
            <w:pPr>
              <w:pStyle w:val="TableParagraph"/>
              <w:spacing w:before="5"/>
              <w:ind w:left="51" w:right="74"/>
              <w:jc w:val="center"/>
              <w:rPr>
                <w:sz w:val="18"/>
              </w:rPr>
            </w:pPr>
            <w:r>
              <w:rPr>
                <w:spacing w:val="-2"/>
                <w:sz w:val="18"/>
              </w:rPr>
              <w:t>0.000000</w:t>
            </w:r>
          </w:p>
        </w:tc>
        <w:tc>
          <w:tcPr>
            <w:tcW w:w="1418" w:type="dxa"/>
          </w:tcPr>
          <w:p>
            <w:pPr>
              <w:pStyle w:val="TableParagraph"/>
              <w:spacing w:before="5"/>
              <w:ind w:left="53" w:right="10"/>
              <w:jc w:val="center"/>
              <w:rPr>
                <w:sz w:val="18"/>
              </w:rPr>
            </w:pPr>
            <w:r>
              <w:rPr>
                <w:spacing w:val="-2"/>
                <w:sz w:val="18"/>
              </w:rPr>
              <w:t>0.000000</w:t>
            </w:r>
          </w:p>
        </w:tc>
        <w:tc>
          <w:tcPr>
            <w:tcW w:w="1406" w:type="dxa"/>
          </w:tcPr>
          <w:p>
            <w:pPr>
              <w:pStyle w:val="TableParagraph"/>
              <w:spacing w:before="5"/>
              <w:ind w:left="154" w:right="102"/>
              <w:jc w:val="center"/>
              <w:rPr>
                <w:sz w:val="18"/>
              </w:rPr>
            </w:pPr>
            <w:r>
              <w:rPr>
                <w:spacing w:val="-2"/>
                <w:sz w:val="18"/>
              </w:rPr>
              <w:t>0.000000</w:t>
            </w:r>
          </w:p>
        </w:tc>
        <w:tc>
          <w:tcPr>
            <w:tcW w:w="1439" w:type="dxa"/>
          </w:tcPr>
          <w:p>
            <w:pPr>
              <w:pStyle w:val="TableParagraph"/>
              <w:spacing w:before="5"/>
              <w:ind w:left="50" w:right="7"/>
              <w:jc w:val="center"/>
              <w:rPr>
                <w:sz w:val="18"/>
              </w:rPr>
            </w:pPr>
            <w:r>
              <w:rPr>
                <w:spacing w:val="-2"/>
                <w:sz w:val="18"/>
              </w:rPr>
              <w:t>0.000000</w:t>
            </w:r>
          </w:p>
        </w:tc>
        <w:tc>
          <w:tcPr>
            <w:tcW w:w="1409" w:type="dxa"/>
          </w:tcPr>
          <w:p>
            <w:pPr>
              <w:pStyle w:val="TableParagraph"/>
              <w:spacing w:before="5"/>
              <w:ind w:left="56" w:right="27"/>
              <w:jc w:val="center"/>
              <w:rPr>
                <w:sz w:val="18"/>
              </w:rPr>
            </w:pPr>
            <w:r>
              <w:rPr>
                <w:spacing w:val="-2"/>
                <w:sz w:val="18"/>
              </w:rPr>
              <w:t>0.000000</w:t>
            </w:r>
          </w:p>
        </w:tc>
        <w:tc>
          <w:tcPr>
            <w:tcW w:w="2834" w:type="dxa"/>
          </w:tcPr>
          <w:p>
            <w:pPr>
              <w:pStyle w:val="TableParagraph"/>
              <w:spacing w:before="5"/>
              <w:ind w:right="1425"/>
              <w:jc w:val="center"/>
              <w:rPr>
                <w:sz w:val="18"/>
              </w:rPr>
            </w:pPr>
            <w:r>
              <w:rPr>
                <w:spacing w:val="-2"/>
                <w:sz w:val="18"/>
              </w:rPr>
              <w:t>-0.949678</w:t>
            </w: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ind w:left="51" w:right="1425"/>
              <w:jc w:val="center"/>
              <w:rPr>
                <w:sz w:val="18"/>
              </w:rPr>
            </w:pPr>
            <w:r>
              <w:rPr>
                <w:spacing w:val="-2"/>
                <w:sz w:val="18"/>
              </w:rPr>
              <w:t>(0.05275)</w:t>
            </w:r>
          </w:p>
        </w:tc>
      </w:tr>
      <w:tr>
        <w:trPr>
          <w:trHeight w:val="225" w:hRule="atLeast"/>
        </w:trPr>
        <w:tc>
          <w:tcPr>
            <w:tcW w:w="1467" w:type="dxa"/>
          </w:tcPr>
          <w:p>
            <w:pPr>
              <w:pStyle w:val="TableParagraph"/>
              <w:ind w:left="56" w:right="81"/>
              <w:jc w:val="center"/>
              <w:rPr>
                <w:sz w:val="18"/>
              </w:rPr>
            </w:pPr>
            <w:r>
              <w:rPr>
                <w:spacing w:val="-2"/>
                <w:sz w:val="18"/>
              </w:rPr>
              <w:t>0.000000</w:t>
            </w:r>
          </w:p>
        </w:tc>
        <w:tc>
          <w:tcPr>
            <w:tcW w:w="1266" w:type="dxa"/>
          </w:tcPr>
          <w:p>
            <w:pPr>
              <w:pStyle w:val="TableParagraph"/>
              <w:ind w:left="47" w:right="10"/>
              <w:jc w:val="center"/>
              <w:rPr>
                <w:sz w:val="18"/>
              </w:rPr>
            </w:pPr>
            <w:r>
              <w:rPr>
                <w:spacing w:val="-2"/>
                <w:sz w:val="18"/>
              </w:rPr>
              <w:t>0.000000</w:t>
            </w:r>
          </w:p>
        </w:tc>
        <w:tc>
          <w:tcPr>
            <w:tcW w:w="1561" w:type="dxa"/>
          </w:tcPr>
          <w:p>
            <w:pPr>
              <w:pStyle w:val="TableParagraph"/>
              <w:ind w:left="51" w:right="4"/>
              <w:jc w:val="center"/>
              <w:rPr>
                <w:sz w:val="18"/>
              </w:rPr>
            </w:pPr>
            <w:r>
              <w:rPr>
                <w:spacing w:val="-2"/>
                <w:sz w:val="18"/>
              </w:rPr>
              <w:t>0.000000</w:t>
            </w:r>
          </w:p>
        </w:tc>
        <w:tc>
          <w:tcPr>
            <w:tcW w:w="1350" w:type="dxa"/>
          </w:tcPr>
          <w:p>
            <w:pPr>
              <w:pStyle w:val="TableParagraph"/>
              <w:ind w:left="51" w:right="74"/>
              <w:jc w:val="center"/>
              <w:rPr>
                <w:sz w:val="18"/>
              </w:rPr>
            </w:pPr>
            <w:r>
              <w:rPr>
                <w:spacing w:val="-2"/>
                <w:sz w:val="18"/>
              </w:rPr>
              <w:t>1.000000</w:t>
            </w:r>
          </w:p>
        </w:tc>
        <w:tc>
          <w:tcPr>
            <w:tcW w:w="1418" w:type="dxa"/>
          </w:tcPr>
          <w:p>
            <w:pPr>
              <w:pStyle w:val="TableParagraph"/>
              <w:ind w:left="53" w:right="10"/>
              <w:jc w:val="center"/>
              <w:rPr>
                <w:sz w:val="18"/>
              </w:rPr>
            </w:pPr>
            <w:r>
              <w:rPr>
                <w:spacing w:val="-2"/>
                <w:sz w:val="18"/>
              </w:rPr>
              <w:t>0.000000</w:t>
            </w:r>
          </w:p>
        </w:tc>
        <w:tc>
          <w:tcPr>
            <w:tcW w:w="1406" w:type="dxa"/>
          </w:tcPr>
          <w:p>
            <w:pPr>
              <w:pStyle w:val="TableParagraph"/>
              <w:ind w:left="154" w:right="102"/>
              <w:jc w:val="center"/>
              <w:rPr>
                <w:sz w:val="18"/>
              </w:rPr>
            </w:pPr>
            <w:r>
              <w:rPr>
                <w:spacing w:val="-2"/>
                <w:sz w:val="18"/>
              </w:rPr>
              <w:t>0.000000</w:t>
            </w:r>
          </w:p>
        </w:tc>
        <w:tc>
          <w:tcPr>
            <w:tcW w:w="1439" w:type="dxa"/>
          </w:tcPr>
          <w:p>
            <w:pPr>
              <w:pStyle w:val="TableParagraph"/>
              <w:ind w:left="50" w:right="7"/>
              <w:jc w:val="center"/>
              <w:rPr>
                <w:sz w:val="18"/>
              </w:rPr>
            </w:pPr>
            <w:r>
              <w:rPr>
                <w:spacing w:val="-2"/>
                <w:sz w:val="18"/>
              </w:rPr>
              <w:t>0.000000</w:t>
            </w:r>
          </w:p>
        </w:tc>
        <w:tc>
          <w:tcPr>
            <w:tcW w:w="1409" w:type="dxa"/>
          </w:tcPr>
          <w:p>
            <w:pPr>
              <w:pStyle w:val="TableParagraph"/>
              <w:ind w:left="56" w:right="27"/>
              <w:jc w:val="center"/>
              <w:rPr>
                <w:sz w:val="18"/>
              </w:rPr>
            </w:pPr>
            <w:r>
              <w:rPr>
                <w:spacing w:val="-2"/>
                <w:sz w:val="18"/>
              </w:rPr>
              <w:t>0.000000</w:t>
            </w:r>
          </w:p>
        </w:tc>
        <w:tc>
          <w:tcPr>
            <w:tcW w:w="2834" w:type="dxa"/>
          </w:tcPr>
          <w:p>
            <w:pPr>
              <w:pStyle w:val="TableParagraph"/>
              <w:ind w:right="1425"/>
              <w:jc w:val="center"/>
              <w:rPr>
                <w:sz w:val="18"/>
              </w:rPr>
            </w:pPr>
            <w:r>
              <w:rPr>
                <w:spacing w:val="-2"/>
                <w:sz w:val="18"/>
              </w:rPr>
              <w:t>-0.134167</w:t>
            </w:r>
          </w:p>
        </w:tc>
      </w:tr>
      <w:tr>
        <w:trPr>
          <w:trHeight w:val="224"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spacing w:line="198" w:lineRule="exact"/>
              <w:ind w:left="51" w:right="1425"/>
              <w:jc w:val="center"/>
              <w:rPr>
                <w:sz w:val="18"/>
              </w:rPr>
            </w:pPr>
            <w:r>
              <w:rPr>
                <w:spacing w:val="-2"/>
                <w:sz w:val="18"/>
              </w:rPr>
              <w:t>(0.08456)</w:t>
            </w:r>
          </w:p>
        </w:tc>
      </w:tr>
      <w:tr>
        <w:trPr>
          <w:trHeight w:val="224" w:hRule="atLeast"/>
        </w:trPr>
        <w:tc>
          <w:tcPr>
            <w:tcW w:w="1467" w:type="dxa"/>
          </w:tcPr>
          <w:p>
            <w:pPr>
              <w:pStyle w:val="TableParagraph"/>
              <w:spacing w:before="5"/>
              <w:ind w:left="56" w:right="81"/>
              <w:jc w:val="center"/>
              <w:rPr>
                <w:sz w:val="18"/>
              </w:rPr>
            </w:pPr>
            <w:r>
              <w:rPr>
                <w:spacing w:val="-2"/>
                <w:sz w:val="18"/>
              </w:rPr>
              <w:t>0.000000</w:t>
            </w:r>
          </w:p>
        </w:tc>
        <w:tc>
          <w:tcPr>
            <w:tcW w:w="1266" w:type="dxa"/>
          </w:tcPr>
          <w:p>
            <w:pPr>
              <w:pStyle w:val="TableParagraph"/>
              <w:spacing w:before="5"/>
              <w:ind w:left="47" w:right="10"/>
              <w:jc w:val="center"/>
              <w:rPr>
                <w:sz w:val="18"/>
              </w:rPr>
            </w:pPr>
            <w:r>
              <w:rPr>
                <w:spacing w:val="-2"/>
                <w:sz w:val="18"/>
              </w:rPr>
              <w:t>0.000000</w:t>
            </w:r>
          </w:p>
        </w:tc>
        <w:tc>
          <w:tcPr>
            <w:tcW w:w="1561" w:type="dxa"/>
          </w:tcPr>
          <w:p>
            <w:pPr>
              <w:pStyle w:val="TableParagraph"/>
              <w:spacing w:before="5"/>
              <w:ind w:left="51" w:right="4"/>
              <w:jc w:val="center"/>
              <w:rPr>
                <w:sz w:val="18"/>
              </w:rPr>
            </w:pPr>
            <w:r>
              <w:rPr>
                <w:spacing w:val="-2"/>
                <w:sz w:val="18"/>
              </w:rPr>
              <w:t>0.000000</w:t>
            </w:r>
          </w:p>
        </w:tc>
        <w:tc>
          <w:tcPr>
            <w:tcW w:w="1350" w:type="dxa"/>
          </w:tcPr>
          <w:p>
            <w:pPr>
              <w:pStyle w:val="TableParagraph"/>
              <w:spacing w:before="5"/>
              <w:ind w:left="51" w:right="74"/>
              <w:jc w:val="center"/>
              <w:rPr>
                <w:sz w:val="18"/>
              </w:rPr>
            </w:pPr>
            <w:r>
              <w:rPr>
                <w:spacing w:val="-2"/>
                <w:sz w:val="18"/>
              </w:rPr>
              <w:t>0.000000</w:t>
            </w:r>
          </w:p>
        </w:tc>
        <w:tc>
          <w:tcPr>
            <w:tcW w:w="1418" w:type="dxa"/>
          </w:tcPr>
          <w:p>
            <w:pPr>
              <w:pStyle w:val="TableParagraph"/>
              <w:spacing w:before="5"/>
              <w:ind w:left="53" w:right="10"/>
              <w:jc w:val="center"/>
              <w:rPr>
                <w:sz w:val="18"/>
              </w:rPr>
            </w:pPr>
            <w:r>
              <w:rPr>
                <w:spacing w:val="-2"/>
                <w:sz w:val="18"/>
              </w:rPr>
              <w:t>1.000000</w:t>
            </w:r>
          </w:p>
        </w:tc>
        <w:tc>
          <w:tcPr>
            <w:tcW w:w="1406" w:type="dxa"/>
          </w:tcPr>
          <w:p>
            <w:pPr>
              <w:pStyle w:val="TableParagraph"/>
              <w:spacing w:before="5"/>
              <w:ind w:left="154" w:right="102"/>
              <w:jc w:val="center"/>
              <w:rPr>
                <w:sz w:val="18"/>
              </w:rPr>
            </w:pPr>
            <w:r>
              <w:rPr>
                <w:spacing w:val="-2"/>
                <w:sz w:val="18"/>
              </w:rPr>
              <w:t>0.000000</w:t>
            </w:r>
          </w:p>
        </w:tc>
        <w:tc>
          <w:tcPr>
            <w:tcW w:w="1439" w:type="dxa"/>
          </w:tcPr>
          <w:p>
            <w:pPr>
              <w:pStyle w:val="TableParagraph"/>
              <w:spacing w:before="5"/>
              <w:ind w:left="50" w:right="7"/>
              <w:jc w:val="center"/>
              <w:rPr>
                <w:sz w:val="18"/>
              </w:rPr>
            </w:pPr>
            <w:r>
              <w:rPr>
                <w:spacing w:val="-2"/>
                <w:sz w:val="18"/>
              </w:rPr>
              <w:t>0.000000</w:t>
            </w:r>
          </w:p>
        </w:tc>
        <w:tc>
          <w:tcPr>
            <w:tcW w:w="1409" w:type="dxa"/>
          </w:tcPr>
          <w:p>
            <w:pPr>
              <w:pStyle w:val="TableParagraph"/>
              <w:spacing w:before="5"/>
              <w:ind w:left="56" w:right="27"/>
              <w:jc w:val="center"/>
              <w:rPr>
                <w:sz w:val="18"/>
              </w:rPr>
            </w:pPr>
            <w:r>
              <w:rPr>
                <w:spacing w:val="-2"/>
                <w:sz w:val="18"/>
              </w:rPr>
              <w:t>0.000000</w:t>
            </w:r>
          </w:p>
        </w:tc>
        <w:tc>
          <w:tcPr>
            <w:tcW w:w="2834" w:type="dxa"/>
          </w:tcPr>
          <w:p>
            <w:pPr>
              <w:pStyle w:val="TableParagraph"/>
              <w:spacing w:before="5"/>
              <w:ind w:right="1425"/>
              <w:jc w:val="center"/>
              <w:rPr>
                <w:sz w:val="18"/>
              </w:rPr>
            </w:pPr>
            <w:r>
              <w:rPr>
                <w:spacing w:val="-2"/>
                <w:sz w:val="18"/>
              </w:rPr>
              <w:t>-3.979602</w:t>
            </w:r>
          </w:p>
        </w:tc>
      </w:tr>
      <w:tr>
        <w:trPr>
          <w:trHeight w:val="225" w:hRule="atLeast"/>
        </w:trPr>
        <w:tc>
          <w:tcPr>
            <w:tcW w:w="1467" w:type="dxa"/>
          </w:tcPr>
          <w:p>
            <w:pPr>
              <w:pStyle w:val="TableParagraph"/>
              <w:spacing w:line="240" w:lineRule="auto" w:before="0"/>
              <w:rPr>
                <w:rFonts w:ascii="Times New Roman"/>
                <w:sz w:val="16"/>
              </w:rPr>
            </w:pPr>
          </w:p>
        </w:tc>
        <w:tc>
          <w:tcPr>
            <w:tcW w:w="1266" w:type="dxa"/>
          </w:tcPr>
          <w:p>
            <w:pPr>
              <w:pStyle w:val="TableParagraph"/>
              <w:spacing w:line="240" w:lineRule="auto" w:before="0"/>
              <w:rPr>
                <w:rFonts w:ascii="Times New Roman"/>
                <w:sz w:val="16"/>
              </w:rPr>
            </w:pPr>
          </w:p>
        </w:tc>
        <w:tc>
          <w:tcPr>
            <w:tcW w:w="1561" w:type="dxa"/>
          </w:tcPr>
          <w:p>
            <w:pPr>
              <w:pStyle w:val="TableParagraph"/>
              <w:spacing w:line="240" w:lineRule="auto" w:before="0"/>
              <w:rPr>
                <w:rFonts w:ascii="Times New Roman"/>
                <w:sz w:val="16"/>
              </w:rPr>
            </w:pPr>
          </w:p>
        </w:tc>
        <w:tc>
          <w:tcPr>
            <w:tcW w:w="1350"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06" w:type="dxa"/>
          </w:tcPr>
          <w:p>
            <w:pPr>
              <w:pStyle w:val="TableParagraph"/>
              <w:spacing w:line="240" w:lineRule="auto" w:before="0"/>
              <w:rPr>
                <w:rFonts w:ascii="Times New Roman"/>
                <w:sz w:val="16"/>
              </w:rPr>
            </w:pPr>
          </w:p>
        </w:tc>
        <w:tc>
          <w:tcPr>
            <w:tcW w:w="1439" w:type="dxa"/>
          </w:tcPr>
          <w:p>
            <w:pPr>
              <w:pStyle w:val="TableParagraph"/>
              <w:spacing w:line="240" w:lineRule="auto" w:before="0"/>
              <w:rPr>
                <w:rFonts w:ascii="Times New Roman"/>
                <w:sz w:val="16"/>
              </w:rPr>
            </w:pPr>
          </w:p>
        </w:tc>
        <w:tc>
          <w:tcPr>
            <w:tcW w:w="1409" w:type="dxa"/>
          </w:tcPr>
          <w:p>
            <w:pPr>
              <w:pStyle w:val="TableParagraph"/>
              <w:spacing w:line="240" w:lineRule="auto" w:before="0"/>
              <w:rPr>
                <w:rFonts w:ascii="Times New Roman"/>
                <w:sz w:val="16"/>
              </w:rPr>
            </w:pPr>
          </w:p>
        </w:tc>
        <w:tc>
          <w:tcPr>
            <w:tcW w:w="2834" w:type="dxa"/>
          </w:tcPr>
          <w:p>
            <w:pPr>
              <w:pStyle w:val="TableParagraph"/>
              <w:ind w:left="51" w:right="1425"/>
              <w:jc w:val="center"/>
              <w:rPr>
                <w:sz w:val="18"/>
              </w:rPr>
            </w:pPr>
            <w:r>
              <w:rPr>
                <w:spacing w:val="-2"/>
                <w:sz w:val="18"/>
              </w:rPr>
              <w:t>(0.88403)</w:t>
            </w:r>
          </w:p>
        </w:tc>
      </w:tr>
      <w:tr>
        <w:trPr>
          <w:trHeight w:val="225" w:hRule="atLeast"/>
        </w:trPr>
        <w:tc>
          <w:tcPr>
            <w:tcW w:w="1467" w:type="dxa"/>
          </w:tcPr>
          <w:p>
            <w:pPr>
              <w:pStyle w:val="TableParagraph"/>
              <w:ind w:left="56" w:right="81"/>
              <w:jc w:val="center"/>
              <w:rPr>
                <w:sz w:val="18"/>
              </w:rPr>
            </w:pPr>
            <w:r>
              <w:rPr>
                <w:spacing w:val="-2"/>
                <w:sz w:val="18"/>
              </w:rPr>
              <w:t>0.000000</w:t>
            </w:r>
          </w:p>
        </w:tc>
        <w:tc>
          <w:tcPr>
            <w:tcW w:w="1266" w:type="dxa"/>
          </w:tcPr>
          <w:p>
            <w:pPr>
              <w:pStyle w:val="TableParagraph"/>
              <w:ind w:left="47" w:right="10"/>
              <w:jc w:val="center"/>
              <w:rPr>
                <w:sz w:val="18"/>
              </w:rPr>
            </w:pPr>
            <w:r>
              <w:rPr>
                <w:spacing w:val="-2"/>
                <w:sz w:val="18"/>
              </w:rPr>
              <w:t>0.000000</w:t>
            </w:r>
          </w:p>
        </w:tc>
        <w:tc>
          <w:tcPr>
            <w:tcW w:w="1561" w:type="dxa"/>
          </w:tcPr>
          <w:p>
            <w:pPr>
              <w:pStyle w:val="TableParagraph"/>
              <w:ind w:left="51" w:right="4"/>
              <w:jc w:val="center"/>
              <w:rPr>
                <w:sz w:val="18"/>
              </w:rPr>
            </w:pPr>
            <w:r>
              <w:rPr>
                <w:spacing w:val="-2"/>
                <w:sz w:val="18"/>
              </w:rPr>
              <w:t>0.000000</w:t>
            </w:r>
          </w:p>
        </w:tc>
        <w:tc>
          <w:tcPr>
            <w:tcW w:w="1350" w:type="dxa"/>
          </w:tcPr>
          <w:p>
            <w:pPr>
              <w:pStyle w:val="TableParagraph"/>
              <w:ind w:left="51" w:right="74"/>
              <w:jc w:val="center"/>
              <w:rPr>
                <w:sz w:val="18"/>
              </w:rPr>
            </w:pPr>
            <w:r>
              <w:rPr>
                <w:spacing w:val="-2"/>
                <w:sz w:val="18"/>
              </w:rPr>
              <w:t>0.000000</w:t>
            </w:r>
          </w:p>
        </w:tc>
        <w:tc>
          <w:tcPr>
            <w:tcW w:w="1418" w:type="dxa"/>
          </w:tcPr>
          <w:p>
            <w:pPr>
              <w:pStyle w:val="TableParagraph"/>
              <w:ind w:left="53" w:right="10"/>
              <w:jc w:val="center"/>
              <w:rPr>
                <w:sz w:val="18"/>
              </w:rPr>
            </w:pPr>
            <w:r>
              <w:rPr>
                <w:spacing w:val="-2"/>
                <w:sz w:val="18"/>
              </w:rPr>
              <w:t>0.000000</w:t>
            </w:r>
          </w:p>
        </w:tc>
        <w:tc>
          <w:tcPr>
            <w:tcW w:w="1406" w:type="dxa"/>
          </w:tcPr>
          <w:p>
            <w:pPr>
              <w:pStyle w:val="TableParagraph"/>
              <w:ind w:left="154" w:right="102"/>
              <w:jc w:val="center"/>
              <w:rPr>
                <w:sz w:val="18"/>
              </w:rPr>
            </w:pPr>
            <w:r>
              <w:rPr>
                <w:spacing w:val="-2"/>
                <w:sz w:val="18"/>
              </w:rPr>
              <w:t>1.000000</w:t>
            </w:r>
          </w:p>
        </w:tc>
        <w:tc>
          <w:tcPr>
            <w:tcW w:w="1439" w:type="dxa"/>
          </w:tcPr>
          <w:p>
            <w:pPr>
              <w:pStyle w:val="TableParagraph"/>
              <w:ind w:left="50" w:right="7"/>
              <w:jc w:val="center"/>
              <w:rPr>
                <w:sz w:val="18"/>
              </w:rPr>
            </w:pPr>
            <w:r>
              <w:rPr>
                <w:spacing w:val="-2"/>
                <w:sz w:val="18"/>
              </w:rPr>
              <w:t>0.000000</w:t>
            </w:r>
          </w:p>
        </w:tc>
        <w:tc>
          <w:tcPr>
            <w:tcW w:w="1409" w:type="dxa"/>
          </w:tcPr>
          <w:p>
            <w:pPr>
              <w:pStyle w:val="TableParagraph"/>
              <w:ind w:left="56" w:right="27"/>
              <w:jc w:val="center"/>
              <w:rPr>
                <w:sz w:val="18"/>
              </w:rPr>
            </w:pPr>
            <w:r>
              <w:rPr>
                <w:spacing w:val="-2"/>
                <w:sz w:val="18"/>
              </w:rPr>
              <w:t>0.000000</w:t>
            </w:r>
          </w:p>
        </w:tc>
        <w:tc>
          <w:tcPr>
            <w:tcW w:w="2834" w:type="dxa"/>
          </w:tcPr>
          <w:p>
            <w:pPr>
              <w:pStyle w:val="TableParagraph"/>
              <w:ind w:right="1425"/>
              <w:jc w:val="center"/>
              <w:rPr>
                <w:sz w:val="18"/>
              </w:rPr>
            </w:pPr>
            <w:r>
              <w:rPr>
                <w:spacing w:val="-2"/>
                <w:sz w:val="18"/>
              </w:rPr>
              <w:t>-76.35101</w:t>
            </w:r>
          </w:p>
        </w:tc>
      </w:tr>
      <w:tr>
        <w:trPr>
          <w:trHeight w:val="213" w:hRule="atLeast"/>
        </w:trPr>
        <w:tc>
          <w:tcPr>
            <w:tcW w:w="1467" w:type="dxa"/>
          </w:tcPr>
          <w:p>
            <w:pPr>
              <w:pStyle w:val="TableParagraph"/>
              <w:spacing w:line="240" w:lineRule="auto" w:before="0"/>
              <w:rPr>
                <w:rFonts w:ascii="Times New Roman"/>
                <w:sz w:val="14"/>
              </w:rPr>
            </w:pPr>
          </w:p>
        </w:tc>
        <w:tc>
          <w:tcPr>
            <w:tcW w:w="1266" w:type="dxa"/>
          </w:tcPr>
          <w:p>
            <w:pPr>
              <w:pStyle w:val="TableParagraph"/>
              <w:spacing w:line="240" w:lineRule="auto" w:before="0"/>
              <w:rPr>
                <w:rFonts w:ascii="Times New Roman"/>
                <w:sz w:val="14"/>
              </w:rPr>
            </w:pPr>
          </w:p>
        </w:tc>
        <w:tc>
          <w:tcPr>
            <w:tcW w:w="1561" w:type="dxa"/>
          </w:tcPr>
          <w:p>
            <w:pPr>
              <w:pStyle w:val="TableParagraph"/>
              <w:spacing w:line="240" w:lineRule="auto" w:before="0"/>
              <w:rPr>
                <w:rFonts w:ascii="Times New Roman"/>
                <w:sz w:val="14"/>
              </w:rPr>
            </w:pPr>
          </w:p>
        </w:tc>
        <w:tc>
          <w:tcPr>
            <w:tcW w:w="1350" w:type="dxa"/>
          </w:tcPr>
          <w:p>
            <w:pPr>
              <w:pStyle w:val="TableParagraph"/>
              <w:spacing w:line="240" w:lineRule="auto" w:before="0"/>
              <w:rPr>
                <w:rFonts w:ascii="Times New Roman"/>
                <w:sz w:val="14"/>
              </w:rPr>
            </w:pPr>
          </w:p>
        </w:tc>
        <w:tc>
          <w:tcPr>
            <w:tcW w:w="1418" w:type="dxa"/>
          </w:tcPr>
          <w:p>
            <w:pPr>
              <w:pStyle w:val="TableParagraph"/>
              <w:spacing w:line="240" w:lineRule="auto" w:before="0"/>
              <w:rPr>
                <w:rFonts w:ascii="Times New Roman"/>
                <w:sz w:val="14"/>
              </w:rPr>
            </w:pPr>
          </w:p>
        </w:tc>
        <w:tc>
          <w:tcPr>
            <w:tcW w:w="1406" w:type="dxa"/>
          </w:tcPr>
          <w:p>
            <w:pPr>
              <w:pStyle w:val="TableParagraph"/>
              <w:spacing w:line="240" w:lineRule="auto" w:before="0"/>
              <w:rPr>
                <w:rFonts w:ascii="Times New Roman"/>
                <w:sz w:val="14"/>
              </w:rPr>
            </w:pPr>
          </w:p>
        </w:tc>
        <w:tc>
          <w:tcPr>
            <w:tcW w:w="1439" w:type="dxa"/>
          </w:tcPr>
          <w:p>
            <w:pPr>
              <w:pStyle w:val="TableParagraph"/>
              <w:spacing w:line="240" w:lineRule="auto" w:before="0"/>
              <w:rPr>
                <w:rFonts w:ascii="Times New Roman"/>
                <w:sz w:val="14"/>
              </w:rPr>
            </w:pPr>
          </w:p>
        </w:tc>
        <w:tc>
          <w:tcPr>
            <w:tcW w:w="1409" w:type="dxa"/>
          </w:tcPr>
          <w:p>
            <w:pPr>
              <w:pStyle w:val="TableParagraph"/>
              <w:spacing w:line="240" w:lineRule="auto" w:before="0"/>
              <w:rPr>
                <w:rFonts w:ascii="Times New Roman"/>
                <w:sz w:val="14"/>
              </w:rPr>
            </w:pPr>
          </w:p>
        </w:tc>
        <w:tc>
          <w:tcPr>
            <w:tcW w:w="2834" w:type="dxa"/>
          </w:tcPr>
          <w:p>
            <w:pPr>
              <w:pStyle w:val="TableParagraph"/>
              <w:spacing w:line="187" w:lineRule="exact"/>
              <w:ind w:left="51" w:right="1425"/>
              <w:jc w:val="center"/>
              <w:rPr>
                <w:sz w:val="18"/>
              </w:rPr>
            </w:pPr>
            <w:r>
              <w:rPr>
                <w:spacing w:val="-2"/>
                <w:sz w:val="18"/>
              </w:rPr>
              <w:t>(6.99146)</w:t>
            </w:r>
          </w:p>
        </w:tc>
      </w:tr>
    </w:tbl>
    <w:p>
      <w:pPr>
        <w:spacing w:after="0" w:line="187" w:lineRule="exact"/>
        <w:jc w:val="center"/>
        <w:rPr>
          <w:sz w:val="18"/>
        </w:rPr>
        <w:sectPr>
          <w:pgSz w:w="15840" w:h="12240" w:orient="landscape"/>
          <w:pgMar w:header="0" w:footer="1012" w:top="1380" w:bottom="1200" w:left="1340" w:right="120"/>
        </w:sectPr>
      </w:pPr>
    </w:p>
    <w:p>
      <w:pPr>
        <w:pStyle w:val="BodyText"/>
        <w:spacing w:before="8"/>
        <w:ind w:left="0"/>
        <w:rPr>
          <w:b/>
          <w:sz w:val="6"/>
        </w:rPr>
      </w:pPr>
      <w:r>
        <w:rPr/>
        <mc:AlternateContent>
          <mc:Choice Requires="wps">
            <w:drawing>
              <wp:anchor distT="0" distB="0" distL="0" distR="0" allowOverlap="1" layoutInCell="1" locked="0" behindDoc="1" simplePos="0" relativeHeight="478144512">
                <wp:simplePos x="0" y="0"/>
                <wp:positionH relativeFrom="page">
                  <wp:posOffset>2093087</wp:posOffset>
                </wp:positionH>
                <wp:positionV relativeFrom="page">
                  <wp:posOffset>3863975</wp:posOffset>
                </wp:positionV>
                <wp:extent cx="2725420" cy="2851785"/>
                <wp:effectExtent l="0" t="0" r="0" b="0"/>
                <wp:wrapNone/>
                <wp:docPr id="294" name="Graphic 294"/>
                <wp:cNvGraphicFramePr>
                  <a:graphicFrameLocks/>
                </wp:cNvGraphicFramePr>
                <a:graphic>
                  <a:graphicData uri="http://schemas.microsoft.com/office/word/2010/wordprocessingShape">
                    <wps:wsp>
                      <wps:cNvPr id="294" name="Graphic 294"/>
                      <wps:cNvSpPr/>
                      <wps:spPr>
                        <a:xfrm>
                          <a:off x="0" y="0"/>
                          <a:ext cx="2725420" cy="2851785"/>
                        </a:xfrm>
                        <a:custGeom>
                          <a:avLst/>
                          <a:gdLst/>
                          <a:ahLst/>
                          <a:cxnLst/>
                          <a:rect l="l" t="t" r="r" b="b"/>
                          <a:pathLst>
                            <a:path w="2725420" h="2851785">
                              <a:moveTo>
                                <a:pt x="677037" y="2727363"/>
                              </a:moveTo>
                              <a:lnTo>
                                <a:pt x="123825" y="2174240"/>
                              </a:lnTo>
                              <a:lnTo>
                                <a:pt x="0" y="2298065"/>
                              </a:lnTo>
                              <a:lnTo>
                                <a:pt x="553212" y="2851188"/>
                              </a:lnTo>
                              <a:lnTo>
                                <a:pt x="677037" y="2727363"/>
                              </a:lnTo>
                              <a:close/>
                            </a:path>
                            <a:path w="2725420" h="2851785">
                              <a:moveTo>
                                <a:pt x="1052703" y="2298128"/>
                              </a:moveTo>
                              <a:lnTo>
                                <a:pt x="1049020" y="2245868"/>
                              </a:lnTo>
                              <a:lnTo>
                                <a:pt x="1033995" y="2190204"/>
                              </a:lnTo>
                              <a:lnTo>
                                <a:pt x="1007364" y="2134997"/>
                              </a:lnTo>
                              <a:lnTo>
                                <a:pt x="970749" y="2082050"/>
                              </a:lnTo>
                              <a:lnTo>
                                <a:pt x="925957" y="2031746"/>
                              </a:lnTo>
                              <a:lnTo>
                                <a:pt x="596138" y="1701927"/>
                              </a:lnTo>
                              <a:lnTo>
                                <a:pt x="472821" y="1825244"/>
                              </a:lnTo>
                              <a:lnTo>
                                <a:pt x="810387" y="2162937"/>
                              </a:lnTo>
                              <a:lnTo>
                                <a:pt x="830897" y="2185746"/>
                              </a:lnTo>
                              <a:lnTo>
                                <a:pt x="846543" y="2208212"/>
                              </a:lnTo>
                              <a:lnTo>
                                <a:pt x="857389" y="2230310"/>
                              </a:lnTo>
                              <a:lnTo>
                                <a:pt x="863473" y="2251964"/>
                              </a:lnTo>
                              <a:lnTo>
                                <a:pt x="864425" y="2272804"/>
                              </a:lnTo>
                              <a:lnTo>
                                <a:pt x="860488" y="2292248"/>
                              </a:lnTo>
                              <a:lnTo>
                                <a:pt x="838073" y="2326894"/>
                              </a:lnTo>
                              <a:lnTo>
                                <a:pt x="803160" y="2349462"/>
                              </a:lnTo>
                              <a:lnTo>
                                <a:pt x="783615" y="2353246"/>
                              </a:lnTo>
                              <a:lnTo>
                                <a:pt x="762635" y="2351913"/>
                              </a:lnTo>
                              <a:lnTo>
                                <a:pt x="718566" y="2335238"/>
                              </a:lnTo>
                              <a:lnTo>
                                <a:pt x="673735" y="2299589"/>
                              </a:lnTo>
                              <a:lnTo>
                                <a:pt x="336169" y="1961896"/>
                              </a:lnTo>
                              <a:lnTo>
                                <a:pt x="212725" y="2085213"/>
                              </a:lnTo>
                              <a:lnTo>
                                <a:pt x="542544" y="2415032"/>
                              </a:lnTo>
                              <a:lnTo>
                                <a:pt x="589292" y="2455926"/>
                              </a:lnTo>
                              <a:lnTo>
                                <a:pt x="647573" y="2497201"/>
                              </a:lnTo>
                              <a:lnTo>
                                <a:pt x="690054" y="2519197"/>
                              </a:lnTo>
                              <a:lnTo>
                                <a:pt x="737870" y="2534412"/>
                              </a:lnTo>
                              <a:lnTo>
                                <a:pt x="785342" y="2541803"/>
                              </a:lnTo>
                              <a:lnTo>
                                <a:pt x="807173" y="2541905"/>
                              </a:lnTo>
                              <a:lnTo>
                                <a:pt x="827786" y="2539746"/>
                              </a:lnTo>
                              <a:lnTo>
                                <a:pt x="867879" y="2527871"/>
                              </a:lnTo>
                              <a:lnTo>
                                <a:pt x="908177" y="2504567"/>
                              </a:lnTo>
                              <a:lnTo>
                                <a:pt x="945210" y="2475331"/>
                              </a:lnTo>
                              <a:lnTo>
                                <a:pt x="977011" y="2446274"/>
                              </a:lnTo>
                              <a:lnTo>
                                <a:pt x="1019365" y="2394864"/>
                              </a:lnTo>
                              <a:lnTo>
                                <a:pt x="1045337" y="2341626"/>
                              </a:lnTo>
                              <a:lnTo>
                                <a:pt x="1050340" y="2320988"/>
                              </a:lnTo>
                              <a:lnTo>
                                <a:pt x="1052703" y="2298128"/>
                              </a:lnTo>
                              <a:close/>
                            </a:path>
                            <a:path w="2725420" h="2851785">
                              <a:moveTo>
                                <a:pt x="1514906" y="1800758"/>
                              </a:moveTo>
                              <a:lnTo>
                                <a:pt x="1510944" y="1760004"/>
                              </a:lnTo>
                              <a:lnTo>
                                <a:pt x="1500924" y="1718437"/>
                              </a:lnTo>
                              <a:lnTo>
                                <a:pt x="1484630" y="1676019"/>
                              </a:lnTo>
                              <a:lnTo>
                                <a:pt x="1466799" y="1641500"/>
                              </a:lnTo>
                              <a:lnTo>
                                <a:pt x="1444396" y="1605927"/>
                              </a:lnTo>
                              <a:lnTo>
                                <a:pt x="1417332" y="1569351"/>
                              </a:lnTo>
                              <a:lnTo>
                                <a:pt x="1385658" y="1531886"/>
                              </a:lnTo>
                              <a:lnTo>
                                <a:pt x="1374343" y="1519974"/>
                              </a:lnTo>
                              <a:lnTo>
                                <a:pt x="1349248" y="1493520"/>
                              </a:lnTo>
                              <a:lnTo>
                                <a:pt x="1334071" y="1479397"/>
                              </a:lnTo>
                              <a:lnTo>
                                <a:pt x="1334071" y="1793036"/>
                              </a:lnTo>
                              <a:lnTo>
                                <a:pt x="1330960" y="1818589"/>
                              </a:lnTo>
                              <a:lnTo>
                                <a:pt x="1304544" y="1862963"/>
                              </a:lnTo>
                              <a:lnTo>
                                <a:pt x="1260627" y="1888655"/>
                              </a:lnTo>
                              <a:lnTo>
                                <a:pt x="1234922" y="1891474"/>
                              </a:lnTo>
                              <a:lnTo>
                                <a:pt x="1206627" y="1887474"/>
                              </a:lnTo>
                              <a:lnTo>
                                <a:pt x="1141310" y="1855927"/>
                              </a:lnTo>
                              <a:lnTo>
                                <a:pt x="1103998" y="1827225"/>
                              </a:lnTo>
                              <a:lnTo>
                                <a:pt x="1063625" y="1789684"/>
                              </a:lnTo>
                              <a:lnTo>
                                <a:pt x="1025956" y="1749107"/>
                              </a:lnTo>
                              <a:lnTo>
                                <a:pt x="997077" y="1711579"/>
                              </a:lnTo>
                              <a:lnTo>
                                <a:pt x="976858" y="1677212"/>
                              </a:lnTo>
                              <a:lnTo>
                                <a:pt x="961186" y="1617764"/>
                              </a:lnTo>
                              <a:lnTo>
                                <a:pt x="963891" y="1592186"/>
                              </a:lnTo>
                              <a:lnTo>
                                <a:pt x="988695" y="1549273"/>
                              </a:lnTo>
                              <a:lnTo>
                                <a:pt x="1032675" y="1523263"/>
                              </a:lnTo>
                              <a:lnTo>
                                <a:pt x="1058392" y="1519974"/>
                              </a:lnTo>
                              <a:lnTo>
                                <a:pt x="1086523" y="1523263"/>
                              </a:lnTo>
                              <a:lnTo>
                                <a:pt x="1150073" y="1553133"/>
                              </a:lnTo>
                              <a:lnTo>
                                <a:pt x="1185532" y="1579981"/>
                              </a:lnTo>
                              <a:lnTo>
                                <a:pt x="1223391" y="1614932"/>
                              </a:lnTo>
                              <a:lnTo>
                                <a:pt x="1264805" y="1659191"/>
                              </a:lnTo>
                              <a:lnTo>
                                <a:pt x="1296377" y="1699094"/>
                              </a:lnTo>
                              <a:lnTo>
                                <a:pt x="1318183" y="1734540"/>
                              </a:lnTo>
                              <a:lnTo>
                                <a:pt x="1334071" y="1793036"/>
                              </a:lnTo>
                              <a:lnTo>
                                <a:pt x="1334071" y="1479397"/>
                              </a:lnTo>
                              <a:lnTo>
                                <a:pt x="1304861" y="1452206"/>
                              </a:lnTo>
                              <a:lnTo>
                                <a:pt x="1260741" y="1417243"/>
                              </a:lnTo>
                              <a:lnTo>
                                <a:pt x="1216926" y="1388579"/>
                              </a:lnTo>
                              <a:lnTo>
                                <a:pt x="1173403" y="1366139"/>
                              </a:lnTo>
                              <a:lnTo>
                                <a:pt x="1130211" y="1349883"/>
                              </a:lnTo>
                              <a:lnTo>
                                <a:pt x="1087374" y="1339723"/>
                              </a:lnTo>
                              <a:lnTo>
                                <a:pt x="1037336" y="1336192"/>
                              </a:lnTo>
                              <a:lnTo>
                                <a:pt x="989520" y="1342542"/>
                              </a:lnTo>
                              <a:lnTo>
                                <a:pt x="943940" y="1358671"/>
                              </a:lnTo>
                              <a:lnTo>
                                <a:pt x="900595" y="1384452"/>
                              </a:lnTo>
                              <a:lnTo>
                                <a:pt x="859536" y="1419733"/>
                              </a:lnTo>
                              <a:lnTo>
                                <a:pt x="825195" y="1460017"/>
                              </a:lnTo>
                              <a:lnTo>
                                <a:pt x="800277" y="1502918"/>
                              </a:lnTo>
                              <a:lnTo>
                                <a:pt x="784872" y="1548434"/>
                              </a:lnTo>
                              <a:lnTo>
                                <a:pt x="779068" y="1596491"/>
                              </a:lnTo>
                              <a:lnTo>
                                <a:pt x="782955" y="1647063"/>
                              </a:lnTo>
                              <a:lnTo>
                                <a:pt x="793432" y="1690458"/>
                              </a:lnTo>
                              <a:lnTo>
                                <a:pt x="810082" y="1734261"/>
                              </a:lnTo>
                              <a:lnTo>
                                <a:pt x="832942" y="1778419"/>
                              </a:lnTo>
                              <a:lnTo>
                                <a:pt x="862076" y="1822894"/>
                              </a:lnTo>
                              <a:lnTo>
                                <a:pt x="897547" y="1867649"/>
                              </a:lnTo>
                              <a:lnTo>
                                <a:pt x="939419" y="1912620"/>
                              </a:lnTo>
                              <a:lnTo>
                                <a:pt x="977925" y="1948903"/>
                              </a:lnTo>
                              <a:lnTo>
                                <a:pt x="1016152" y="1980374"/>
                              </a:lnTo>
                              <a:lnTo>
                                <a:pt x="1054023" y="2007082"/>
                              </a:lnTo>
                              <a:lnTo>
                                <a:pt x="1091463" y="2029104"/>
                              </a:lnTo>
                              <a:lnTo>
                                <a:pt x="1128395" y="2046478"/>
                              </a:lnTo>
                              <a:lnTo>
                                <a:pt x="1173149" y="2061946"/>
                              </a:lnTo>
                              <a:lnTo>
                                <a:pt x="1215809" y="2070620"/>
                              </a:lnTo>
                              <a:lnTo>
                                <a:pt x="1256347" y="2072805"/>
                              </a:lnTo>
                              <a:lnTo>
                                <a:pt x="1294765" y="2068830"/>
                              </a:lnTo>
                              <a:lnTo>
                                <a:pt x="1331455" y="2058555"/>
                              </a:lnTo>
                              <a:lnTo>
                                <a:pt x="1367294" y="2041334"/>
                              </a:lnTo>
                              <a:lnTo>
                                <a:pt x="1402295" y="2017369"/>
                              </a:lnTo>
                              <a:lnTo>
                                <a:pt x="1436497" y="1986788"/>
                              </a:lnTo>
                              <a:lnTo>
                                <a:pt x="1466329" y="1952650"/>
                              </a:lnTo>
                              <a:lnTo>
                                <a:pt x="1489113" y="1916912"/>
                              </a:lnTo>
                              <a:lnTo>
                                <a:pt x="1504734" y="1879600"/>
                              </a:lnTo>
                              <a:lnTo>
                                <a:pt x="1513078" y="1840738"/>
                              </a:lnTo>
                              <a:lnTo>
                                <a:pt x="1514906" y="1800758"/>
                              </a:lnTo>
                              <a:close/>
                            </a:path>
                            <a:path w="2725420" h="2851785">
                              <a:moveTo>
                                <a:pt x="1687068" y="1432687"/>
                              </a:moveTo>
                              <a:lnTo>
                                <a:pt x="1568323" y="1313815"/>
                              </a:lnTo>
                              <a:lnTo>
                                <a:pt x="1406906" y="1475359"/>
                              </a:lnTo>
                              <a:lnTo>
                                <a:pt x="1525651" y="1594104"/>
                              </a:lnTo>
                              <a:lnTo>
                                <a:pt x="1687068" y="1432687"/>
                              </a:lnTo>
                              <a:close/>
                            </a:path>
                            <a:path w="2725420" h="2851785">
                              <a:moveTo>
                                <a:pt x="2011426" y="1392936"/>
                              </a:moveTo>
                              <a:lnTo>
                                <a:pt x="1458214" y="839724"/>
                              </a:lnTo>
                              <a:lnTo>
                                <a:pt x="1334389" y="963549"/>
                              </a:lnTo>
                              <a:lnTo>
                                <a:pt x="1887601" y="1516761"/>
                              </a:lnTo>
                              <a:lnTo>
                                <a:pt x="2011426" y="1392936"/>
                              </a:lnTo>
                              <a:close/>
                            </a:path>
                            <a:path w="2725420" h="2851785">
                              <a:moveTo>
                                <a:pt x="2223643" y="1180719"/>
                              </a:moveTo>
                              <a:lnTo>
                                <a:pt x="2018411" y="975360"/>
                              </a:lnTo>
                              <a:lnTo>
                                <a:pt x="2086102" y="907669"/>
                              </a:lnTo>
                              <a:lnTo>
                                <a:pt x="2118220" y="869683"/>
                              </a:lnTo>
                              <a:lnTo>
                                <a:pt x="2121700" y="863346"/>
                              </a:lnTo>
                              <a:lnTo>
                                <a:pt x="2139683" y="830580"/>
                              </a:lnTo>
                              <a:lnTo>
                                <a:pt x="2150389" y="790448"/>
                              </a:lnTo>
                              <a:lnTo>
                                <a:pt x="2150237" y="749300"/>
                              </a:lnTo>
                              <a:lnTo>
                                <a:pt x="2140077" y="707618"/>
                              </a:lnTo>
                              <a:lnTo>
                                <a:pt x="2125307" y="675309"/>
                              </a:lnTo>
                              <a:lnTo>
                                <a:pt x="2120976" y="665822"/>
                              </a:lnTo>
                              <a:lnTo>
                                <a:pt x="2092845" y="623951"/>
                              </a:lnTo>
                              <a:lnTo>
                                <a:pt x="2055622" y="582041"/>
                              </a:lnTo>
                              <a:lnTo>
                                <a:pt x="2015096" y="545795"/>
                              </a:lnTo>
                              <a:lnTo>
                                <a:pt x="1975065" y="518439"/>
                              </a:lnTo>
                              <a:lnTo>
                                <a:pt x="1969516" y="515823"/>
                              </a:lnTo>
                              <a:lnTo>
                                <a:pt x="1969516" y="765429"/>
                              </a:lnTo>
                              <a:lnTo>
                                <a:pt x="1968728" y="781672"/>
                              </a:lnTo>
                              <a:lnTo>
                                <a:pt x="1962873" y="798372"/>
                              </a:lnTo>
                              <a:lnTo>
                                <a:pt x="1952117" y="815530"/>
                              </a:lnTo>
                              <a:lnTo>
                                <a:pt x="1936623" y="833120"/>
                              </a:lnTo>
                              <a:lnTo>
                                <a:pt x="1906397" y="863346"/>
                              </a:lnTo>
                              <a:lnTo>
                                <a:pt x="1782953" y="739902"/>
                              </a:lnTo>
                              <a:lnTo>
                                <a:pt x="1818132" y="704723"/>
                              </a:lnTo>
                              <a:lnTo>
                                <a:pt x="1835251" y="689838"/>
                              </a:lnTo>
                              <a:lnTo>
                                <a:pt x="1851812" y="680046"/>
                              </a:lnTo>
                              <a:lnTo>
                                <a:pt x="1867852" y="675309"/>
                              </a:lnTo>
                              <a:lnTo>
                                <a:pt x="1883410" y="675640"/>
                              </a:lnTo>
                              <a:lnTo>
                                <a:pt x="1926856" y="695528"/>
                              </a:lnTo>
                              <a:lnTo>
                                <a:pt x="1960791" y="735203"/>
                              </a:lnTo>
                              <a:lnTo>
                                <a:pt x="1969516" y="765429"/>
                              </a:lnTo>
                              <a:lnTo>
                                <a:pt x="1969516" y="515823"/>
                              </a:lnTo>
                              <a:lnTo>
                                <a:pt x="1935568" y="499770"/>
                              </a:lnTo>
                              <a:lnTo>
                                <a:pt x="1896618" y="489585"/>
                              </a:lnTo>
                              <a:lnTo>
                                <a:pt x="1858467" y="488988"/>
                              </a:lnTo>
                              <a:lnTo>
                                <a:pt x="1821599" y="498335"/>
                              </a:lnTo>
                              <a:lnTo>
                                <a:pt x="1786039" y="517474"/>
                              </a:lnTo>
                              <a:lnTo>
                                <a:pt x="1751838" y="546227"/>
                              </a:lnTo>
                              <a:lnTo>
                                <a:pt x="1546352" y="751586"/>
                              </a:lnTo>
                              <a:lnTo>
                                <a:pt x="2099564" y="1304798"/>
                              </a:lnTo>
                              <a:lnTo>
                                <a:pt x="2223643" y="1180719"/>
                              </a:lnTo>
                              <a:close/>
                            </a:path>
                            <a:path w="2725420" h="2851785">
                              <a:moveTo>
                                <a:pt x="2725166" y="679196"/>
                              </a:moveTo>
                              <a:lnTo>
                                <a:pt x="2308479" y="262636"/>
                              </a:lnTo>
                              <a:lnTo>
                                <a:pt x="2434590" y="136525"/>
                              </a:lnTo>
                              <a:lnTo>
                                <a:pt x="2298065" y="0"/>
                              </a:lnTo>
                              <a:lnTo>
                                <a:pt x="1922399" y="375666"/>
                              </a:lnTo>
                              <a:lnTo>
                                <a:pt x="2058924" y="512191"/>
                              </a:lnTo>
                              <a:lnTo>
                                <a:pt x="2184908" y="386207"/>
                              </a:lnTo>
                              <a:lnTo>
                                <a:pt x="2601595" y="802767"/>
                              </a:lnTo>
                              <a:lnTo>
                                <a:pt x="2725166" y="6791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64.810013pt;margin-top:304.25pt;width:214.6pt;height:224.55pt;mso-position-horizontal-relative:page;mso-position-vertical-relative:page;z-index:-25171968" id="docshape294" coordorigin="3296,6085" coordsize="4292,4491" path="m4362,10380l3491,9509,3296,9704,4167,10575,4362,10380xm4954,9704l4953,9665,4948,9622,4939,9578,4925,9534,4906,9490,4883,9447,4855,9405,4825,9364,4791,9324,4754,9285,4235,8765,4041,8959,4572,9491,4605,9527,4629,9563,4646,9597,4656,9631,4658,9664,4651,9695,4637,9723,4616,9749,4590,9771,4561,9785,4530,9791,4497,9789,4463,9779,4428,9763,4393,9738,4357,9706,3826,9175,3631,9369,4151,9888,4185,9920,4224,9953,4268,9985,4316,10018,4348,10036,4383,10052,4420,10065,4458,10076,4497,10084,4533,10088,4567,10088,4600,10085,4631,10078,4663,10066,4695,10050,4726,10029,4757,10006,4785,9983,4811,9960,4835,9937,4871,9897,4902,9856,4925,9815,4942,9773,4950,9740,4954,9704xm5682,8921l5676,8857,5660,8791,5634,8724,5606,8670,5571,8614,5528,8556,5478,8497,5461,8479,5421,8437,5397,8415,5397,8909,5392,8949,5377,8986,5351,9019,5318,9044,5281,9059,5241,9064,5196,9057,5147,9039,5094,9008,5035,8963,4971,8903,4912,8840,4866,8780,4835,8726,4816,8677,4810,8633,4814,8592,4829,8556,4853,8525,4886,8499,4922,8484,4963,8479,5007,8484,5055,8501,5107,8531,5163,8573,5223,8628,5288,8698,5338,8761,5372,8817,5391,8865,5397,8909,5397,8415,5351,8372,5282,8317,5213,8272,5144,8236,5076,8211,5009,8195,4930,8189,4855,8199,4783,8225,4714,8265,4650,8321,4596,8384,4556,8452,4532,8523,4523,8599,4529,8679,4546,8747,4572,8816,4608,8886,4654,8956,4710,9026,4776,9097,4836,9154,4896,9204,4956,9246,5015,9280,5073,9308,5144,9332,5211,9346,5275,9349,5335,9343,5393,9327,5449,9300,5505,9262,5558,9214,5605,9160,5641,9104,5658,9064,5666,9045,5679,8984,5682,8921xm5953,8341l5766,8154,5512,8408,5699,8595,5953,8341xm6464,8279l5593,7407,5398,7602,6269,8474,6464,8279xm6798,7944l6475,7621,6581,7514,6632,7455,6637,7445,6666,7393,6683,7330,6682,7265,6666,7199,6643,7148,6636,7134,6592,7068,6533,7002,6470,6945,6407,6901,6398,6897,6398,7290,6397,7316,6387,7342,6370,7369,6346,7397,6298,7445,6104,7250,6159,7195,6186,7171,6212,7156,6238,7148,6262,7149,6286,7155,6309,7166,6331,7180,6352,7199,6370,7220,6384,7243,6393,7266,6398,7290,6398,6897,6344,6872,6283,6856,6223,6855,6165,6870,6109,6900,6055,6945,5731,7269,6603,8140,6798,7944xm7588,7155l6932,6499,7130,6300,6915,6085,6324,6677,6539,6892,6737,6693,7393,7349,7588,7155xe" filled="true" fillcolor="#c0c0c0" stroked="false">
                <v:path arrowok="t"/>
                <v:fill opacity="32896f" type="solid"/>
                <w10:wrap type="none"/>
              </v:shape>
            </w:pict>
          </mc:Fallback>
        </mc:AlternateContent>
      </w: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7"/>
        <w:gridCol w:w="1339"/>
        <w:gridCol w:w="1419"/>
        <w:gridCol w:w="1419"/>
        <w:gridCol w:w="1418"/>
        <w:gridCol w:w="1418"/>
        <w:gridCol w:w="1418"/>
        <w:gridCol w:w="1418"/>
        <w:gridCol w:w="2833"/>
      </w:tblGrid>
      <w:tr>
        <w:trPr>
          <w:trHeight w:val="212" w:hRule="atLeast"/>
        </w:trPr>
        <w:tc>
          <w:tcPr>
            <w:tcW w:w="1467" w:type="dxa"/>
          </w:tcPr>
          <w:p>
            <w:pPr>
              <w:pStyle w:val="TableParagraph"/>
              <w:spacing w:line="192" w:lineRule="exact" w:before="0"/>
              <w:ind w:left="56" w:right="81"/>
              <w:jc w:val="center"/>
              <w:rPr>
                <w:sz w:val="18"/>
              </w:rPr>
            </w:pPr>
            <w:r>
              <w:rPr>
                <w:spacing w:val="-2"/>
                <w:sz w:val="18"/>
              </w:rPr>
              <w:t>0.000000</w:t>
            </w:r>
          </w:p>
        </w:tc>
        <w:tc>
          <w:tcPr>
            <w:tcW w:w="1339" w:type="dxa"/>
          </w:tcPr>
          <w:p>
            <w:pPr>
              <w:pStyle w:val="TableParagraph"/>
              <w:spacing w:line="192" w:lineRule="exact" w:before="0"/>
              <w:ind w:left="50" w:right="83"/>
              <w:jc w:val="center"/>
              <w:rPr>
                <w:sz w:val="18"/>
              </w:rPr>
            </w:pPr>
            <w:r>
              <w:rPr>
                <w:spacing w:val="-2"/>
                <w:sz w:val="18"/>
              </w:rPr>
              <w:t>0.000000</w:t>
            </w:r>
          </w:p>
        </w:tc>
        <w:tc>
          <w:tcPr>
            <w:tcW w:w="1419" w:type="dxa"/>
          </w:tcPr>
          <w:p>
            <w:pPr>
              <w:pStyle w:val="TableParagraph"/>
              <w:spacing w:line="192" w:lineRule="exact" w:before="0"/>
              <w:ind w:left="47" w:right="4"/>
              <w:jc w:val="center"/>
              <w:rPr>
                <w:sz w:val="18"/>
              </w:rPr>
            </w:pPr>
            <w:r>
              <w:rPr>
                <w:spacing w:val="-2"/>
                <w:sz w:val="18"/>
              </w:rPr>
              <w:t>0.000000</w:t>
            </w:r>
          </w:p>
        </w:tc>
        <w:tc>
          <w:tcPr>
            <w:tcW w:w="1419" w:type="dxa"/>
          </w:tcPr>
          <w:p>
            <w:pPr>
              <w:pStyle w:val="TableParagraph"/>
              <w:spacing w:line="192" w:lineRule="exact" w:before="0"/>
              <w:ind w:left="47" w:right="4"/>
              <w:jc w:val="center"/>
              <w:rPr>
                <w:sz w:val="18"/>
              </w:rPr>
            </w:pPr>
            <w:r>
              <w:rPr>
                <w:spacing w:val="-2"/>
                <w:sz w:val="18"/>
              </w:rPr>
              <w:t>0.000000</w:t>
            </w:r>
          </w:p>
        </w:tc>
        <w:tc>
          <w:tcPr>
            <w:tcW w:w="1418" w:type="dxa"/>
          </w:tcPr>
          <w:p>
            <w:pPr>
              <w:pStyle w:val="TableParagraph"/>
              <w:spacing w:line="192" w:lineRule="exact" w:before="0"/>
              <w:ind w:left="53" w:right="10"/>
              <w:jc w:val="center"/>
              <w:rPr>
                <w:sz w:val="18"/>
              </w:rPr>
            </w:pPr>
            <w:r>
              <w:rPr/>
              <mc:AlternateContent>
                <mc:Choice Requires="wps">
                  <w:drawing>
                    <wp:anchor distT="0" distB="0" distL="0" distR="0" allowOverlap="1" layoutInCell="1" locked="0" behindDoc="1" simplePos="0" relativeHeight="478145024">
                      <wp:simplePos x="0" y="0"/>
                      <wp:positionH relativeFrom="column">
                        <wp:posOffset>-98501</wp:posOffset>
                      </wp:positionH>
                      <wp:positionV relativeFrom="paragraph">
                        <wp:posOffset>124300</wp:posOffset>
                      </wp:positionV>
                      <wp:extent cx="3179445" cy="3209290"/>
                      <wp:effectExtent l="0" t="0" r="0" b="0"/>
                      <wp:wrapNone/>
                      <wp:docPr id="295" name="Group 295"/>
                      <wp:cNvGraphicFramePr>
                        <a:graphicFrameLocks/>
                      </wp:cNvGraphicFramePr>
                      <a:graphic>
                        <a:graphicData uri="http://schemas.microsoft.com/office/word/2010/wordprocessingGroup">
                          <wpg:wgp>
                            <wpg:cNvPr id="295" name="Group 295"/>
                            <wpg:cNvGrpSpPr/>
                            <wpg:grpSpPr>
                              <a:xfrm>
                                <a:off x="0" y="0"/>
                                <a:ext cx="3179445" cy="3209290"/>
                                <a:chExt cx="3179445" cy="3209290"/>
                              </a:xfrm>
                            </wpg:grpSpPr>
                            <wps:wsp>
                              <wps:cNvPr id="296" name="Graphic 296"/>
                              <wps:cNvSpPr/>
                              <wps:spPr>
                                <a:xfrm>
                                  <a:off x="0" y="0"/>
                                  <a:ext cx="3179445" cy="3209290"/>
                                </a:xfrm>
                                <a:custGeom>
                                  <a:avLst/>
                                  <a:gdLst/>
                                  <a:ahLst/>
                                  <a:cxnLst/>
                                  <a:rect l="l" t="t" r="r" b="b"/>
                                  <a:pathLst>
                                    <a:path w="3179445" h="3209290">
                                      <a:moveTo>
                                        <a:pt x="802767" y="3085338"/>
                                      </a:moveTo>
                                      <a:lnTo>
                                        <a:pt x="386207" y="2668651"/>
                                      </a:lnTo>
                                      <a:lnTo>
                                        <a:pt x="512191" y="2542667"/>
                                      </a:lnTo>
                                      <a:lnTo>
                                        <a:pt x="375666" y="2406142"/>
                                      </a:lnTo>
                                      <a:lnTo>
                                        <a:pt x="0" y="2781808"/>
                                      </a:lnTo>
                                      <a:lnTo>
                                        <a:pt x="136652" y="2918333"/>
                                      </a:lnTo>
                                      <a:lnTo>
                                        <a:pt x="262636" y="2792349"/>
                                      </a:lnTo>
                                      <a:lnTo>
                                        <a:pt x="679196" y="3208909"/>
                                      </a:lnTo>
                                      <a:lnTo>
                                        <a:pt x="802767" y="3085338"/>
                                      </a:lnTo>
                                      <a:close/>
                                    </a:path>
                                    <a:path w="3179445" h="3209290">
                                      <a:moveTo>
                                        <a:pt x="1268552" y="2530856"/>
                                      </a:moveTo>
                                      <a:lnTo>
                                        <a:pt x="1264627" y="2490063"/>
                                      </a:lnTo>
                                      <a:lnTo>
                                        <a:pt x="1254658" y="2448458"/>
                                      </a:lnTo>
                                      <a:lnTo>
                                        <a:pt x="1238377" y="2406015"/>
                                      </a:lnTo>
                                      <a:lnTo>
                                        <a:pt x="1220482" y="2371560"/>
                                      </a:lnTo>
                                      <a:lnTo>
                                        <a:pt x="1198041" y="2336038"/>
                                      </a:lnTo>
                                      <a:lnTo>
                                        <a:pt x="1170927" y="2299449"/>
                                      </a:lnTo>
                                      <a:lnTo>
                                        <a:pt x="1139278" y="2262073"/>
                                      </a:lnTo>
                                      <a:lnTo>
                                        <a:pt x="1127887" y="2250097"/>
                                      </a:lnTo>
                                      <a:lnTo>
                                        <a:pt x="1102868" y="2223770"/>
                                      </a:lnTo>
                                      <a:lnTo>
                                        <a:pt x="1087691" y="2209635"/>
                                      </a:lnTo>
                                      <a:lnTo>
                                        <a:pt x="1087691" y="2523134"/>
                                      </a:lnTo>
                                      <a:lnTo>
                                        <a:pt x="1084554" y="2548661"/>
                                      </a:lnTo>
                                      <a:lnTo>
                                        <a:pt x="1058037" y="2593086"/>
                                      </a:lnTo>
                                      <a:lnTo>
                                        <a:pt x="1014298" y="2618714"/>
                                      </a:lnTo>
                                      <a:lnTo>
                                        <a:pt x="988644" y="2621483"/>
                                      </a:lnTo>
                                      <a:lnTo>
                                        <a:pt x="960374" y="2617470"/>
                                      </a:lnTo>
                                      <a:lnTo>
                                        <a:pt x="895057" y="2585936"/>
                                      </a:lnTo>
                                      <a:lnTo>
                                        <a:pt x="857745" y="2557272"/>
                                      </a:lnTo>
                                      <a:lnTo>
                                        <a:pt x="817372" y="2519807"/>
                                      </a:lnTo>
                                      <a:lnTo>
                                        <a:pt x="779627" y="2479154"/>
                                      </a:lnTo>
                                      <a:lnTo>
                                        <a:pt x="750722" y="2441600"/>
                                      </a:lnTo>
                                      <a:lnTo>
                                        <a:pt x="730529" y="2407208"/>
                                      </a:lnTo>
                                      <a:lnTo>
                                        <a:pt x="714908" y="2347785"/>
                                      </a:lnTo>
                                      <a:lnTo>
                                        <a:pt x="717575" y="2322245"/>
                                      </a:lnTo>
                                      <a:lnTo>
                                        <a:pt x="742315" y="2279396"/>
                                      </a:lnTo>
                                      <a:lnTo>
                                        <a:pt x="786295" y="2253386"/>
                                      </a:lnTo>
                                      <a:lnTo>
                                        <a:pt x="812012" y="2250097"/>
                                      </a:lnTo>
                                      <a:lnTo>
                                        <a:pt x="840143" y="2253386"/>
                                      </a:lnTo>
                                      <a:lnTo>
                                        <a:pt x="903643" y="2283256"/>
                                      </a:lnTo>
                                      <a:lnTo>
                                        <a:pt x="939126" y="2310104"/>
                                      </a:lnTo>
                                      <a:lnTo>
                                        <a:pt x="977011" y="2345055"/>
                                      </a:lnTo>
                                      <a:lnTo>
                                        <a:pt x="1018451" y="2389289"/>
                                      </a:lnTo>
                                      <a:lnTo>
                                        <a:pt x="1050048" y="2429167"/>
                                      </a:lnTo>
                                      <a:lnTo>
                                        <a:pt x="1071854" y="2464612"/>
                                      </a:lnTo>
                                      <a:lnTo>
                                        <a:pt x="1087691" y="2523134"/>
                                      </a:lnTo>
                                      <a:lnTo>
                                        <a:pt x="1087691" y="2209635"/>
                                      </a:lnTo>
                                      <a:lnTo>
                                        <a:pt x="1058481" y="2182406"/>
                                      </a:lnTo>
                                      <a:lnTo>
                                        <a:pt x="1014361" y="2147405"/>
                                      </a:lnTo>
                                      <a:lnTo>
                                        <a:pt x="970546" y="2118715"/>
                                      </a:lnTo>
                                      <a:lnTo>
                                        <a:pt x="927023" y="2096274"/>
                                      </a:lnTo>
                                      <a:lnTo>
                                        <a:pt x="883831" y="2080006"/>
                                      </a:lnTo>
                                      <a:lnTo>
                                        <a:pt x="840994" y="2069846"/>
                                      </a:lnTo>
                                      <a:lnTo>
                                        <a:pt x="790956" y="2066315"/>
                                      </a:lnTo>
                                      <a:lnTo>
                                        <a:pt x="743140" y="2072665"/>
                                      </a:lnTo>
                                      <a:lnTo>
                                        <a:pt x="697560" y="2088769"/>
                                      </a:lnTo>
                                      <a:lnTo>
                                        <a:pt x="654215" y="2114512"/>
                                      </a:lnTo>
                                      <a:lnTo>
                                        <a:pt x="613156" y="2149729"/>
                                      </a:lnTo>
                                      <a:lnTo>
                                        <a:pt x="578866" y="2190026"/>
                                      </a:lnTo>
                                      <a:lnTo>
                                        <a:pt x="553961" y="2232964"/>
                                      </a:lnTo>
                                      <a:lnTo>
                                        <a:pt x="538556" y="2278507"/>
                                      </a:lnTo>
                                      <a:lnTo>
                                        <a:pt x="532765" y="2326602"/>
                                      </a:lnTo>
                                      <a:lnTo>
                                        <a:pt x="536702" y="2377186"/>
                                      </a:lnTo>
                                      <a:lnTo>
                                        <a:pt x="547128" y="2420582"/>
                                      </a:lnTo>
                                      <a:lnTo>
                                        <a:pt x="563740" y="2464346"/>
                                      </a:lnTo>
                                      <a:lnTo>
                                        <a:pt x="586574" y="2508478"/>
                                      </a:lnTo>
                                      <a:lnTo>
                                        <a:pt x="615696" y="2552928"/>
                                      </a:lnTo>
                                      <a:lnTo>
                                        <a:pt x="651167" y="2597645"/>
                                      </a:lnTo>
                                      <a:lnTo>
                                        <a:pt x="693039" y="2642616"/>
                                      </a:lnTo>
                                      <a:lnTo>
                                        <a:pt x="731596" y="2678912"/>
                                      </a:lnTo>
                                      <a:lnTo>
                                        <a:pt x="769835" y="2710408"/>
                                      </a:lnTo>
                                      <a:lnTo>
                                        <a:pt x="807681" y="2737167"/>
                                      </a:lnTo>
                                      <a:lnTo>
                                        <a:pt x="845096" y="2759214"/>
                                      </a:lnTo>
                                      <a:lnTo>
                                        <a:pt x="882015" y="2776601"/>
                                      </a:lnTo>
                                      <a:lnTo>
                                        <a:pt x="926833" y="2792006"/>
                                      </a:lnTo>
                                      <a:lnTo>
                                        <a:pt x="969479" y="2800693"/>
                                      </a:lnTo>
                                      <a:lnTo>
                                        <a:pt x="1009992" y="2802915"/>
                                      </a:lnTo>
                                      <a:lnTo>
                                        <a:pt x="1048385" y="2798953"/>
                                      </a:lnTo>
                                      <a:lnTo>
                                        <a:pt x="1085100" y="2788602"/>
                                      </a:lnTo>
                                      <a:lnTo>
                                        <a:pt x="1120965" y="2771368"/>
                                      </a:lnTo>
                                      <a:lnTo>
                                        <a:pt x="1155966" y="2747416"/>
                                      </a:lnTo>
                                      <a:lnTo>
                                        <a:pt x="1190117" y="2716911"/>
                                      </a:lnTo>
                                      <a:lnTo>
                                        <a:pt x="1219974" y="2682722"/>
                                      </a:lnTo>
                                      <a:lnTo>
                                        <a:pt x="1242783" y="2646984"/>
                                      </a:lnTo>
                                      <a:lnTo>
                                        <a:pt x="1253464" y="2621483"/>
                                      </a:lnTo>
                                      <a:lnTo>
                                        <a:pt x="1258404" y="2609710"/>
                                      </a:lnTo>
                                      <a:lnTo>
                                        <a:pt x="1266698" y="2570861"/>
                                      </a:lnTo>
                                      <a:lnTo>
                                        <a:pt x="1268552" y="2530856"/>
                                      </a:lnTo>
                                      <a:close/>
                                    </a:path>
                                    <a:path w="3179445" h="3209290">
                                      <a:moveTo>
                                        <a:pt x="1911921" y="1898713"/>
                                      </a:moveTo>
                                      <a:lnTo>
                                        <a:pt x="1900936" y="1835531"/>
                                      </a:lnTo>
                                      <a:lnTo>
                                        <a:pt x="1873542" y="1767636"/>
                                      </a:lnTo>
                                      <a:lnTo>
                                        <a:pt x="1853907" y="1732191"/>
                                      </a:lnTo>
                                      <a:lnTo>
                                        <a:pt x="1830070" y="1695831"/>
                                      </a:lnTo>
                                      <a:lnTo>
                                        <a:pt x="1791639" y="1711452"/>
                                      </a:lnTo>
                                      <a:lnTo>
                                        <a:pt x="1676400" y="1758823"/>
                                      </a:lnTo>
                                      <a:lnTo>
                                        <a:pt x="1696453" y="1788236"/>
                                      </a:lnTo>
                                      <a:lnTo>
                                        <a:pt x="1711985" y="1815719"/>
                                      </a:lnTo>
                                      <a:lnTo>
                                        <a:pt x="1723186" y="1841309"/>
                                      </a:lnTo>
                                      <a:lnTo>
                                        <a:pt x="1730248" y="1864995"/>
                                      </a:lnTo>
                                      <a:lnTo>
                                        <a:pt x="1732229" y="1887347"/>
                                      </a:lnTo>
                                      <a:lnTo>
                                        <a:pt x="1728495" y="1908327"/>
                                      </a:lnTo>
                                      <a:lnTo>
                                        <a:pt x="1704086" y="1946402"/>
                                      </a:lnTo>
                                      <a:lnTo>
                                        <a:pt x="1663014" y="1970443"/>
                                      </a:lnTo>
                                      <a:lnTo>
                                        <a:pt x="1639201" y="1973021"/>
                                      </a:lnTo>
                                      <a:lnTo>
                                        <a:pt x="1613281" y="1969135"/>
                                      </a:lnTo>
                                      <a:lnTo>
                                        <a:pt x="1549806" y="1935657"/>
                                      </a:lnTo>
                                      <a:lnTo>
                                        <a:pt x="1510830" y="1904365"/>
                                      </a:lnTo>
                                      <a:lnTo>
                                        <a:pt x="1467104" y="1863217"/>
                                      </a:lnTo>
                                      <a:lnTo>
                                        <a:pt x="1433563" y="1827504"/>
                                      </a:lnTo>
                                      <a:lnTo>
                                        <a:pt x="1407058" y="1794510"/>
                                      </a:lnTo>
                                      <a:lnTo>
                                        <a:pt x="1375029" y="1737233"/>
                                      </a:lnTo>
                                      <a:lnTo>
                                        <a:pt x="1366748" y="1704390"/>
                                      </a:lnTo>
                                      <a:lnTo>
                                        <a:pt x="1366989" y="1674964"/>
                                      </a:lnTo>
                                      <a:lnTo>
                                        <a:pt x="1392682" y="1626108"/>
                                      </a:lnTo>
                                      <a:lnTo>
                                        <a:pt x="1436751" y="1603121"/>
                                      </a:lnTo>
                                      <a:lnTo>
                                        <a:pt x="1449895" y="1601851"/>
                                      </a:lnTo>
                                      <a:lnTo>
                                        <a:pt x="1463497" y="1602105"/>
                                      </a:lnTo>
                                      <a:lnTo>
                                        <a:pt x="1502016" y="1611642"/>
                                      </a:lnTo>
                                      <a:lnTo>
                                        <a:pt x="1541272" y="1632966"/>
                                      </a:lnTo>
                                      <a:lnTo>
                                        <a:pt x="1616710" y="1490218"/>
                                      </a:lnTo>
                                      <a:lnTo>
                                        <a:pt x="1563992" y="1461084"/>
                                      </a:lnTo>
                                      <a:lnTo>
                                        <a:pt x="1514081" y="1440662"/>
                                      </a:lnTo>
                                      <a:lnTo>
                                        <a:pt x="1467040" y="1428572"/>
                                      </a:lnTo>
                                      <a:lnTo>
                                        <a:pt x="1422908" y="1424432"/>
                                      </a:lnTo>
                                      <a:lnTo>
                                        <a:pt x="1380642" y="1429385"/>
                                      </a:lnTo>
                                      <a:lnTo>
                                        <a:pt x="1339748" y="1443939"/>
                                      </a:lnTo>
                                      <a:lnTo>
                                        <a:pt x="1300137" y="1467904"/>
                                      </a:lnTo>
                                      <a:lnTo>
                                        <a:pt x="1261745" y="1501140"/>
                                      </a:lnTo>
                                      <a:lnTo>
                                        <a:pt x="1227734" y="1540979"/>
                                      </a:lnTo>
                                      <a:lnTo>
                                        <a:pt x="1203071" y="1583207"/>
                                      </a:lnTo>
                                      <a:lnTo>
                                        <a:pt x="1187831" y="1627797"/>
                                      </a:lnTo>
                                      <a:lnTo>
                                        <a:pt x="1182128" y="1674749"/>
                                      </a:lnTo>
                                      <a:lnTo>
                                        <a:pt x="1186053" y="1724025"/>
                                      </a:lnTo>
                                      <a:lnTo>
                                        <a:pt x="1196657" y="1766570"/>
                                      </a:lnTo>
                                      <a:lnTo>
                                        <a:pt x="1213446" y="1809699"/>
                                      </a:lnTo>
                                      <a:lnTo>
                                        <a:pt x="1236497" y="1853438"/>
                                      </a:lnTo>
                                      <a:lnTo>
                                        <a:pt x="1265923" y="1897773"/>
                                      </a:lnTo>
                                      <a:lnTo>
                                        <a:pt x="1301826" y="1942693"/>
                                      </a:lnTo>
                                      <a:lnTo>
                                        <a:pt x="1344295" y="1988185"/>
                                      </a:lnTo>
                                      <a:lnTo>
                                        <a:pt x="1385252" y="2026716"/>
                                      </a:lnTo>
                                      <a:lnTo>
                                        <a:pt x="1425663" y="2059787"/>
                                      </a:lnTo>
                                      <a:lnTo>
                                        <a:pt x="1465516" y="2087511"/>
                                      </a:lnTo>
                                      <a:lnTo>
                                        <a:pt x="1504784" y="2110003"/>
                                      </a:lnTo>
                                      <a:lnTo>
                                        <a:pt x="1543431" y="2127377"/>
                                      </a:lnTo>
                                      <a:lnTo>
                                        <a:pt x="1589608" y="2142363"/>
                                      </a:lnTo>
                                      <a:lnTo>
                                        <a:pt x="1632305" y="2150580"/>
                                      </a:lnTo>
                                      <a:lnTo>
                                        <a:pt x="1671459" y="2152332"/>
                                      </a:lnTo>
                                      <a:lnTo>
                                        <a:pt x="1707007" y="2147951"/>
                                      </a:lnTo>
                                      <a:lnTo>
                                        <a:pt x="1773847" y="2120328"/>
                                      </a:lnTo>
                                      <a:lnTo>
                                        <a:pt x="1806816" y="2097024"/>
                                      </a:lnTo>
                                      <a:lnTo>
                                        <a:pt x="1839468" y="2067560"/>
                                      </a:lnTo>
                                      <a:lnTo>
                                        <a:pt x="1883181" y="2013115"/>
                                      </a:lnTo>
                                      <a:lnTo>
                                        <a:pt x="1906524" y="1957324"/>
                                      </a:lnTo>
                                      <a:lnTo>
                                        <a:pt x="1911146" y="1928583"/>
                                      </a:lnTo>
                                      <a:lnTo>
                                        <a:pt x="1911921" y="1898713"/>
                                      </a:lnTo>
                                      <a:close/>
                                    </a:path>
                                    <a:path w="3179445" h="3209290">
                                      <a:moveTo>
                                        <a:pt x="2354910" y="1444447"/>
                                      </a:moveTo>
                                      <a:lnTo>
                                        <a:pt x="2350986" y="1403692"/>
                                      </a:lnTo>
                                      <a:lnTo>
                                        <a:pt x="2341016" y="1362100"/>
                                      </a:lnTo>
                                      <a:lnTo>
                                        <a:pt x="2324735" y="1319657"/>
                                      </a:lnTo>
                                      <a:lnTo>
                                        <a:pt x="2306891" y="1285138"/>
                                      </a:lnTo>
                                      <a:lnTo>
                                        <a:pt x="2284463" y="1249578"/>
                                      </a:lnTo>
                                      <a:lnTo>
                                        <a:pt x="2257412" y="1213040"/>
                                      </a:lnTo>
                                      <a:lnTo>
                                        <a:pt x="2225713" y="1175588"/>
                                      </a:lnTo>
                                      <a:lnTo>
                                        <a:pt x="2189353" y="1137285"/>
                                      </a:lnTo>
                                      <a:lnTo>
                                        <a:pt x="2174049" y="1123035"/>
                                      </a:lnTo>
                                      <a:lnTo>
                                        <a:pt x="2174049" y="1436776"/>
                                      </a:lnTo>
                                      <a:lnTo>
                                        <a:pt x="2170938" y="1462278"/>
                                      </a:lnTo>
                                      <a:lnTo>
                                        <a:pt x="2144509" y="1506601"/>
                                      </a:lnTo>
                                      <a:lnTo>
                                        <a:pt x="2100719" y="1532293"/>
                                      </a:lnTo>
                                      <a:lnTo>
                                        <a:pt x="2075027" y="1535112"/>
                                      </a:lnTo>
                                      <a:lnTo>
                                        <a:pt x="2046732" y="1531112"/>
                                      </a:lnTo>
                                      <a:lnTo>
                                        <a:pt x="1981415" y="1499577"/>
                                      </a:lnTo>
                                      <a:lnTo>
                                        <a:pt x="1944103" y="1470914"/>
                                      </a:lnTo>
                                      <a:lnTo>
                                        <a:pt x="1903730" y="1433449"/>
                                      </a:lnTo>
                                      <a:lnTo>
                                        <a:pt x="1865985" y="1392796"/>
                                      </a:lnTo>
                                      <a:lnTo>
                                        <a:pt x="1837080" y="1355242"/>
                                      </a:lnTo>
                                      <a:lnTo>
                                        <a:pt x="1816887" y="1320850"/>
                                      </a:lnTo>
                                      <a:lnTo>
                                        <a:pt x="1801291" y="1261414"/>
                                      </a:lnTo>
                                      <a:lnTo>
                                        <a:pt x="1803984" y="1235837"/>
                                      </a:lnTo>
                                      <a:lnTo>
                                        <a:pt x="1828673" y="1193038"/>
                                      </a:lnTo>
                                      <a:lnTo>
                                        <a:pt x="1872678" y="1166964"/>
                                      </a:lnTo>
                                      <a:lnTo>
                                        <a:pt x="1898421" y="1163624"/>
                                      </a:lnTo>
                                      <a:lnTo>
                                        <a:pt x="1926590" y="1166876"/>
                                      </a:lnTo>
                                      <a:lnTo>
                                        <a:pt x="1990128" y="1196771"/>
                                      </a:lnTo>
                                      <a:lnTo>
                                        <a:pt x="2025611" y="1223619"/>
                                      </a:lnTo>
                                      <a:lnTo>
                                        <a:pt x="2063496" y="1258570"/>
                                      </a:lnTo>
                                      <a:lnTo>
                                        <a:pt x="2104910" y="1302829"/>
                                      </a:lnTo>
                                      <a:lnTo>
                                        <a:pt x="2136470" y="1342745"/>
                                      </a:lnTo>
                                      <a:lnTo>
                                        <a:pt x="2158238" y="1378229"/>
                                      </a:lnTo>
                                      <a:lnTo>
                                        <a:pt x="2174049" y="1436776"/>
                                      </a:lnTo>
                                      <a:lnTo>
                                        <a:pt x="2174049" y="1123035"/>
                                      </a:lnTo>
                                      <a:lnTo>
                                        <a:pt x="2144966" y="1095921"/>
                                      </a:lnTo>
                                      <a:lnTo>
                                        <a:pt x="2100846" y="1060919"/>
                                      </a:lnTo>
                                      <a:lnTo>
                                        <a:pt x="2057031" y="1032230"/>
                                      </a:lnTo>
                                      <a:lnTo>
                                        <a:pt x="2013508" y="1009789"/>
                                      </a:lnTo>
                                      <a:lnTo>
                                        <a:pt x="1970316" y="993521"/>
                                      </a:lnTo>
                                      <a:lnTo>
                                        <a:pt x="1927479" y="983361"/>
                                      </a:lnTo>
                                      <a:lnTo>
                                        <a:pt x="1877390" y="979881"/>
                                      </a:lnTo>
                                      <a:lnTo>
                                        <a:pt x="1829562" y="986269"/>
                                      </a:lnTo>
                                      <a:lnTo>
                                        <a:pt x="1783981" y="1002411"/>
                                      </a:lnTo>
                                      <a:lnTo>
                                        <a:pt x="1740623" y="1028153"/>
                                      </a:lnTo>
                                      <a:lnTo>
                                        <a:pt x="1699514" y="1063371"/>
                                      </a:lnTo>
                                      <a:lnTo>
                                        <a:pt x="1665224" y="1103668"/>
                                      </a:lnTo>
                                      <a:lnTo>
                                        <a:pt x="1640319" y="1146606"/>
                                      </a:lnTo>
                                      <a:lnTo>
                                        <a:pt x="1624914" y="1192149"/>
                                      </a:lnTo>
                                      <a:lnTo>
                                        <a:pt x="1619123" y="1240243"/>
                                      </a:lnTo>
                                      <a:lnTo>
                                        <a:pt x="1623060" y="1290828"/>
                                      </a:lnTo>
                                      <a:lnTo>
                                        <a:pt x="1633486" y="1334223"/>
                                      </a:lnTo>
                                      <a:lnTo>
                                        <a:pt x="1650098" y="1377988"/>
                                      </a:lnTo>
                                      <a:lnTo>
                                        <a:pt x="1672932" y="1422120"/>
                                      </a:lnTo>
                                      <a:lnTo>
                                        <a:pt x="1702054" y="1466570"/>
                                      </a:lnTo>
                                      <a:lnTo>
                                        <a:pt x="1737525" y="1511287"/>
                                      </a:lnTo>
                                      <a:lnTo>
                                        <a:pt x="1779397" y="1556258"/>
                                      </a:lnTo>
                                      <a:lnTo>
                                        <a:pt x="1817954" y="1592554"/>
                                      </a:lnTo>
                                      <a:lnTo>
                                        <a:pt x="1856193" y="1624050"/>
                                      </a:lnTo>
                                      <a:lnTo>
                                        <a:pt x="1894065" y="1650809"/>
                                      </a:lnTo>
                                      <a:lnTo>
                                        <a:pt x="1931517" y="1672856"/>
                                      </a:lnTo>
                                      <a:lnTo>
                                        <a:pt x="1968500" y="1690243"/>
                                      </a:lnTo>
                                      <a:lnTo>
                                        <a:pt x="2013254" y="1705635"/>
                                      </a:lnTo>
                                      <a:lnTo>
                                        <a:pt x="2055914" y="1714271"/>
                                      </a:lnTo>
                                      <a:lnTo>
                                        <a:pt x="2096452" y="1716443"/>
                                      </a:lnTo>
                                      <a:lnTo>
                                        <a:pt x="2134857" y="1712468"/>
                                      </a:lnTo>
                                      <a:lnTo>
                                        <a:pt x="2207349" y="1684972"/>
                                      </a:lnTo>
                                      <a:lnTo>
                                        <a:pt x="2242375" y="1661007"/>
                                      </a:lnTo>
                                      <a:lnTo>
                                        <a:pt x="2276602" y="1630426"/>
                                      </a:lnTo>
                                      <a:lnTo>
                                        <a:pt x="2306383" y="1596301"/>
                                      </a:lnTo>
                                      <a:lnTo>
                                        <a:pt x="2329154" y="1560601"/>
                                      </a:lnTo>
                                      <a:lnTo>
                                        <a:pt x="2344763" y="1523288"/>
                                      </a:lnTo>
                                      <a:lnTo>
                                        <a:pt x="2353056" y="1484376"/>
                                      </a:lnTo>
                                      <a:lnTo>
                                        <a:pt x="2354910" y="1444447"/>
                                      </a:lnTo>
                                      <a:close/>
                                    </a:path>
                                    <a:path w="3179445" h="3209290">
                                      <a:moveTo>
                                        <a:pt x="2660269" y="1227963"/>
                                      </a:moveTo>
                                      <a:lnTo>
                                        <a:pt x="2454910" y="1022604"/>
                                      </a:lnTo>
                                      <a:lnTo>
                                        <a:pt x="2522601" y="954913"/>
                                      </a:lnTo>
                                      <a:lnTo>
                                        <a:pt x="2554744" y="916901"/>
                                      </a:lnTo>
                                      <a:lnTo>
                                        <a:pt x="2558211" y="910590"/>
                                      </a:lnTo>
                                      <a:lnTo>
                                        <a:pt x="2576233" y="877760"/>
                                      </a:lnTo>
                                      <a:lnTo>
                                        <a:pt x="2586939" y="837577"/>
                                      </a:lnTo>
                                      <a:lnTo>
                                        <a:pt x="2586736" y="796417"/>
                                      </a:lnTo>
                                      <a:lnTo>
                                        <a:pt x="2576639" y="754748"/>
                                      </a:lnTo>
                                      <a:lnTo>
                                        <a:pt x="2557564" y="713003"/>
                                      </a:lnTo>
                                      <a:lnTo>
                                        <a:pt x="2529421" y="671169"/>
                                      </a:lnTo>
                                      <a:lnTo>
                                        <a:pt x="2492121" y="629285"/>
                                      </a:lnTo>
                                      <a:lnTo>
                                        <a:pt x="2451595" y="593026"/>
                                      </a:lnTo>
                                      <a:lnTo>
                                        <a:pt x="2411565" y="565632"/>
                                      </a:lnTo>
                                      <a:lnTo>
                                        <a:pt x="2406015" y="563016"/>
                                      </a:lnTo>
                                      <a:lnTo>
                                        <a:pt x="2406015" y="812673"/>
                                      </a:lnTo>
                                      <a:lnTo>
                                        <a:pt x="2405253" y="828903"/>
                                      </a:lnTo>
                                      <a:lnTo>
                                        <a:pt x="2399436" y="845553"/>
                                      </a:lnTo>
                                      <a:lnTo>
                                        <a:pt x="2388717" y="862672"/>
                                      </a:lnTo>
                                      <a:lnTo>
                                        <a:pt x="2373249" y="880237"/>
                                      </a:lnTo>
                                      <a:lnTo>
                                        <a:pt x="2342896" y="910590"/>
                                      </a:lnTo>
                                      <a:lnTo>
                                        <a:pt x="2219452" y="787146"/>
                                      </a:lnTo>
                                      <a:lnTo>
                                        <a:pt x="2254631" y="751967"/>
                                      </a:lnTo>
                                      <a:lnTo>
                                        <a:pt x="2271750" y="737082"/>
                                      </a:lnTo>
                                      <a:lnTo>
                                        <a:pt x="2288311" y="727290"/>
                                      </a:lnTo>
                                      <a:lnTo>
                                        <a:pt x="2304351" y="722553"/>
                                      </a:lnTo>
                                      <a:lnTo>
                                        <a:pt x="2319909" y="722884"/>
                                      </a:lnTo>
                                      <a:lnTo>
                                        <a:pt x="2363355" y="742772"/>
                                      </a:lnTo>
                                      <a:lnTo>
                                        <a:pt x="2397290" y="782447"/>
                                      </a:lnTo>
                                      <a:lnTo>
                                        <a:pt x="2406015" y="812673"/>
                                      </a:lnTo>
                                      <a:lnTo>
                                        <a:pt x="2406015" y="563016"/>
                                      </a:lnTo>
                                      <a:lnTo>
                                        <a:pt x="2372068" y="546963"/>
                                      </a:lnTo>
                                      <a:lnTo>
                                        <a:pt x="2333117" y="536829"/>
                                      </a:lnTo>
                                      <a:lnTo>
                                        <a:pt x="2294991" y="536219"/>
                                      </a:lnTo>
                                      <a:lnTo>
                                        <a:pt x="2258161" y="545515"/>
                                      </a:lnTo>
                                      <a:lnTo>
                                        <a:pt x="2222652" y="564603"/>
                                      </a:lnTo>
                                      <a:lnTo>
                                        <a:pt x="2188464" y="593344"/>
                                      </a:lnTo>
                                      <a:lnTo>
                                        <a:pt x="1982851" y="798830"/>
                                      </a:lnTo>
                                      <a:lnTo>
                                        <a:pt x="2536063" y="1352042"/>
                                      </a:lnTo>
                                      <a:lnTo>
                                        <a:pt x="2660269" y="1227963"/>
                                      </a:lnTo>
                                      <a:close/>
                                    </a:path>
                                    <a:path w="3179445" h="3209290">
                                      <a:moveTo>
                                        <a:pt x="3179445" y="708660"/>
                                      </a:moveTo>
                                      <a:lnTo>
                                        <a:pt x="2947670" y="477012"/>
                                      </a:lnTo>
                                      <a:lnTo>
                                        <a:pt x="2914142" y="381711"/>
                                      </a:lnTo>
                                      <a:lnTo>
                                        <a:pt x="2815323" y="95250"/>
                                      </a:lnTo>
                                      <a:lnTo>
                                        <a:pt x="2781808" y="0"/>
                                      </a:lnTo>
                                      <a:lnTo>
                                        <a:pt x="2645156" y="136652"/>
                                      </a:lnTo>
                                      <a:lnTo>
                                        <a:pt x="2662974" y="181178"/>
                                      </a:lnTo>
                                      <a:lnTo>
                                        <a:pt x="2715653" y="315112"/>
                                      </a:lnTo>
                                      <a:lnTo>
                                        <a:pt x="2751201" y="404241"/>
                                      </a:lnTo>
                                      <a:lnTo>
                                        <a:pt x="2706687" y="386359"/>
                                      </a:lnTo>
                                      <a:lnTo>
                                        <a:pt x="2572867" y="333527"/>
                                      </a:lnTo>
                                      <a:lnTo>
                                        <a:pt x="2483866" y="297942"/>
                                      </a:lnTo>
                                      <a:lnTo>
                                        <a:pt x="2346579" y="435229"/>
                                      </a:lnTo>
                                      <a:lnTo>
                                        <a:pt x="2441892" y="468693"/>
                                      </a:lnTo>
                                      <a:lnTo>
                                        <a:pt x="2728518" y="567385"/>
                                      </a:lnTo>
                                      <a:lnTo>
                                        <a:pt x="2823845" y="600837"/>
                                      </a:lnTo>
                                      <a:lnTo>
                                        <a:pt x="3055620" y="832485"/>
                                      </a:lnTo>
                                      <a:lnTo>
                                        <a:pt x="3179445" y="70866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7.756001pt;margin-top:9.787461pt;width:250.35pt;height:252.7pt;mso-position-horizontal-relative:column;mso-position-vertical-relative:paragraph;z-index:-25171456" id="docshapegroup295" coordorigin="-155,196" coordsize="5007,5054">
                      <v:shape style="position:absolute;left:-156;top:195;width:5007;height:5054" id="docshape296" coordorigin="-155,196" coordsize="5007,5054" path="m1109,5055l453,4398,651,4200,436,3985,-155,4577,60,4792,258,4593,914,5249,1109,5055xm1843,4181l1836,4117,1821,4052,1795,3985,1767,3930,1732,3875,1689,3817,1639,3758,1621,3739,1582,3698,1558,3675,1558,4169,1553,4209,1537,4246,1511,4279,1479,4305,1442,4320,1402,4324,1357,4318,1308,4300,1254,4268,1196,4223,1132,4164,1073,4100,1027,4041,995,3987,977,3938,971,3893,975,3853,989,3817,1014,3785,1047,3760,1083,3744,1124,3739,1168,3744,1216,3762,1268,3791,1324,3834,1383,3889,1449,3958,1499,4021,1533,4077,1552,4126,1558,4169,1558,3675,1512,3633,1442,3577,1373,3532,1305,3497,1237,3471,1169,3455,1090,3450,1015,3460,943,3485,875,3526,810,3581,756,3645,717,3712,693,3784,684,3860,690,3939,707,4008,733,4077,769,4146,814,4216,870,4287,936,4357,997,4415,1057,4464,1117,4506,1176,4541,1234,4568,1304,4593,1372,4606,1435,4610,1496,4604,1554,4587,1610,4560,1665,4522,1719,4474,1766,4421,1802,4364,1819,4324,1827,4306,1840,4244,1843,4181xm2856,3186l2851,3137,2838,3086,2820,3034,2795,2979,2764,2924,2727,2866,2666,2891,2485,2966,2516,3012,2541,3055,2559,3095,2570,3133,2573,3168,2567,3201,2552,3232,2528,3261,2498,3285,2464,3299,2426,3303,2385,3297,2339,3278,2286,3244,2224,3195,2155,3130,2102,3074,2061,3022,2030,2974,2010,2932,1997,2880,1998,2833,2011,2792,2038,2757,2053,2743,2070,2733,2088,2725,2107,2720,2128,2718,2150,2719,2172,2722,2195,2728,2210,2734,2228,2742,2249,2753,2272,2767,2391,2543,2308,2497,2229,2465,2155,2445,2086,2439,2019,2447,1955,2470,1892,2507,1832,2560,1778,2622,1739,2689,1715,2759,1707,2833,1713,2911,1729,2978,1756,3046,1792,3115,1838,3184,1895,3255,1962,3327,2026,3387,2090,3440,2153,3483,2215,3519,2275,3546,2348,3570,2415,3582,2477,3585,2533,3578,2586,3562,2638,3535,2690,3498,2742,3452,2780,3409,2811,3366,2833,3322,2847,3278,2855,3233,2856,3186xm3553,2470l3547,2406,3532,2341,3506,2274,3478,2220,3442,2164,3400,2106,3350,2047,3332,2028,3293,1987,3269,1964,3269,2458,3264,2499,3248,2535,3222,2568,3190,2594,3153,2609,3113,2613,3068,2607,3019,2589,2965,2557,2906,2512,2843,2453,2783,2389,2738,2330,2706,2276,2688,2227,2682,2182,2686,2142,2700,2106,2725,2075,2757,2049,2794,2033,2835,2028,2879,2033,2927,2051,2979,2080,3035,2123,3094,2178,3160,2247,3209,2310,3244,2366,3263,2415,3269,2458,3269,1964,3223,1922,3153,1866,3084,1821,3016,1786,2948,1760,2880,1744,2801,1739,2726,1749,2654,1774,2586,1815,2521,1870,2467,1934,2428,2001,2404,2073,2395,2149,2401,2229,2417,2297,2443,2366,2479,2435,2525,2505,2581,2576,2647,2647,2708,2704,2768,2753,2828,2795,2887,2830,2945,2858,3015,2882,3083,2895,3146,2899,3207,2893,3265,2876,3321,2849,3376,2812,3430,2763,3477,2710,3513,2653,3530,2613,3537,2595,3550,2533,3553,2470xm4034,2130l3711,1806,3817,1700,3868,1640,3874,1630,3902,1578,3919,1515,3918,1450,3903,1384,3879,1334,3873,1319,3828,1253,3769,1187,3706,1130,3643,1087,3634,1082,3634,1476,3633,1501,3624,1527,3607,1554,3582,1582,3534,1630,3340,1435,3395,1380,3422,1357,3449,1341,3474,1334,3498,1334,3522,1341,3545,1351,3567,1365,3588,1384,3606,1405,3620,1428,3629,1451,3634,1476,3634,1082,3580,1057,3519,1041,3459,1040,3401,1055,3345,1085,3291,1130,2967,1454,3839,2325,4034,2130xm4852,1312l4487,947,4434,797,4278,346,4226,196,4010,411,4039,481,4122,692,4177,832,4107,804,3897,721,3756,665,3540,881,3690,934,4142,1089,4292,1142,4657,1507,4852,1312xe" filled="true" fillcolor="#c0c0c0" stroked="false">
                        <v:path arrowok="t"/>
                        <v:fill opacity="32896f" type="solid"/>
                      </v:shape>
                      <w10:wrap type="none"/>
                    </v:group>
                  </w:pict>
                </mc:Fallback>
              </mc:AlternateContent>
            </w:r>
            <w:r>
              <w:rPr>
                <w:spacing w:val="-2"/>
                <w:sz w:val="18"/>
              </w:rPr>
              <w:t>0.000000</w:t>
            </w:r>
          </w:p>
        </w:tc>
        <w:tc>
          <w:tcPr>
            <w:tcW w:w="1418" w:type="dxa"/>
          </w:tcPr>
          <w:p>
            <w:pPr>
              <w:pStyle w:val="TableParagraph"/>
              <w:spacing w:line="192" w:lineRule="exact" w:before="0"/>
              <w:ind w:left="50" w:right="10"/>
              <w:jc w:val="center"/>
              <w:rPr>
                <w:sz w:val="18"/>
              </w:rPr>
            </w:pPr>
            <w:r>
              <w:rPr>
                <w:spacing w:val="-2"/>
                <w:sz w:val="18"/>
              </w:rPr>
              <w:t>0.000000</w:t>
            </w:r>
          </w:p>
        </w:tc>
        <w:tc>
          <w:tcPr>
            <w:tcW w:w="1418" w:type="dxa"/>
          </w:tcPr>
          <w:p>
            <w:pPr>
              <w:pStyle w:val="TableParagraph"/>
              <w:spacing w:line="192" w:lineRule="exact" w:before="0"/>
              <w:ind w:left="50" w:right="10"/>
              <w:jc w:val="center"/>
              <w:rPr>
                <w:sz w:val="18"/>
              </w:rPr>
            </w:pPr>
            <w:r>
              <w:rPr>
                <w:spacing w:val="-2"/>
                <w:sz w:val="18"/>
              </w:rPr>
              <w:t>1.000000</w:t>
            </w:r>
          </w:p>
        </w:tc>
        <w:tc>
          <w:tcPr>
            <w:tcW w:w="1418" w:type="dxa"/>
          </w:tcPr>
          <w:p>
            <w:pPr>
              <w:pStyle w:val="TableParagraph"/>
              <w:spacing w:line="192" w:lineRule="exact" w:before="0"/>
              <w:ind w:left="48" w:right="10"/>
              <w:jc w:val="center"/>
              <w:rPr>
                <w:sz w:val="18"/>
              </w:rPr>
            </w:pPr>
            <w:r>
              <w:rPr>
                <w:spacing w:val="-2"/>
                <w:sz w:val="18"/>
              </w:rPr>
              <w:t>0.000000</w:t>
            </w:r>
          </w:p>
        </w:tc>
        <w:tc>
          <w:tcPr>
            <w:tcW w:w="2833" w:type="dxa"/>
          </w:tcPr>
          <w:p>
            <w:pPr>
              <w:pStyle w:val="TableParagraph"/>
              <w:spacing w:line="192" w:lineRule="exact" w:before="0"/>
              <w:ind w:left="297"/>
              <w:rPr>
                <w:sz w:val="18"/>
              </w:rPr>
            </w:pPr>
            <w:r>
              <w:rPr>
                <w:spacing w:val="-2"/>
                <w:sz w:val="18"/>
              </w:rPr>
              <w:t>-0.059270</w:t>
            </w:r>
          </w:p>
        </w:tc>
      </w:tr>
      <w:tr>
        <w:trPr>
          <w:trHeight w:val="224" w:hRule="atLeast"/>
        </w:trPr>
        <w:tc>
          <w:tcPr>
            <w:tcW w:w="1467" w:type="dxa"/>
          </w:tcPr>
          <w:p>
            <w:pPr>
              <w:pStyle w:val="TableParagraph"/>
              <w:spacing w:line="240" w:lineRule="auto" w:before="0"/>
              <w:rPr>
                <w:rFonts w:ascii="Times New Roman"/>
                <w:sz w:val="16"/>
              </w:rPr>
            </w:pPr>
          </w:p>
        </w:tc>
        <w:tc>
          <w:tcPr>
            <w:tcW w:w="1339" w:type="dxa"/>
          </w:tcPr>
          <w:p>
            <w:pPr>
              <w:pStyle w:val="TableParagraph"/>
              <w:spacing w:line="240" w:lineRule="auto" w:before="0"/>
              <w:rPr>
                <w:rFonts w:ascii="Times New Roman"/>
                <w:sz w:val="16"/>
              </w:rPr>
            </w:pPr>
          </w:p>
        </w:tc>
        <w:tc>
          <w:tcPr>
            <w:tcW w:w="1419" w:type="dxa"/>
          </w:tcPr>
          <w:p>
            <w:pPr>
              <w:pStyle w:val="TableParagraph"/>
              <w:spacing w:line="240" w:lineRule="auto" w:before="0"/>
              <w:rPr>
                <w:rFonts w:ascii="Times New Roman"/>
                <w:sz w:val="16"/>
              </w:rPr>
            </w:pPr>
          </w:p>
        </w:tc>
        <w:tc>
          <w:tcPr>
            <w:tcW w:w="1419"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1418" w:type="dxa"/>
          </w:tcPr>
          <w:p>
            <w:pPr>
              <w:pStyle w:val="TableParagraph"/>
              <w:spacing w:line="240" w:lineRule="auto" w:before="0"/>
              <w:rPr>
                <w:rFonts w:ascii="Times New Roman"/>
                <w:sz w:val="16"/>
              </w:rPr>
            </w:pPr>
          </w:p>
        </w:tc>
        <w:tc>
          <w:tcPr>
            <w:tcW w:w="2833" w:type="dxa"/>
          </w:tcPr>
          <w:p>
            <w:pPr>
              <w:pStyle w:val="TableParagraph"/>
              <w:spacing w:before="5"/>
              <w:ind w:left="342"/>
              <w:rPr>
                <w:sz w:val="18"/>
              </w:rPr>
            </w:pPr>
            <w:r>
              <w:rPr>
                <w:spacing w:val="-2"/>
                <w:sz w:val="18"/>
              </w:rPr>
              <w:t>(0.01858)</w:t>
            </w:r>
          </w:p>
        </w:tc>
      </w:tr>
      <w:tr>
        <w:trPr>
          <w:trHeight w:val="225" w:hRule="atLeast"/>
        </w:trPr>
        <w:tc>
          <w:tcPr>
            <w:tcW w:w="1467" w:type="dxa"/>
          </w:tcPr>
          <w:p>
            <w:pPr>
              <w:pStyle w:val="TableParagraph"/>
              <w:ind w:left="56" w:right="81"/>
              <w:jc w:val="center"/>
              <w:rPr>
                <w:sz w:val="18"/>
              </w:rPr>
            </w:pPr>
            <w:r>
              <w:rPr>
                <w:spacing w:val="-2"/>
                <w:sz w:val="18"/>
              </w:rPr>
              <w:t>0.000000</w:t>
            </w:r>
          </w:p>
        </w:tc>
        <w:tc>
          <w:tcPr>
            <w:tcW w:w="1339" w:type="dxa"/>
          </w:tcPr>
          <w:p>
            <w:pPr>
              <w:pStyle w:val="TableParagraph"/>
              <w:ind w:left="50" w:right="83"/>
              <w:jc w:val="center"/>
              <w:rPr>
                <w:sz w:val="18"/>
              </w:rPr>
            </w:pPr>
            <w:r>
              <w:rPr>
                <w:spacing w:val="-2"/>
                <w:sz w:val="18"/>
              </w:rPr>
              <w:t>0.000000</w:t>
            </w:r>
          </w:p>
        </w:tc>
        <w:tc>
          <w:tcPr>
            <w:tcW w:w="1419" w:type="dxa"/>
          </w:tcPr>
          <w:p>
            <w:pPr>
              <w:pStyle w:val="TableParagraph"/>
              <w:ind w:left="47" w:right="4"/>
              <w:jc w:val="center"/>
              <w:rPr>
                <w:sz w:val="18"/>
              </w:rPr>
            </w:pPr>
            <w:r>
              <w:rPr>
                <w:spacing w:val="-2"/>
                <w:sz w:val="18"/>
              </w:rPr>
              <w:t>0.000000</w:t>
            </w:r>
          </w:p>
        </w:tc>
        <w:tc>
          <w:tcPr>
            <w:tcW w:w="1419" w:type="dxa"/>
          </w:tcPr>
          <w:p>
            <w:pPr>
              <w:pStyle w:val="TableParagraph"/>
              <w:ind w:left="47" w:right="4"/>
              <w:jc w:val="center"/>
              <w:rPr>
                <w:sz w:val="18"/>
              </w:rPr>
            </w:pPr>
            <w:r>
              <w:rPr>
                <w:spacing w:val="-2"/>
                <w:sz w:val="18"/>
              </w:rPr>
              <w:t>0.000000</w:t>
            </w:r>
          </w:p>
        </w:tc>
        <w:tc>
          <w:tcPr>
            <w:tcW w:w="1418" w:type="dxa"/>
          </w:tcPr>
          <w:p>
            <w:pPr>
              <w:pStyle w:val="TableParagraph"/>
              <w:ind w:left="53" w:right="10"/>
              <w:jc w:val="center"/>
              <w:rPr>
                <w:sz w:val="18"/>
              </w:rPr>
            </w:pPr>
            <w:r>
              <w:rPr>
                <w:spacing w:val="-2"/>
                <w:sz w:val="18"/>
              </w:rPr>
              <w:t>0.000000</w:t>
            </w:r>
          </w:p>
        </w:tc>
        <w:tc>
          <w:tcPr>
            <w:tcW w:w="1418" w:type="dxa"/>
          </w:tcPr>
          <w:p>
            <w:pPr>
              <w:pStyle w:val="TableParagraph"/>
              <w:ind w:left="50" w:right="10"/>
              <w:jc w:val="center"/>
              <w:rPr>
                <w:sz w:val="18"/>
              </w:rPr>
            </w:pPr>
            <w:r>
              <w:rPr>
                <w:spacing w:val="-2"/>
                <w:sz w:val="18"/>
              </w:rPr>
              <w:t>0.000000</w:t>
            </w:r>
          </w:p>
        </w:tc>
        <w:tc>
          <w:tcPr>
            <w:tcW w:w="1418" w:type="dxa"/>
          </w:tcPr>
          <w:p>
            <w:pPr>
              <w:pStyle w:val="TableParagraph"/>
              <w:ind w:left="50" w:right="10"/>
              <w:jc w:val="center"/>
              <w:rPr>
                <w:sz w:val="18"/>
              </w:rPr>
            </w:pPr>
            <w:r>
              <w:rPr>
                <w:spacing w:val="-2"/>
                <w:sz w:val="18"/>
              </w:rPr>
              <w:t>0.000000</w:t>
            </w:r>
          </w:p>
        </w:tc>
        <w:tc>
          <w:tcPr>
            <w:tcW w:w="1418" w:type="dxa"/>
          </w:tcPr>
          <w:p>
            <w:pPr>
              <w:pStyle w:val="TableParagraph"/>
              <w:ind w:left="48" w:right="10"/>
              <w:jc w:val="center"/>
              <w:rPr>
                <w:sz w:val="18"/>
              </w:rPr>
            </w:pPr>
            <w:r>
              <w:rPr>
                <w:spacing w:val="-2"/>
                <w:sz w:val="18"/>
              </w:rPr>
              <w:t>1.000000</w:t>
            </w:r>
          </w:p>
        </w:tc>
        <w:tc>
          <w:tcPr>
            <w:tcW w:w="2833" w:type="dxa"/>
          </w:tcPr>
          <w:p>
            <w:pPr>
              <w:pStyle w:val="TableParagraph"/>
              <w:ind w:left="352"/>
              <w:rPr>
                <w:sz w:val="18"/>
              </w:rPr>
            </w:pPr>
            <w:r>
              <w:rPr>
                <w:spacing w:val="-2"/>
                <w:sz w:val="18"/>
              </w:rPr>
              <w:t>0.078013</w:t>
            </w:r>
          </w:p>
        </w:tc>
      </w:tr>
      <w:tr>
        <w:trPr>
          <w:trHeight w:val="337" w:hRule="atLeast"/>
        </w:trPr>
        <w:tc>
          <w:tcPr>
            <w:tcW w:w="1467" w:type="dxa"/>
          </w:tcPr>
          <w:p>
            <w:pPr>
              <w:pStyle w:val="TableParagraph"/>
              <w:spacing w:line="240" w:lineRule="auto" w:before="0"/>
              <w:rPr>
                <w:rFonts w:ascii="Times New Roman"/>
                <w:sz w:val="18"/>
              </w:rPr>
            </w:pPr>
          </w:p>
        </w:tc>
        <w:tc>
          <w:tcPr>
            <w:tcW w:w="1339" w:type="dxa"/>
          </w:tcPr>
          <w:p>
            <w:pPr>
              <w:pStyle w:val="TableParagraph"/>
              <w:spacing w:line="240" w:lineRule="auto" w:before="0"/>
              <w:rPr>
                <w:rFonts w:ascii="Times New Roman"/>
                <w:sz w:val="18"/>
              </w:rPr>
            </w:pPr>
          </w:p>
        </w:tc>
        <w:tc>
          <w:tcPr>
            <w:tcW w:w="1419" w:type="dxa"/>
          </w:tcPr>
          <w:p>
            <w:pPr>
              <w:pStyle w:val="TableParagraph"/>
              <w:spacing w:line="240" w:lineRule="auto" w:before="0"/>
              <w:rPr>
                <w:rFonts w:ascii="Times New Roman"/>
                <w:sz w:val="18"/>
              </w:rPr>
            </w:pPr>
          </w:p>
        </w:tc>
        <w:tc>
          <w:tcPr>
            <w:tcW w:w="1419" w:type="dxa"/>
          </w:tcPr>
          <w:p>
            <w:pPr>
              <w:pStyle w:val="TableParagraph"/>
              <w:spacing w:line="240" w:lineRule="auto" w:before="0"/>
              <w:rPr>
                <w:rFonts w:ascii="Times New Roman"/>
                <w:sz w:val="18"/>
              </w:rPr>
            </w:pPr>
          </w:p>
        </w:tc>
        <w:tc>
          <w:tcPr>
            <w:tcW w:w="1418" w:type="dxa"/>
          </w:tcPr>
          <w:p>
            <w:pPr>
              <w:pStyle w:val="TableParagraph"/>
              <w:spacing w:line="240" w:lineRule="auto" w:before="0"/>
              <w:rPr>
                <w:rFonts w:ascii="Times New Roman"/>
                <w:sz w:val="18"/>
              </w:rPr>
            </w:pPr>
          </w:p>
        </w:tc>
        <w:tc>
          <w:tcPr>
            <w:tcW w:w="1418" w:type="dxa"/>
          </w:tcPr>
          <w:p>
            <w:pPr>
              <w:pStyle w:val="TableParagraph"/>
              <w:spacing w:line="240" w:lineRule="auto" w:before="0"/>
              <w:rPr>
                <w:rFonts w:ascii="Times New Roman"/>
                <w:sz w:val="18"/>
              </w:rPr>
            </w:pPr>
          </w:p>
        </w:tc>
        <w:tc>
          <w:tcPr>
            <w:tcW w:w="1418" w:type="dxa"/>
          </w:tcPr>
          <w:p>
            <w:pPr>
              <w:pStyle w:val="TableParagraph"/>
              <w:spacing w:line="240" w:lineRule="auto" w:before="0"/>
              <w:rPr>
                <w:rFonts w:ascii="Times New Roman"/>
                <w:sz w:val="18"/>
              </w:rPr>
            </w:pPr>
          </w:p>
        </w:tc>
        <w:tc>
          <w:tcPr>
            <w:tcW w:w="1418" w:type="dxa"/>
          </w:tcPr>
          <w:p>
            <w:pPr>
              <w:pStyle w:val="TableParagraph"/>
              <w:spacing w:line="240" w:lineRule="auto" w:before="0"/>
              <w:rPr>
                <w:rFonts w:ascii="Times New Roman"/>
                <w:sz w:val="18"/>
              </w:rPr>
            </w:pPr>
          </w:p>
        </w:tc>
        <w:tc>
          <w:tcPr>
            <w:tcW w:w="2833" w:type="dxa"/>
          </w:tcPr>
          <w:p>
            <w:pPr>
              <w:pStyle w:val="TableParagraph"/>
              <w:spacing w:line="240" w:lineRule="auto"/>
              <w:ind w:left="342"/>
              <w:rPr>
                <w:sz w:val="18"/>
              </w:rPr>
            </w:pPr>
            <w:r>
              <w:rPr>
                <w:spacing w:val="-2"/>
                <w:sz w:val="18"/>
              </w:rPr>
              <w:t>(0.02980)</w:t>
            </w:r>
          </w:p>
        </w:tc>
      </w:tr>
      <w:tr>
        <w:trPr>
          <w:trHeight w:val="337" w:hRule="atLeast"/>
        </w:trPr>
        <w:tc>
          <w:tcPr>
            <w:tcW w:w="14149" w:type="dxa"/>
            <w:gridSpan w:val="9"/>
          </w:tcPr>
          <w:p>
            <w:pPr>
              <w:pStyle w:val="TableParagraph"/>
              <w:spacing w:before="118"/>
              <w:rPr>
                <w:sz w:val="18"/>
              </w:rPr>
            </w:pPr>
            <w:r>
              <w:rPr>
                <w:sz w:val="18"/>
              </w:rPr>
              <w:t>Adjustment</w:t>
            </w:r>
            <w:r>
              <w:rPr>
                <w:spacing w:val="-4"/>
                <w:sz w:val="18"/>
              </w:rPr>
              <w:t> </w:t>
            </w:r>
            <w:r>
              <w:rPr>
                <w:sz w:val="18"/>
              </w:rPr>
              <w:t>coefficients</w:t>
            </w:r>
            <w:r>
              <w:rPr>
                <w:spacing w:val="-3"/>
                <w:sz w:val="18"/>
              </w:rPr>
              <w:t> </w:t>
            </w:r>
            <w:r>
              <w:rPr>
                <w:sz w:val="18"/>
              </w:rPr>
              <w:t>(standard</w:t>
            </w:r>
            <w:r>
              <w:rPr>
                <w:spacing w:val="-3"/>
                <w:sz w:val="18"/>
              </w:rPr>
              <w:t> </w:t>
            </w:r>
            <w:r>
              <w:rPr>
                <w:sz w:val="18"/>
              </w:rPr>
              <w:t>error</w:t>
            </w:r>
            <w:r>
              <w:rPr>
                <w:spacing w:val="-7"/>
                <w:sz w:val="18"/>
              </w:rPr>
              <w:t> </w:t>
            </w:r>
            <w:r>
              <w:rPr>
                <w:sz w:val="18"/>
              </w:rPr>
              <w:t>in</w:t>
            </w:r>
            <w:r>
              <w:rPr>
                <w:spacing w:val="-1"/>
                <w:sz w:val="18"/>
              </w:rPr>
              <w:t> </w:t>
            </w:r>
            <w:r>
              <w:rPr>
                <w:spacing w:val="-2"/>
                <w:sz w:val="18"/>
              </w:rPr>
              <w:t>parentheses)</w:t>
            </w:r>
          </w:p>
        </w:tc>
      </w:tr>
      <w:tr>
        <w:trPr>
          <w:trHeight w:val="225" w:hRule="atLeast"/>
        </w:trPr>
        <w:tc>
          <w:tcPr>
            <w:tcW w:w="1467" w:type="dxa"/>
          </w:tcPr>
          <w:p>
            <w:pPr>
              <w:pStyle w:val="TableParagraph"/>
              <w:ind w:right="81"/>
              <w:jc w:val="center"/>
              <w:rPr>
                <w:sz w:val="18"/>
              </w:rPr>
            </w:pPr>
            <w:r>
              <w:rPr>
                <w:spacing w:val="-2"/>
                <w:sz w:val="18"/>
              </w:rPr>
              <w:t>D(RGDP)</w:t>
            </w:r>
          </w:p>
        </w:tc>
        <w:tc>
          <w:tcPr>
            <w:tcW w:w="1339" w:type="dxa"/>
          </w:tcPr>
          <w:p>
            <w:pPr>
              <w:pStyle w:val="TableParagraph"/>
              <w:ind w:right="83"/>
              <w:jc w:val="center"/>
              <w:rPr>
                <w:sz w:val="18"/>
              </w:rPr>
            </w:pPr>
            <w:r>
              <w:rPr>
                <w:spacing w:val="-2"/>
                <w:sz w:val="18"/>
              </w:rPr>
              <w:t>-0.227673</w:t>
            </w:r>
          </w:p>
        </w:tc>
        <w:tc>
          <w:tcPr>
            <w:tcW w:w="1419" w:type="dxa"/>
          </w:tcPr>
          <w:p>
            <w:pPr>
              <w:pStyle w:val="TableParagraph"/>
              <w:ind w:left="47" w:right="4"/>
              <w:jc w:val="center"/>
              <w:rPr>
                <w:sz w:val="18"/>
              </w:rPr>
            </w:pPr>
            <w:r>
              <w:rPr>
                <w:spacing w:val="-2"/>
                <w:sz w:val="18"/>
              </w:rPr>
              <w:t>0.665671</w:t>
            </w:r>
          </w:p>
        </w:tc>
        <w:tc>
          <w:tcPr>
            <w:tcW w:w="1419" w:type="dxa"/>
          </w:tcPr>
          <w:p>
            <w:pPr>
              <w:pStyle w:val="TableParagraph"/>
              <w:ind w:left="47" w:right="4"/>
              <w:jc w:val="center"/>
              <w:rPr>
                <w:sz w:val="18"/>
              </w:rPr>
            </w:pPr>
            <w:r>
              <w:rPr>
                <w:spacing w:val="-2"/>
                <w:sz w:val="18"/>
              </w:rPr>
              <w:t>59.18097</w:t>
            </w:r>
          </w:p>
        </w:tc>
        <w:tc>
          <w:tcPr>
            <w:tcW w:w="1418" w:type="dxa"/>
          </w:tcPr>
          <w:p>
            <w:pPr>
              <w:pStyle w:val="TableParagraph"/>
              <w:ind w:left="53" w:right="10"/>
              <w:jc w:val="center"/>
              <w:rPr>
                <w:sz w:val="18"/>
              </w:rPr>
            </w:pPr>
            <w:r>
              <w:rPr>
                <w:spacing w:val="-2"/>
                <w:sz w:val="18"/>
              </w:rPr>
              <w:t>13.37094</w:t>
            </w:r>
          </w:p>
        </w:tc>
        <w:tc>
          <w:tcPr>
            <w:tcW w:w="1418" w:type="dxa"/>
          </w:tcPr>
          <w:p>
            <w:pPr>
              <w:pStyle w:val="TableParagraph"/>
              <w:ind w:left="43" w:right="51"/>
              <w:jc w:val="center"/>
              <w:rPr>
                <w:sz w:val="18"/>
              </w:rPr>
            </w:pPr>
            <w:r>
              <w:rPr>
                <w:spacing w:val="-2"/>
                <w:sz w:val="18"/>
              </w:rPr>
              <w:t>-1.526090</w:t>
            </w:r>
          </w:p>
        </w:tc>
        <w:tc>
          <w:tcPr>
            <w:tcW w:w="1418" w:type="dxa"/>
          </w:tcPr>
          <w:p>
            <w:pPr>
              <w:pStyle w:val="TableParagraph"/>
              <w:ind w:left="50" w:right="10"/>
              <w:jc w:val="center"/>
              <w:rPr>
                <w:sz w:val="18"/>
              </w:rPr>
            </w:pPr>
            <w:r>
              <w:rPr>
                <w:spacing w:val="-2"/>
                <w:sz w:val="18"/>
              </w:rPr>
              <w:t>0.001464</w:t>
            </w:r>
          </w:p>
        </w:tc>
        <w:tc>
          <w:tcPr>
            <w:tcW w:w="1418" w:type="dxa"/>
          </w:tcPr>
          <w:p>
            <w:pPr>
              <w:pStyle w:val="TableParagraph"/>
              <w:ind w:left="48" w:right="10"/>
              <w:jc w:val="center"/>
              <w:rPr>
                <w:sz w:val="18"/>
              </w:rPr>
            </w:pPr>
            <w:r>
              <w:rPr>
                <w:spacing w:val="-2"/>
                <w:sz w:val="18"/>
              </w:rPr>
              <w:t>156.4575</w:t>
            </w:r>
          </w:p>
        </w:tc>
        <w:tc>
          <w:tcPr>
            <w:tcW w:w="2833" w:type="dxa"/>
          </w:tcPr>
          <w:p>
            <w:pPr>
              <w:pStyle w:val="TableParagraph"/>
              <w:ind w:left="297"/>
              <w:rPr>
                <w:sz w:val="18"/>
              </w:rPr>
            </w:pPr>
            <w:r>
              <w:rPr>
                <w:spacing w:val="-2"/>
                <w:sz w:val="18"/>
              </w:rPr>
              <w:t>-34.24744</w:t>
            </w:r>
          </w:p>
        </w:tc>
      </w:tr>
      <w:tr>
        <w:trPr>
          <w:trHeight w:val="225" w:hRule="atLeast"/>
        </w:trPr>
        <w:tc>
          <w:tcPr>
            <w:tcW w:w="1467" w:type="dxa"/>
          </w:tcPr>
          <w:p>
            <w:pPr>
              <w:pStyle w:val="TableParagraph"/>
              <w:spacing w:line="240" w:lineRule="auto" w:before="0"/>
              <w:rPr>
                <w:rFonts w:ascii="Times New Roman"/>
                <w:sz w:val="16"/>
              </w:rPr>
            </w:pPr>
          </w:p>
        </w:tc>
        <w:tc>
          <w:tcPr>
            <w:tcW w:w="1339" w:type="dxa"/>
          </w:tcPr>
          <w:p>
            <w:pPr>
              <w:pStyle w:val="TableParagraph"/>
              <w:ind w:left="51" w:right="83"/>
              <w:jc w:val="center"/>
              <w:rPr>
                <w:sz w:val="18"/>
              </w:rPr>
            </w:pPr>
            <w:r>
              <w:rPr>
                <w:spacing w:val="-2"/>
                <w:sz w:val="18"/>
              </w:rPr>
              <w:t>(0.06440)</w:t>
            </w:r>
          </w:p>
        </w:tc>
        <w:tc>
          <w:tcPr>
            <w:tcW w:w="1419" w:type="dxa"/>
          </w:tcPr>
          <w:p>
            <w:pPr>
              <w:pStyle w:val="TableParagraph"/>
              <w:ind w:left="48" w:right="4"/>
              <w:jc w:val="center"/>
              <w:rPr>
                <w:sz w:val="18"/>
              </w:rPr>
            </w:pPr>
            <w:r>
              <w:rPr>
                <w:spacing w:val="-2"/>
                <w:sz w:val="18"/>
              </w:rPr>
              <w:t>(0.33568)</w:t>
            </w:r>
          </w:p>
        </w:tc>
        <w:tc>
          <w:tcPr>
            <w:tcW w:w="1419" w:type="dxa"/>
          </w:tcPr>
          <w:p>
            <w:pPr>
              <w:pStyle w:val="TableParagraph"/>
              <w:ind w:left="48" w:right="4"/>
              <w:jc w:val="center"/>
              <w:rPr>
                <w:sz w:val="18"/>
              </w:rPr>
            </w:pPr>
            <w:r>
              <w:rPr>
                <w:spacing w:val="-2"/>
                <w:sz w:val="18"/>
              </w:rPr>
              <w:t>(20.0328)</w:t>
            </w:r>
          </w:p>
        </w:tc>
        <w:tc>
          <w:tcPr>
            <w:tcW w:w="1418" w:type="dxa"/>
          </w:tcPr>
          <w:p>
            <w:pPr>
              <w:pStyle w:val="TableParagraph"/>
              <w:ind w:left="53" w:right="10"/>
              <w:jc w:val="center"/>
              <w:rPr>
                <w:sz w:val="18"/>
              </w:rPr>
            </w:pPr>
            <w:r>
              <w:rPr>
                <w:spacing w:val="-2"/>
                <w:sz w:val="18"/>
              </w:rPr>
              <w:t>(16.8503)</w:t>
            </w:r>
          </w:p>
        </w:tc>
        <w:tc>
          <w:tcPr>
            <w:tcW w:w="1418" w:type="dxa"/>
          </w:tcPr>
          <w:p>
            <w:pPr>
              <w:pStyle w:val="TableParagraph"/>
              <w:ind w:left="50" w:right="10"/>
              <w:jc w:val="center"/>
              <w:rPr>
                <w:sz w:val="18"/>
              </w:rPr>
            </w:pPr>
            <w:r>
              <w:rPr>
                <w:spacing w:val="-2"/>
                <w:sz w:val="18"/>
              </w:rPr>
              <w:t>(0.98527)</w:t>
            </w:r>
          </w:p>
        </w:tc>
        <w:tc>
          <w:tcPr>
            <w:tcW w:w="1418" w:type="dxa"/>
          </w:tcPr>
          <w:p>
            <w:pPr>
              <w:pStyle w:val="TableParagraph"/>
              <w:ind w:left="51" w:right="10"/>
              <w:jc w:val="center"/>
              <w:rPr>
                <w:sz w:val="18"/>
              </w:rPr>
            </w:pPr>
            <w:r>
              <w:rPr>
                <w:spacing w:val="-2"/>
                <w:sz w:val="18"/>
              </w:rPr>
              <w:t>(0.09082)</w:t>
            </w:r>
          </w:p>
        </w:tc>
        <w:tc>
          <w:tcPr>
            <w:tcW w:w="1418" w:type="dxa"/>
          </w:tcPr>
          <w:p>
            <w:pPr>
              <w:pStyle w:val="TableParagraph"/>
              <w:ind w:left="48" w:right="10"/>
              <w:jc w:val="center"/>
              <w:rPr>
                <w:sz w:val="18"/>
              </w:rPr>
            </w:pPr>
            <w:r>
              <w:rPr>
                <w:spacing w:val="-2"/>
                <w:sz w:val="18"/>
              </w:rPr>
              <w:t>(61.3900)</w:t>
            </w:r>
          </w:p>
        </w:tc>
        <w:tc>
          <w:tcPr>
            <w:tcW w:w="2833" w:type="dxa"/>
          </w:tcPr>
          <w:p>
            <w:pPr>
              <w:pStyle w:val="TableParagraph"/>
              <w:ind w:left="342"/>
              <w:rPr>
                <w:sz w:val="18"/>
              </w:rPr>
            </w:pPr>
            <w:r>
              <w:rPr>
                <w:spacing w:val="-2"/>
                <w:sz w:val="18"/>
              </w:rPr>
              <w:t>(38.8715)</w:t>
            </w:r>
          </w:p>
        </w:tc>
      </w:tr>
      <w:tr>
        <w:trPr>
          <w:trHeight w:val="224" w:hRule="atLeast"/>
        </w:trPr>
        <w:tc>
          <w:tcPr>
            <w:tcW w:w="1467" w:type="dxa"/>
          </w:tcPr>
          <w:p>
            <w:pPr>
              <w:pStyle w:val="TableParagraph"/>
              <w:spacing w:line="198" w:lineRule="exact"/>
              <w:ind w:left="2" w:right="81"/>
              <w:jc w:val="center"/>
              <w:rPr>
                <w:sz w:val="18"/>
              </w:rPr>
            </w:pPr>
            <w:r>
              <w:rPr>
                <w:spacing w:val="-2"/>
                <w:sz w:val="18"/>
              </w:rPr>
              <w:t>D(FDI)</w:t>
            </w:r>
          </w:p>
        </w:tc>
        <w:tc>
          <w:tcPr>
            <w:tcW w:w="1339" w:type="dxa"/>
          </w:tcPr>
          <w:p>
            <w:pPr>
              <w:pStyle w:val="TableParagraph"/>
              <w:spacing w:line="198" w:lineRule="exact"/>
              <w:ind w:left="50" w:right="83"/>
              <w:jc w:val="center"/>
              <w:rPr>
                <w:sz w:val="18"/>
              </w:rPr>
            </w:pPr>
            <w:r>
              <w:rPr>
                <w:spacing w:val="-2"/>
                <w:sz w:val="18"/>
              </w:rPr>
              <w:t>0.072447</w:t>
            </w:r>
          </w:p>
        </w:tc>
        <w:tc>
          <w:tcPr>
            <w:tcW w:w="1419" w:type="dxa"/>
          </w:tcPr>
          <w:p>
            <w:pPr>
              <w:pStyle w:val="TableParagraph"/>
              <w:spacing w:line="198" w:lineRule="exact"/>
              <w:ind w:left="44" w:right="48"/>
              <w:jc w:val="center"/>
              <w:rPr>
                <w:sz w:val="18"/>
              </w:rPr>
            </w:pPr>
            <w:r>
              <w:rPr>
                <w:spacing w:val="-2"/>
                <w:sz w:val="18"/>
              </w:rPr>
              <w:t>-0.608830</w:t>
            </w:r>
          </w:p>
        </w:tc>
        <w:tc>
          <w:tcPr>
            <w:tcW w:w="1419" w:type="dxa"/>
          </w:tcPr>
          <w:p>
            <w:pPr>
              <w:pStyle w:val="TableParagraph"/>
              <w:spacing w:line="198" w:lineRule="exact"/>
              <w:ind w:left="44" w:right="48"/>
              <w:jc w:val="center"/>
              <w:rPr>
                <w:sz w:val="18"/>
              </w:rPr>
            </w:pPr>
            <w:r>
              <w:rPr>
                <w:spacing w:val="-2"/>
                <w:sz w:val="18"/>
              </w:rPr>
              <w:t>-8.175339</w:t>
            </w:r>
          </w:p>
        </w:tc>
        <w:tc>
          <w:tcPr>
            <w:tcW w:w="1418" w:type="dxa"/>
          </w:tcPr>
          <w:p>
            <w:pPr>
              <w:pStyle w:val="TableParagraph"/>
              <w:spacing w:line="198" w:lineRule="exact"/>
              <w:ind w:left="43" w:right="48"/>
              <w:jc w:val="center"/>
              <w:rPr>
                <w:sz w:val="18"/>
              </w:rPr>
            </w:pPr>
            <w:r>
              <w:rPr>
                <w:spacing w:val="-2"/>
                <w:sz w:val="18"/>
              </w:rPr>
              <w:t>-7.419646</w:t>
            </w:r>
          </w:p>
        </w:tc>
        <w:tc>
          <w:tcPr>
            <w:tcW w:w="1418" w:type="dxa"/>
          </w:tcPr>
          <w:p>
            <w:pPr>
              <w:pStyle w:val="TableParagraph"/>
              <w:spacing w:line="198" w:lineRule="exact"/>
              <w:ind w:left="43" w:right="51"/>
              <w:jc w:val="center"/>
              <w:rPr>
                <w:sz w:val="18"/>
              </w:rPr>
            </w:pPr>
            <w:r>
              <w:rPr>
                <w:spacing w:val="-2"/>
                <w:sz w:val="18"/>
              </w:rPr>
              <w:t>-0.153997</w:t>
            </w:r>
          </w:p>
        </w:tc>
        <w:tc>
          <w:tcPr>
            <w:tcW w:w="1418" w:type="dxa"/>
          </w:tcPr>
          <w:p>
            <w:pPr>
              <w:pStyle w:val="TableParagraph"/>
              <w:spacing w:line="198" w:lineRule="exact"/>
              <w:ind w:left="43" w:right="50"/>
              <w:jc w:val="center"/>
              <w:rPr>
                <w:sz w:val="18"/>
              </w:rPr>
            </w:pPr>
            <w:r>
              <w:rPr>
                <w:spacing w:val="-2"/>
                <w:sz w:val="18"/>
              </w:rPr>
              <w:t>-0.067372</w:t>
            </w:r>
          </w:p>
        </w:tc>
        <w:tc>
          <w:tcPr>
            <w:tcW w:w="1418" w:type="dxa"/>
          </w:tcPr>
          <w:p>
            <w:pPr>
              <w:pStyle w:val="TableParagraph"/>
              <w:spacing w:line="198" w:lineRule="exact"/>
              <w:ind w:left="48" w:right="10"/>
              <w:jc w:val="center"/>
              <w:rPr>
                <w:sz w:val="18"/>
              </w:rPr>
            </w:pPr>
            <w:r>
              <w:rPr>
                <w:spacing w:val="-2"/>
                <w:sz w:val="18"/>
              </w:rPr>
              <w:t>4.570793</w:t>
            </w:r>
          </w:p>
        </w:tc>
        <w:tc>
          <w:tcPr>
            <w:tcW w:w="2833" w:type="dxa"/>
          </w:tcPr>
          <w:p>
            <w:pPr>
              <w:pStyle w:val="TableParagraph"/>
              <w:spacing w:line="198" w:lineRule="exact"/>
              <w:ind w:left="297"/>
              <w:rPr>
                <w:sz w:val="18"/>
              </w:rPr>
            </w:pPr>
            <w:r>
              <w:rPr>
                <w:spacing w:val="-2"/>
                <w:sz w:val="18"/>
              </w:rPr>
              <w:t>-6.429705</w:t>
            </w:r>
          </w:p>
        </w:tc>
      </w:tr>
      <w:tr>
        <w:trPr>
          <w:trHeight w:val="224" w:hRule="atLeast"/>
        </w:trPr>
        <w:tc>
          <w:tcPr>
            <w:tcW w:w="1467" w:type="dxa"/>
          </w:tcPr>
          <w:p>
            <w:pPr>
              <w:pStyle w:val="TableParagraph"/>
              <w:spacing w:line="240" w:lineRule="auto" w:before="0"/>
              <w:rPr>
                <w:rFonts w:ascii="Times New Roman"/>
                <w:sz w:val="16"/>
              </w:rPr>
            </w:pPr>
          </w:p>
        </w:tc>
        <w:tc>
          <w:tcPr>
            <w:tcW w:w="1339" w:type="dxa"/>
          </w:tcPr>
          <w:p>
            <w:pPr>
              <w:pStyle w:val="TableParagraph"/>
              <w:spacing w:line="200" w:lineRule="exact" w:before="5"/>
              <w:ind w:left="51" w:right="83"/>
              <w:jc w:val="center"/>
              <w:rPr>
                <w:sz w:val="18"/>
              </w:rPr>
            </w:pPr>
            <w:r>
              <w:rPr>
                <w:spacing w:val="-2"/>
                <w:sz w:val="18"/>
              </w:rPr>
              <w:t>(0.02551)</w:t>
            </w:r>
          </w:p>
        </w:tc>
        <w:tc>
          <w:tcPr>
            <w:tcW w:w="1419" w:type="dxa"/>
          </w:tcPr>
          <w:p>
            <w:pPr>
              <w:pStyle w:val="TableParagraph"/>
              <w:spacing w:line="200" w:lineRule="exact" w:before="5"/>
              <w:ind w:left="48" w:right="4"/>
              <w:jc w:val="center"/>
              <w:rPr>
                <w:sz w:val="18"/>
              </w:rPr>
            </w:pPr>
            <w:r>
              <w:rPr>
                <w:spacing w:val="-2"/>
                <w:sz w:val="18"/>
              </w:rPr>
              <w:t>(0.13296)</w:t>
            </w:r>
          </w:p>
        </w:tc>
        <w:tc>
          <w:tcPr>
            <w:tcW w:w="1419" w:type="dxa"/>
          </w:tcPr>
          <w:p>
            <w:pPr>
              <w:pStyle w:val="TableParagraph"/>
              <w:spacing w:line="200" w:lineRule="exact" w:before="5"/>
              <w:ind w:left="48" w:right="4"/>
              <w:jc w:val="center"/>
              <w:rPr>
                <w:sz w:val="18"/>
              </w:rPr>
            </w:pPr>
            <w:r>
              <w:rPr>
                <w:spacing w:val="-2"/>
                <w:sz w:val="18"/>
              </w:rPr>
              <w:t>(7.93492)</w:t>
            </w:r>
          </w:p>
        </w:tc>
        <w:tc>
          <w:tcPr>
            <w:tcW w:w="1418" w:type="dxa"/>
          </w:tcPr>
          <w:p>
            <w:pPr>
              <w:pStyle w:val="TableParagraph"/>
              <w:spacing w:line="200" w:lineRule="exact" w:before="5"/>
              <w:ind w:left="53" w:right="10"/>
              <w:jc w:val="center"/>
              <w:rPr>
                <w:sz w:val="18"/>
              </w:rPr>
            </w:pPr>
            <w:r>
              <w:rPr>
                <w:spacing w:val="-2"/>
                <w:sz w:val="18"/>
              </w:rPr>
              <w:t>(6.67434)</w:t>
            </w:r>
          </w:p>
        </w:tc>
        <w:tc>
          <w:tcPr>
            <w:tcW w:w="1418" w:type="dxa"/>
          </w:tcPr>
          <w:p>
            <w:pPr>
              <w:pStyle w:val="TableParagraph"/>
              <w:spacing w:line="200" w:lineRule="exact" w:before="5"/>
              <w:ind w:left="50" w:right="10"/>
              <w:jc w:val="center"/>
              <w:rPr>
                <w:sz w:val="18"/>
              </w:rPr>
            </w:pPr>
            <w:r>
              <w:rPr>
                <w:spacing w:val="-2"/>
                <w:sz w:val="18"/>
              </w:rPr>
              <w:t>(0.39026)</w:t>
            </w:r>
          </w:p>
        </w:tc>
        <w:tc>
          <w:tcPr>
            <w:tcW w:w="1418" w:type="dxa"/>
          </w:tcPr>
          <w:p>
            <w:pPr>
              <w:pStyle w:val="TableParagraph"/>
              <w:spacing w:line="200" w:lineRule="exact" w:before="5"/>
              <w:ind w:left="51" w:right="10"/>
              <w:jc w:val="center"/>
              <w:rPr>
                <w:sz w:val="18"/>
              </w:rPr>
            </w:pPr>
            <w:r>
              <w:rPr>
                <w:spacing w:val="-2"/>
                <w:sz w:val="18"/>
              </w:rPr>
              <w:t>(0.03597)</w:t>
            </w:r>
          </w:p>
        </w:tc>
        <w:tc>
          <w:tcPr>
            <w:tcW w:w="1418" w:type="dxa"/>
          </w:tcPr>
          <w:p>
            <w:pPr>
              <w:pStyle w:val="TableParagraph"/>
              <w:spacing w:line="200" w:lineRule="exact" w:before="5"/>
              <w:ind w:left="48" w:right="10"/>
              <w:jc w:val="center"/>
              <w:rPr>
                <w:sz w:val="18"/>
              </w:rPr>
            </w:pPr>
            <w:r>
              <w:rPr>
                <w:spacing w:val="-2"/>
                <w:sz w:val="18"/>
              </w:rPr>
              <w:t>(24.3163)</w:t>
            </w:r>
          </w:p>
        </w:tc>
        <w:tc>
          <w:tcPr>
            <w:tcW w:w="2833" w:type="dxa"/>
          </w:tcPr>
          <w:p>
            <w:pPr>
              <w:pStyle w:val="TableParagraph"/>
              <w:spacing w:line="200" w:lineRule="exact" w:before="5"/>
              <w:ind w:left="342"/>
              <w:rPr>
                <w:sz w:val="18"/>
              </w:rPr>
            </w:pPr>
            <w:r>
              <w:rPr>
                <w:spacing w:val="-2"/>
                <w:sz w:val="18"/>
              </w:rPr>
              <w:t>(15.3968)</w:t>
            </w:r>
          </w:p>
        </w:tc>
      </w:tr>
      <w:tr>
        <w:trPr>
          <w:trHeight w:val="225" w:hRule="atLeast"/>
        </w:trPr>
        <w:tc>
          <w:tcPr>
            <w:tcW w:w="1467" w:type="dxa"/>
          </w:tcPr>
          <w:p>
            <w:pPr>
              <w:pStyle w:val="TableParagraph"/>
              <w:ind w:left="2" w:right="81"/>
              <w:jc w:val="center"/>
              <w:rPr>
                <w:sz w:val="18"/>
              </w:rPr>
            </w:pPr>
            <w:r>
              <w:rPr>
                <w:spacing w:val="-2"/>
                <w:sz w:val="18"/>
              </w:rPr>
              <w:t>D(FPI)</w:t>
            </w:r>
          </w:p>
        </w:tc>
        <w:tc>
          <w:tcPr>
            <w:tcW w:w="1339" w:type="dxa"/>
          </w:tcPr>
          <w:p>
            <w:pPr>
              <w:pStyle w:val="TableParagraph"/>
              <w:ind w:right="83"/>
              <w:jc w:val="center"/>
              <w:rPr>
                <w:sz w:val="18"/>
              </w:rPr>
            </w:pPr>
            <w:r>
              <w:rPr>
                <w:spacing w:val="-2"/>
                <w:sz w:val="18"/>
              </w:rPr>
              <w:t>-0.000281</w:t>
            </w:r>
          </w:p>
        </w:tc>
        <w:tc>
          <w:tcPr>
            <w:tcW w:w="1419" w:type="dxa"/>
          </w:tcPr>
          <w:p>
            <w:pPr>
              <w:pStyle w:val="TableParagraph"/>
              <w:ind w:left="47" w:right="4"/>
              <w:jc w:val="center"/>
              <w:rPr>
                <w:sz w:val="18"/>
              </w:rPr>
            </w:pPr>
            <w:r>
              <w:rPr>
                <w:spacing w:val="-2"/>
                <w:sz w:val="18"/>
              </w:rPr>
              <w:t>0.010758</w:t>
            </w:r>
          </w:p>
        </w:tc>
        <w:tc>
          <w:tcPr>
            <w:tcW w:w="1419" w:type="dxa"/>
          </w:tcPr>
          <w:p>
            <w:pPr>
              <w:pStyle w:val="TableParagraph"/>
              <w:ind w:left="44" w:right="48"/>
              <w:jc w:val="center"/>
              <w:rPr>
                <w:sz w:val="18"/>
              </w:rPr>
            </w:pPr>
            <w:r>
              <w:rPr>
                <w:spacing w:val="-2"/>
                <w:sz w:val="18"/>
              </w:rPr>
              <w:t>-0.854726</w:t>
            </w:r>
          </w:p>
        </w:tc>
        <w:tc>
          <w:tcPr>
            <w:tcW w:w="1418" w:type="dxa"/>
          </w:tcPr>
          <w:p>
            <w:pPr>
              <w:pStyle w:val="TableParagraph"/>
              <w:ind w:left="43" w:right="48"/>
              <w:jc w:val="center"/>
              <w:rPr>
                <w:sz w:val="18"/>
              </w:rPr>
            </w:pPr>
            <w:r>
              <w:rPr>
                <w:spacing w:val="-2"/>
                <w:sz w:val="18"/>
              </w:rPr>
              <w:t>-0.008858</w:t>
            </w:r>
          </w:p>
        </w:tc>
        <w:tc>
          <w:tcPr>
            <w:tcW w:w="1418" w:type="dxa"/>
          </w:tcPr>
          <w:p>
            <w:pPr>
              <w:pStyle w:val="TableParagraph"/>
              <w:ind w:left="43" w:right="51"/>
              <w:jc w:val="center"/>
              <w:rPr>
                <w:sz w:val="18"/>
              </w:rPr>
            </w:pPr>
            <w:r>
              <w:rPr>
                <w:spacing w:val="-2"/>
                <w:sz w:val="18"/>
              </w:rPr>
              <w:t>-0.010842</w:t>
            </w:r>
          </w:p>
        </w:tc>
        <w:tc>
          <w:tcPr>
            <w:tcW w:w="1418" w:type="dxa"/>
          </w:tcPr>
          <w:p>
            <w:pPr>
              <w:pStyle w:val="TableParagraph"/>
              <w:ind w:left="43" w:right="50"/>
              <w:jc w:val="center"/>
              <w:rPr>
                <w:sz w:val="18"/>
              </w:rPr>
            </w:pPr>
            <w:r>
              <w:rPr>
                <w:spacing w:val="-2"/>
                <w:sz w:val="18"/>
              </w:rPr>
              <w:t>-0.002023</w:t>
            </w:r>
          </w:p>
        </w:tc>
        <w:tc>
          <w:tcPr>
            <w:tcW w:w="1418" w:type="dxa"/>
          </w:tcPr>
          <w:p>
            <w:pPr>
              <w:pStyle w:val="TableParagraph"/>
              <w:ind w:left="43" w:right="53"/>
              <w:jc w:val="center"/>
              <w:rPr>
                <w:sz w:val="18"/>
              </w:rPr>
            </w:pPr>
            <w:r>
              <w:rPr>
                <w:spacing w:val="-2"/>
                <w:sz w:val="18"/>
              </w:rPr>
              <w:t>-0.272564</w:t>
            </w:r>
          </w:p>
        </w:tc>
        <w:tc>
          <w:tcPr>
            <w:tcW w:w="2833" w:type="dxa"/>
          </w:tcPr>
          <w:p>
            <w:pPr>
              <w:pStyle w:val="TableParagraph"/>
              <w:ind w:left="297"/>
              <w:rPr>
                <w:sz w:val="18"/>
              </w:rPr>
            </w:pPr>
            <w:r>
              <w:rPr>
                <w:spacing w:val="-2"/>
                <w:sz w:val="18"/>
              </w:rPr>
              <w:t>-0.608889</w:t>
            </w:r>
          </w:p>
        </w:tc>
      </w:tr>
      <w:tr>
        <w:trPr>
          <w:trHeight w:val="225" w:hRule="atLeast"/>
        </w:trPr>
        <w:tc>
          <w:tcPr>
            <w:tcW w:w="1467" w:type="dxa"/>
          </w:tcPr>
          <w:p>
            <w:pPr>
              <w:pStyle w:val="TableParagraph"/>
              <w:spacing w:line="240" w:lineRule="auto" w:before="0"/>
              <w:rPr>
                <w:rFonts w:ascii="Times New Roman"/>
                <w:sz w:val="16"/>
              </w:rPr>
            </w:pPr>
          </w:p>
        </w:tc>
        <w:tc>
          <w:tcPr>
            <w:tcW w:w="1339" w:type="dxa"/>
          </w:tcPr>
          <w:p>
            <w:pPr>
              <w:pStyle w:val="TableParagraph"/>
              <w:ind w:left="51" w:right="83"/>
              <w:jc w:val="center"/>
              <w:rPr>
                <w:sz w:val="18"/>
              </w:rPr>
            </w:pPr>
            <w:r>
              <w:rPr>
                <w:spacing w:val="-2"/>
                <w:sz w:val="18"/>
              </w:rPr>
              <w:t>(0.00098)</w:t>
            </w:r>
          </w:p>
        </w:tc>
        <w:tc>
          <w:tcPr>
            <w:tcW w:w="1419" w:type="dxa"/>
          </w:tcPr>
          <w:p>
            <w:pPr>
              <w:pStyle w:val="TableParagraph"/>
              <w:ind w:left="48" w:right="4"/>
              <w:jc w:val="center"/>
              <w:rPr>
                <w:sz w:val="18"/>
              </w:rPr>
            </w:pPr>
            <w:r>
              <w:rPr>
                <w:spacing w:val="-2"/>
                <w:sz w:val="18"/>
              </w:rPr>
              <w:t>(0.00509)</w:t>
            </w:r>
          </w:p>
        </w:tc>
        <w:tc>
          <w:tcPr>
            <w:tcW w:w="1419" w:type="dxa"/>
          </w:tcPr>
          <w:p>
            <w:pPr>
              <w:pStyle w:val="TableParagraph"/>
              <w:ind w:left="48" w:right="4"/>
              <w:jc w:val="center"/>
              <w:rPr>
                <w:sz w:val="18"/>
              </w:rPr>
            </w:pPr>
            <w:r>
              <w:rPr>
                <w:spacing w:val="-2"/>
                <w:sz w:val="18"/>
              </w:rPr>
              <w:t>(0.30365)</w:t>
            </w:r>
          </w:p>
        </w:tc>
        <w:tc>
          <w:tcPr>
            <w:tcW w:w="1418" w:type="dxa"/>
          </w:tcPr>
          <w:p>
            <w:pPr>
              <w:pStyle w:val="TableParagraph"/>
              <w:ind w:left="53" w:right="10"/>
              <w:jc w:val="center"/>
              <w:rPr>
                <w:sz w:val="18"/>
              </w:rPr>
            </w:pPr>
            <w:r>
              <w:rPr>
                <w:spacing w:val="-2"/>
                <w:sz w:val="18"/>
              </w:rPr>
              <w:t>(0.25541)</w:t>
            </w:r>
          </w:p>
        </w:tc>
        <w:tc>
          <w:tcPr>
            <w:tcW w:w="1418" w:type="dxa"/>
          </w:tcPr>
          <w:p>
            <w:pPr>
              <w:pStyle w:val="TableParagraph"/>
              <w:ind w:left="50" w:right="10"/>
              <w:jc w:val="center"/>
              <w:rPr>
                <w:sz w:val="18"/>
              </w:rPr>
            </w:pPr>
            <w:r>
              <w:rPr>
                <w:spacing w:val="-2"/>
                <w:sz w:val="18"/>
              </w:rPr>
              <w:t>(0.01493)</w:t>
            </w:r>
          </w:p>
        </w:tc>
        <w:tc>
          <w:tcPr>
            <w:tcW w:w="1418" w:type="dxa"/>
          </w:tcPr>
          <w:p>
            <w:pPr>
              <w:pStyle w:val="TableParagraph"/>
              <w:ind w:left="51" w:right="10"/>
              <w:jc w:val="center"/>
              <w:rPr>
                <w:sz w:val="18"/>
              </w:rPr>
            </w:pPr>
            <w:r>
              <w:rPr>
                <w:spacing w:val="-2"/>
                <w:sz w:val="18"/>
              </w:rPr>
              <w:t>(0.00138)</w:t>
            </w:r>
          </w:p>
        </w:tc>
        <w:tc>
          <w:tcPr>
            <w:tcW w:w="1418" w:type="dxa"/>
          </w:tcPr>
          <w:p>
            <w:pPr>
              <w:pStyle w:val="TableParagraph"/>
              <w:ind w:left="48" w:right="10"/>
              <w:jc w:val="center"/>
              <w:rPr>
                <w:sz w:val="18"/>
              </w:rPr>
            </w:pPr>
            <w:r>
              <w:rPr>
                <w:spacing w:val="-2"/>
                <w:sz w:val="18"/>
              </w:rPr>
              <w:t>(0.93053)</w:t>
            </w:r>
          </w:p>
        </w:tc>
        <w:tc>
          <w:tcPr>
            <w:tcW w:w="2833" w:type="dxa"/>
          </w:tcPr>
          <w:p>
            <w:pPr>
              <w:pStyle w:val="TableParagraph"/>
              <w:ind w:left="342"/>
              <w:rPr>
                <w:sz w:val="18"/>
              </w:rPr>
            </w:pPr>
            <w:r>
              <w:rPr>
                <w:spacing w:val="-2"/>
                <w:sz w:val="18"/>
              </w:rPr>
              <w:t>(0.58920)</w:t>
            </w:r>
          </w:p>
        </w:tc>
      </w:tr>
      <w:tr>
        <w:trPr>
          <w:trHeight w:val="224" w:hRule="atLeast"/>
        </w:trPr>
        <w:tc>
          <w:tcPr>
            <w:tcW w:w="1467" w:type="dxa"/>
          </w:tcPr>
          <w:p>
            <w:pPr>
              <w:pStyle w:val="TableParagraph"/>
              <w:spacing w:line="198" w:lineRule="exact"/>
              <w:ind w:left="5" w:right="81"/>
              <w:jc w:val="center"/>
              <w:rPr>
                <w:sz w:val="18"/>
              </w:rPr>
            </w:pPr>
            <w:r>
              <w:rPr>
                <w:spacing w:val="-2"/>
                <w:sz w:val="18"/>
              </w:rPr>
              <w:t>D(TOP)</w:t>
            </w:r>
          </w:p>
        </w:tc>
        <w:tc>
          <w:tcPr>
            <w:tcW w:w="1339" w:type="dxa"/>
          </w:tcPr>
          <w:p>
            <w:pPr>
              <w:pStyle w:val="TableParagraph"/>
              <w:spacing w:line="198" w:lineRule="exact"/>
              <w:ind w:right="83"/>
              <w:jc w:val="center"/>
              <w:rPr>
                <w:sz w:val="18"/>
              </w:rPr>
            </w:pPr>
            <w:r>
              <w:rPr>
                <w:spacing w:val="-2"/>
                <w:sz w:val="18"/>
              </w:rPr>
              <w:t>-0.001052</w:t>
            </w:r>
          </w:p>
        </w:tc>
        <w:tc>
          <w:tcPr>
            <w:tcW w:w="1419" w:type="dxa"/>
          </w:tcPr>
          <w:p>
            <w:pPr>
              <w:pStyle w:val="TableParagraph"/>
              <w:spacing w:line="198" w:lineRule="exact"/>
              <w:ind w:left="47" w:right="4"/>
              <w:jc w:val="center"/>
              <w:rPr>
                <w:sz w:val="18"/>
              </w:rPr>
            </w:pPr>
            <w:r>
              <w:rPr>
                <w:spacing w:val="-2"/>
                <w:sz w:val="18"/>
              </w:rPr>
              <w:t>0.000236</w:t>
            </w:r>
          </w:p>
        </w:tc>
        <w:tc>
          <w:tcPr>
            <w:tcW w:w="1419" w:type="dxa"/>
          </w:tcPr>
          <w:p>
            <w:pPr>
              <w:pStyle w:val="TableParagraph"/>
              <w:spacing w:line="198" w:lineRule="exact"/>
              <w:ind w:left="47" w:right="4"/>
              <w:jc w:val="center"/>
              <w:rPr>
                <w:sz w:val="18"/>
              </w:rPr>
            </w:pPr>
            <w:r>
              <w:rPr>
                <w:spacing w:val="-2"/>
                <w:sz w:val="18"/>
              </w:rPr>
              <w:t>0.317607</w:t>
            </w:r>
          </w:p>
        </w:tc>
        <w:tc>
          <w:tcPr>
            <w:tcW w:w="1418" w:type="dxa"/>
          </w:tcPr>
          <w:p>
            <w:pPr>
              <w:pStyle w:val="TableParagraph"/>
              <w:spacing w:line="198" w:lineRule="exact"/>
              <w:ind w:left="53" w:right="10"/>
              <w:jc w:val="center"/>
              <w:rPr>
                <w:sz w:val="18"/>
              </w:rPr>
            </w:pPr>
            <w:r>
              <w:rPr>
                <w:spacing w:val="-2"/>
                <w:sz w:val="18"/>
              </w:rPr>
              <w:t>0.018929</w:t>
            </w:r>
          </w:p>
        </w:tc>
        <w:tc>
          <w:tcPr>
            <w:tcW w:w="1418" w:type="dxa"/>
          </w:tcPr>
          <w:p>
            <w:pPr>
              <w:pStyle w:val="TableParagraph"/>
              <w:spacing w:line="198" w:lineRule="exact"/>
              <w:ind w:left="43" w:right="51"/>
              <w:jc w:val="center"/>
              <w:rPr>
                <w:sz w:val="18"/>
              </w:rPr>
            </w:pPr>
            <w:r>
              <w:rPr>
                <w:spacing w:val="-2"/>
                <w:sz w:val="18"/>
              </w:rPr>
              <w:t>-0.022848</w:t>
            </w:r>
          </w:p>
        </w:tc>
        <w:tc>
          <w:tcPr>
            <w:tcW w:w="1418" w:type="dxa"/>
          </w:tcPr>
          <w:p>
            <w:pPr>
              <w:pStyle w:val="TableParagraph"/>
              <w:spacing w:line="198" w:lineRule="exact"/>
              <w:ind w:left="50" w:right="10"/>
              <w:jc w:val="center"/>
              <w:rPr>
                <w:sz w:val="18"/>
              </w:rPr>
            </w:pPr>
            <w:r>
              <w:rPr>
                <w:spacing w:val="-2"/>
                <w:sz w:val="18"/>
              </w:rPr>
              <w:t>0.001379</w:t>
            </w:r>
          </w:p>
        </w:tc>
        <w:tc>
          <w:tcPr>
            <w:tcW w:w="1418" w:type="dxa"/>
          </w:tcPr>
          <w:p>
            <w:pPr>
              <w:pStyle w:val="TableParagraph"/>
              <w:spacing w:line="198" w:lineRule="exact"/>
              <w:ind w:left="48" w:right="10"/>
              <w:jc w:val="center"/>
              <w:rPr>
                <w:sz w:val="18"/>
              </w:rPr>
            </w:pPr>
            <w:r>
              <w:rPr>
                <w:spacing w:val="-2"/>
                <w:sz w:val="18"/>
              </w:rPr>
              <w:t>0.611090</w:t>
            </w:r>
          </w:p>
        </w:tc>
        <w:tc>
          <w:tcPr>
            <w:tcW w:w="2833" w:type="dxa"/>
          </w:tcPr>
          <w:p>
            <w:pPr>
              <w:pStyle w:val="TableParagraph"/>
              <w:spacing w:line="198" w:lineRule="exact"/>
              <w:ind w:left="352"/>
              <w:rPr>
                <w:sz w:val="18"/>
              </w:rPr>
            </w:pPr>
            <w:r>
              <w:rPr>
                <w:spacing w:val="-2"/>
                <w:sz w:val="18"/>
              </w:rPr>
              <w:t>0.454029</w:t>
            </w:r>
          </w:p>
        </w:tc>
      </w:tr>
      <w:tr>
        <w:trPr>
          <w:trHeight w:val="224" w:hRule="atLeast"/>
        </w:trPr>
        <w:tc>
          <w:tcPr>
            <w:tcW w:w="1467" w:type="dxa"/>
          </w:tcPr>
          <w:p>
            <w:pPr>
              <w:pStyle w:val="TableParagraph"/>
              <w:spacing w:line="240" w:lineRule="auto" w:before="0"/>
              <w:rPr>
                <w:rFonts w:ascii="Times New Roman"/>
                <w:sz w:val="16"/>
              </w:rPr>
            </w:pPr>
          </w:p>
        </w:tc>
        <w:tc>
          <w:tcPr>
            <w:tcW w:w="1339" w:type="dxa"/>
          </w:tcPr>
          <w:p>
            <w:pPr>
              <w:pStyle w:val="TableParagraph"/>
              <w:spacing w:before="5"/>
              <w:ind w:left="51" w:right="83"/>
              <w:jc w:val="center"/>
              <w:rPr>
                <w:sz w:val="18"/>
              </w:rPr>
            </w:pPr>
            <w:r>
              <w:rPr>
                <w:spacing w:val="-2"/>
                <w:sz w:val="18"/>
              </w:rPr>
              <w:t>(0.00068)</w:t>
            </w:r>
          </w:p>
        </w:tc>
        <w:tc>
          <w:tcPr>
            <w:tcW w:w="1419" w:type="dxa"/>
          </w:tcPr>
          <w:p>
            <w:pPr>
              <w:pStyle w:val="TableParagraph"/>
              <w:spacing w:before="5"/>
              <w:ind w:left="48" w:right="4"/>
              <w:jc w:val="center"/>
              <w:rPr>
                <w:sz w:val="18"/>
              </w:rPr>
            </w:pPr>
            <w:r>
              <w:rPr>
                <w:spacing w:val="-2"/>
                <w:sz w:val="18"/>
              </w:rPr>
              <w:t>(0.00354)</w:t>
            </w:r>
          </w:p>
        </w:tc>
        <w:tc>
          <w:tcPr>
            <w:tcW w:w="1419" w:type="dxa"/>
          </w:tcPr>
          <w:p>
            <w:pPr>
              <w:pStyle w:val="TableParagraph"/>
              <w:spacing w:before="5"/>
              <w:ind w:left="48" w:right="4"/>
              <w:jc w:val="center"/>
              <w:rPr>
                <w:sz w:val="18"/>
              </w:rPr>
            </w:pPr>
            <w:r>
              <w:rPr>
                <w:spacing w:val="-2"/>
                <w:sz w:val="18"/>
              </w:rPr>
              <w:t>(0.21142)</w:t>
            </w:r>
          </w:p>
        </w:tc>
        <w:tc>
          <w:tcPr>
            <w:tcW w:w="1418" w:type="dxa"/>
          </w:tcPr>
          <w:p>
            <w:pPr>
              <w:pStyle w:val="TableParagraph"/>
              <w:spacing w:before="5"/>
              <w:ind w:left="53" w:right="10"/>
              <w:jc w:val="center"/>
              <w:rPr>
                <w:sz w:val="18"/>
              </w:rPr>
            </w:pPr>
            <w:r>
              <w:rPr>
                <w:spacing w:val="-2"/>
                <w:sz w:val="18"/>
              </w:rPr>
              <w:t>(0.17783)</w:t>
            </w:r>
          </w:p>
        </w:tc>
        <w:tc>
          <w:tcPr>
            <w:tcW w:w="1418" w:type="dxa"/>
          </w:tcPr>
          <w:p>
            <w:pPr>
              <w:pStyle w:val="TableParagraph"/>
              <w:spacing w:before="5"/>
              <w:ind w:left="50" w:right="10"/>
              <w:jc w:val="center"/>
              <w:rPr>
                <w:sz w:val="18"/>
              </w:rPr>
            </w:pPr>
            <w:r>
              <w:rPr>
                <w:spacing w:val="-2"/>
                <w:sz w:val="18"/>
              </w:rPr>
              <w:t>(0.01040)</w:t>
            </w:r>
          </w:p>
        </w:tc>
        <w:tc>
          <w:tcPr>
            <w:tcW w:w="1418" w:type="dxa"/>
          </w:tcPr>
          <w:p>
            <w:pPr>
              <w:pStyle w:val="TableParagraph"/>
              <w:spacing w:before="5"/>
              <w:ind w:left="51" w:right="10"/>
              <w:jc w:val="center"/>
              <w:rPr>
                <w:sz w:val="18"/>
              </w:rPr>
            </w:pPr>
            <w:r>
              <w:rPr>
                <w:spacing w:val="-2"/>
                <w:sz w:val="18"/>
              </w:rPr>
              <w:t>(0.00096)</w:t>
            </w:r>
          </w:p>
        </w:tc>
        <w:tc>
          <w:tcPr>
            <w:tcW w:w="1418" w:type="dxa"/>
          </w:tcPr>
          <w:p>
            <w:pPr>
              <w:pStyle w:val="TableParagraph"/>
              <w:spacing w:before="5"/>
              <w:ind w:left="48" w:right="10"/>
              <w:jc w:val="center"/>
              <w:rPr>
                <w:sz w:val="18"/>
              </w:rPr>
            </w:pPr>
            <w:r>
              <w:rPr>
                <w:spacing w:val="-2"/>
                <w:sz w:val="18"/>
              </w:rPr>
              <w:t>(0.64789)</w:t>
            </w:r>
          </w:p>
        </w:tc>
        <w:tc>
          <w:tcPr>
            <w:tcW w:w="2833" w:type="dxa"/>
          </w:tcPr>
          <w:p>
            <w:pPr>
              <w:pStyle w:val="TableParagraph"/>
              <w:spacing w:before="5"/>
              <w:ind w:left="342"/>
              <w:rPr>
                <w:sz w:val="18"/>
              </w:rPr>
            </w:pPr>
            <w:r>
              <w:rPr>
                <w:spacing w:val="-2"/>
                <w:sz w:val="18"/>
              </w:rPr>
              <w:t>(0.41023)</w:t>
            </w:r>
          </w:p>
        </w:tc>
      </w:tr>
      <w:tr>
        <w:trPr>
          <w:trHeight w:val="225" w:hRule="atLeast"/>
        </w:trPr>
        <w:tc>
          <w:tcPr>
            <w:tcW w:w="1467" w:type="dxa"/>
          </w:tcPr>
          <w:p>
            <w:pPr>
              <w:pStyle w:val="TableParagraph"/>
              <w:ind w:left="2" w:right="81"/>
              <w:jc w:val="center"/>
              <w:rPr>
                <w:sz w:val="18"/>
              </w:rPr>
            </w:pPr>
            <w:r>
              <w:rPr>
                <w:spacing w:val="-2"/>
                <w:sz w:val="18"/>
              </w:rPr>
              <w:t>D(REM)</w:t>
            </w:r>
          </w:p>
        </w:tc>
        <w:tc>
          <w:tcPr>
            <w:tcW w:w="1339" w:type="dxa"/>
          </w:tcPr>
          <w:p>
            <w:pPr>
              <w:pStyle w:val="TableParagraph"/>
              <w:ind w:right="83"/>
              <w:jc w:val="center"/>
              <w:rPr>
                <w:sz w:val="18"/>
              </w:rPr>
            </w:pPr>
            <w:r>
              <w:rPr>
                <w:spacing w:val="-2"/>
                <w:sz w:val="18"/>
              </w:rPr>
              <w:t>-0.050371</w:t>
            </w:r>
          </w:p>
        </w:tc>
        <w:tc>
          <w:tcPr>
            <w:tcW w:w="1419" w:type="dxa"/>
          </w:tcPr>
          <w:p>
            <w:pPr>
              <w:pStyle w:val="TableParagraph"/>
              <w:ind w:left="47" w:right="4"/>
              <w:jc w:val="center"/>
              <w:rPr>
                <w:sz w:val="18"/>
              </w:rPr>
            </w:pPr>
            <w:r>
              <w:rPr>
                <w:spacing w:val="-2"/>
                <w:sz w:val="18"/>
              </w:rPr>
              <w:t>0.221211</w:t>
            </w:r>
          </w:p>
        </w:tc>
        <w:tc>
          <w:tcPr>
            <w:tcW w:w="1419" w:type="dxa"/>
          </w:tcPr>
          <w:p>
            <w:pPr>
              <w:pStyle w:val="TableParagraph"/>
              <w:ind w:left="47" w:right="4"/>
              <w:jc w:val="center"/>
              <w:rPr>
                <w:sz w:val="18"/>
              </w:rPr>
            </w:pPr>
            <w:r>
              <w:rPr>
                <w:spacing w:val="-2"/>
                <w:sz w:val="18"/>
              </w:rPr>
              <w:t>10.48964</w:t>
            </w:r>
          </w:p>
        </w:tc>
        <w:tc>
          <w:tcPr>
            <w:tcW w:w="1418" w:type="dxa"/>
          </w:tcPr>
          <w:p>
            <w:pPr>
              <w:pStyle w:val="TableParagraph"/>
              <w:ind w:left="53" w:right="10"/>
              <w:jc w:val="center"/>
              <w:rPr>
                <w:sz w:val="18"/>
              </w:rPr>
            </w:pPr>
            <w:r>
              <w:rPr>
                <w:spacing w:val="-2"/>
                <w:sz w:val="18"/>
              </w:rPr>
              <w:t>10.47243</w:t>
            </w:r>
          </w:p>
        </w:tc>
        <w:tc>
          <w:tcPr>
            <w:tcW w:w="1418" w:type="dxa"/>
          </w:tcPr>
          <w:p>
            <w:pPr>
              <w:pStyle w:val="TableParagraph"/>
              <w:ind w:left="43" w:right="51"/>
              <w:jc w:val="center"/>
              <w:rPr>
                <w:sz w:val="18"/>
              </w:rPr>
            </w:pPr>
            <w:r>
              <w:rPr>
                <w:spacing w:val="-2"/>
                <w:sz w:val="18"/>
              </w:rPr>
              <w:t>-1.043921</w:t>
            </w:r>
          </w:p>
        </w:tc>
        <w:tc>
          <w:tcPr>
            <w:tcW w:w="1418" w:type="dxa"/>
          </w:tcPr>
          <w:p>
            <w:pPr>
              <w:pStyle w:val="TableParagraph"/>
              <w:ind w:left="50" w:right="10"/>
              <w:jc w:val="center"/>
              <w:rPr>
                <w:sz w:val="18"/>
              </w:rPr>
            </w:pPr>
            <w:r>
              <w:rPr>
                <w:spacing w:val="-2"/>
                <w:sz w:val="18"/>
              </w:rPr>
              <w:t>0.053672</w:t>
            </w:r>
          </w:p>
        </w:tc>
        <w:tc>
          <w:tcPr>
            <w:tcW w:w="1418" w:type="dxa"/>
          </w:tcPr>
          <w:p>
            <w:pPr>
              <w:pStyle w:val="TableParagraph"/>
              <w:ind w:left="48" w:right="10"/>
              <w:jc w:val="center"/>
              <w:rPr>
                <w:sz w:val="18"/>
              </w:rPr>
            </w:pPr>
            <w:r>
              <w:rPr>
                <w:spacing w:val="-2"/>
                <w:sz w:val="18"/>
              </w:rPr>
              <w:t>17.42433</w:t>
            </w:r>
          </w:p>
        </w:tc>
        <w:tc>
          <w:tcPr>
            <w:tcW w:w="2833" w:type="dxa"/>
          </w:tcPr>
          <w:p>
            <w:pPr>
              <w:pStyle w:val="TableParagraph"/>
              <w:ind w:left="352"/>
              <w:rPr>
                <w:sz w:val="18"/>
              </w:rPr>
            </w:pPr>
            <w:r>
              <w:rPr>
                <w:spacing w:val="-2"/>
                <w:sz w:val="18"/>
              </w:rPr>
              <w:t>6.673015</w:t>
            </w:r>
          </w:p>
        </w:tc>
      </w:tr>
      <w:tr>
        <w:trPr>
          <w:trHeight w:val="225" w:hRule="atLeast"/>
        </w:trPr>
        <w:tc>
          <w:tcPr>
            <w:tcW w:w="1467" w:type="dxa"/>
          </w:tcPr>
          <w:p>
            <w:pPr>
              <w:pStyle w:val="TableParagraph"/>
              <w:spacing w:line="240" w:lineRule="auto" w:before="0"/>
              <w:rPr>
                <w:rFonts w:ascii="Times New Roman"/>
                <w:sz w:val="16"/>
              </w:rPr>
            </w:pPr>
          </w:p>
        </w:tc>
        <w:tc>
          <w:tcPr>
            <w:tcW w:w="1339" w:type="dxa"/>
          </w:tcPr>
          <w:p>
            <w:pPr>
              <w:pStyle w:val="TableParagraph"/>
              <w:ind w:left="51" w:right="83"/>
              <w:jc w:val="center"/>
              <w:rPr>
                <w:sz w:val="18"/>
              </w:rPr>
            </w:pPr>
            <w:r>
              <w:rPr>
                <w:spacing w:val="-2"/>
                <w:sz w:val="18"/>
              </w:rPr>
              <w:t>(0.02040)</w:t>
            </w:r>
          </w:p>
        </w:tc>
        <w:tc>
          <w:tcPr>
            <w:tcW w:w="1419" w:type="dxa"/>
          </w:tcPr>
          <w:p>
            <w:pPr>
              <w:pStyle w:val="TableParagraph"/>
              <w:ind w:left="48" w:right="4"/>
              <w:jc w:val="center"/>
              <w:rPr>
                <w:sz w:val="18"/>
              </w:rPr>
            </w:pPr>
            <w:r>
              <w:rPr>
                <w:spacing w:val="-2"/>
                <w:sz w:val="18"/>
              </w:rPr>
              <w:t>(0.10634)</w:t>
            </w:r>
          </w:p>
        </w:tc>
        <w:tc>
          <w:tcPr>
            <w:tcW w:w="1419" w:type="dxa"/>
          </w:tcPr>
          <w:p>
            <w:pPr>
              <w:pStyle w:val="TableParagraph"/>
              <w:ind w:left="48" w:right="4"/>
              <w:jc w:val="center"/>
              <w:rPr>
                <w:sz w:val="18"/>
              </w:rPr>
            </w:pPr>
            <w:r>
              <w:rPr>
                <w:spacing w:val="-2"/>
                <w:sz w:val="18"/>
              </w:rPr>
              <w:t>(6.34596)</w:t>
            </w:r>
          </w:p>
        </w:tc>
        <w:tc>
          <w:tcPr>
            <w:tcW w:w="1418" w:type="dxa"/>
          </w:tcPr>
          <w:p>
            <w:pPr>
              <w:pStyle w:val="TableParagraph"/>
              <w:ind w:left="53" w:right="10"/>
              <w:jc w:val="center"/>
              <w:rPr>
                <w:sz w:val="18"/>
              </w:rPr>
            </w:pPr>
            <w:r>
              <w:rPr>
                <w:spacing w:val="-2"/>
                <w:sz w:val="18"/>
              </w:rPr>
              <w:t>(5.33781)</w:t>
            </w:r>
          </w:p>
        </w:tc>
        <w:tc>
          <w:tcPr>
            <w:tcW w:w="1418" w:type="dxa"/>
          </w:tcPr>
          <w:p>
            <w:pPr>
              <w:pStyle w:val="TableParagraph"/>
              <w:ind w:left="50" w:right="10"/>
              <w:jc w:val="center"/>
              <w:rPr>
                <w:sz w:val="18"/>
              </w:rPr>
            </w:pPr>
            <w:r>
              <w:rPr>
                <w:spacing w:val="-2"/>
                <w:sz w:val="18"/>
              </w:rPr>
              <w:t>(0.31211)</w:t>
            </w:r>
          </w:p>
        </w:tc>
        <w:tc>
          <w:tcPr>
            <w:tcW w:w="1418" w:type="dxa"/>
          </w:tcPr>
          <w:p>
            <w:pPr>
              <w:pStyle w:val="TableParagraph"/>
              <w:ind w:left="51" w:right="10"/>
              <w:jc w:val="center"/>
              <w:rPr>
                <w:sz w:val="18"/>
              </w:rPr>
            </w:pPr>
            <w:r>
              <w:rPr>
                <w:spacing w:val="-2"/>
                <w:sz w:val="18"/>
              </w:rPr>
              <w:t>(0.02877)</w:t>
            </w:r>
          </w:p>
        </w:tc>
        <w:tc>
          <w:tcPr>
            <w:tcW w:w="1418" w:type="dxa"/>
          </w:tcPr>
          <w:p>
            <w:pPr>
              <w:pStyle w:val="TableParagraph"/>
              <w:ind w:left="48" w:right="10"/>
              <w:jc w:val="center"/>
              <w:rPr>
                <w:sz w:val="18"/>
              </w:rPr>
            </w:pPr>
            <w:r>
              <w:rPr>
                <w:spacing w:val="-2"/>
                <w:sz w:val="18"/>
              </w:rPr>
              <w:t>(19.4470)</w:t>
            </w:r>
          </w:p>
        </w:tc>
        <w:tc>
          <w:tcPr>
            <w:tcW w:w="2833" w:type="dxa"/>
          </w:tcPr>
          <w:p>
            <w:pPr>
              <w:pStyle w:val="TableParagraph"/>
              <w:ind w:left="342"/>
              <w:rPr>
                <w:sz w:val="18"/>
              </w:rPr>
            </w:pPr>
            <w:r>
              <w:rPr>
                <w:spacing w:val="-2"/>
                <w:sz w:val="18"/>
              </w:rPr>
              <w:t>(12.3136)</w:t>
            </w:r>
          </w:p>
        </w:tc>
      </w:tr>
      <w:tr>
        <w:trPr>
          <w:trHeight w:val="224" w:hRule="atLeast"/>
        </w:trPr>
        <w:tc>
          <w:tcPr>
            <w:tcW w:w="1467" w:type="dxa"/>
          </w:tcPr>
          <w:p>
            <w:pPr>
              <w:pStyle w:val="TableParagraph"/>
              <w:spacing w:line="198" w:lineRule="exact"/>
              <w:ind w:right="81"/>
              <w:jc w:val="center"/>
              <w:rPr>
                <w:sz w:val="18"/>
              </w:rPr>
            </w:pPr>
            <w:r>
              <w:rPr>
                <w:spacing w:val="-2"/>
                <w:sz w:val="18"/>
              </w:rPr>
              <w:t>D(ODA)</w:t>
            </w:r>
          </w:p>
        </w:tc>
        <w:tc>
          <w:tcPr>
            <w:tcW w:w="1339" w:type="dxa"/>
          </w:tcPr>
          <w:p>
            <w:pPr>
              <w:pStyle w:val="TableParagraph"/>
              <w:spacing w:line="198" w:lineRule="exact"/>
              <w:ind w:left="50" w:right="83"/>
              <w:jc w:val="center"/>
              <w:rPr>
                <w:sz w:val="18"/>
              </w:rPr>
            </w:pPr>
            <w:r>
              <w:rPr>
                <w:spacing w:val="-2"/>
                <w:sz w:val="18"/>
              </w:rPr>
              <w:t>0.347902</w:t>
            </w:r>
          </w:p>
        </w:tc>
        <w:tc>
          <w:tcPr>
            <w:tcW w:w="1419" w:type="dxa"/>
          </w:tcPr>
          <w:p>
            <w:pPr>
              <w:pStyle w:val="TableParagraph"/>
              <w:spacing w:line="198" w:lineRule="exact"/>
              <w:ind w:left="47" w:right="4"/>
              <w:jc w:val="center"/>
              <w:rPr>
                <w:sz w:val="18"/>
              </w:rPr>
            </w:pPr>
            <w:r>
              <w:rPr>
                <w:spacing w:val="-2"/>
                <w:sz w:val="18"/>
              </w:rPr>
              <w:t>0.573016</w:t>
            </w:r>
          </w:p>
        </w:tc>
        <w:tc>
          <w:tcPr>
            <w:tcW w:w="1419" w:type="dxa"/>
          </w:tcPr>
          <w:p>
            <w:pPr>
              <w:pStyle w:val="TableParagraph"/>
              <w:spacing w:line="198" w:lineRule="exact"/>
              <w:ind w:left="44" w:right="48"/>
              <w:jc w:val="center"/>
              <w:rPr>
                <w:sz w:val="18"/>
              </w:rPr>
            </w:pPr>
            <w:r>
              <w:rPr>
                <w:spacing w:val="-2"/>
                <w:sz w:val="18"/>
              </w:rPr>
              <w:t>-102.0446</w:t>
            </w:r>
          </w:p>
        </w:tc>
        <w:tc>
          <w:tcPr>
            <w:tcW w:w="1418" w:type="dxa"/>
          </w:tcPr>
          <w:p>
            <w:pPr>
              <w:pStyle w:val="TableParagraph"/>
              <w:spacing w:line="198" w:lineRule="exact"/>
              <w:ind w:left="43" w:right="48"/>
              <w:jc w:val="center"/>
              <w:rPr>
                <w:sz w:val="18"/>
              </w:rPr>
            </w:pPr>
            <w:r>
              <w:rPr>
                <w:spacing w:val="-2"/>
                <w:sz w:val="18"/>
              </w:rPr>
              <w:t>-42.70067</w:t>
            </w:r>
          </w:p>
        </w:tc>
        <w:tc>
          <w:tcPr>
            <w:tcW w:w="1418" w:type="dxa"/>
          </w:tcPr>
          <w:p>
            <w:pPr>
              <w:pStyle w:val="TableParagraph"/>
              <w:spacing w:line="198" w:lineRule="exact"/>
              <w:ind w:left="50" w:right="10"/>
              <w:jc w:val="center"/>
              <w:rPr>
                <w:sz w:val="18"/>
              </w:rPr>
            </w:pPr>
            <w:r>
              <w:rPr>
                <w:spacing w:val="-2"/>
                <w:sz w:val="18"/>
              </w:rPr>
              <w:t>7.827591</w:t>
            </w:r>
          </w:p>
        </w:tc>
        <w:tc>
          <w:tcPr>
            <w:tcW w:w="1418" w:type="dxa"/>
          </w:tcPr>
          <w:p>
            <w:pPr>
              <w:pStyle w:val="TableParagraph"/>
              <w:spacing w:line="198" w:lineRule="exact"/>
              <w:ind w:left="43" w:right="50"/>
              <w:jc w:val="center"/>
              <w:rPr>
                <w:sz w:val="18"/>
              </w:rPr>
            </w:pPr>
            <w:r>
              <w:rPr>
                <w:spacing w:val="-2"/>
                <w:sz w:val="18"/>
              </w:rPr>
              <w:t>-1.064928</w:t>
            </w:r>
          </w:p>
        </w:tc>
        <w:tc>
          <w:tcPr>
            <w:tcW w:w="1418" w:type="dxa"/>
          </w:tcPr>
          <w:p>
            <w:pPr>
              <w:pStyle w:val="TableParagraph"/>
              <w:spacing w:line="198" w:lineRule="exact"/>
              <w:ind w:left="43" w:right="53"/>
              <w:jc w:val="center"/>
              <w:rPr>
                <w:sz w:val="18"/>
              </w:rPr>
            </w:pPr>
            <w:r>
              <w:rPr>
                <w:spacing w:val="-2"/>
                <w:sz w:val="18"/>
              </w:rPr>
              <w:t>-23.60945</w:t>
            </w:r>
          </w:p>
        </w:tc>
        <w:tc>
          <w:tcPr>
            <w:tcW w:w="2833" w:type="dxa"/>
          </w:tcPr>
          <w:p>
            <w:pPr>
              <w:pStyle w:val="TableParagraph"/>
              <w:spacing w:line="198" w:lineRule="exact"/>
              <w:ind w:left="297"/>
              <w:rPr>
                <w:sz w:val="18"/>
              </w:rPr>
            </w:pPr>
            <w:r>
              <w:rPr>
                <w:spacing w:val="-2"/>
                <w:sz w:val="18"/>
              </w:rPr>
              <w:t>-13.41522</w:t>
            </w:r>
          </w:p>
        </w:tc>
      </w:tr>
      <w:tr>
        <w:trPr>
          <w:trHeight w:val="224" w:hRule="atLeast"/>
        </w:trPr>
        <w:tc>
          <w:tcPr>
            <w:tcW w:w="1467" w:type="dxa"/>
          </w:tcPr>
          <w:p>
            <w:pPr>
              <w:pStyle w:val="TableParagraph"/>
              <w:spacing w:line="240" w:lineRule="auto" w:before="0"/>
              <w:rPr>
                <w:rFonts w:ascii="Times New Roman"/>
                <w:sz w:val="16"/>
              </w:rPr>
            </w:pPr>
          </w:p>
        </w:tc>
        <w:tc>
          <w:tcPr>
            <w:tcW w:w="1339" w:type="dxa"/>
          </w:tcPr>
          <w:p>
            <w:pPr>
              <w:pStyle w:val="TableParagraph"/>
              <w:spacing w:before="5"/>
              <w:ind w:left="51" w:right="83"/>
              <w:jc w:val="center"/>
              <w:rPr>
                <w:sz w:val="18"/>
              </w:rPr>
            </w:pPr>
            <w:r>
              <w:rPr>
                <w:spacing w:val="-2"/>
                <w:sz w:val="18"/>
              </w:rPr>
              <w:t>(0.15870)</w:t>
            </w:r>
          </w:p>
        </w:tc>
        <w:tc>
          <w:tcPr>
            <w:tcW w:w="1419" w:type="dxa"/>
          </w:tcPr>
          <w:p>
            <w:pPr>
              <w:pStyle w:val="TableParagraph"/>
              <w:spacing w:before="5"/>
              <w:ind w:left="48" w:right="4"/>
              <w:jc w:val="center"/>
              <w:rPr>
                <w:sz w:val="18"/>
              </w:rPr>
            </w:pPr>
            <w:r>
              <w:rPr>
                <w:spacing w:val="-2"/>
                <w:sz w:val="18"/>
              </w:rPr>
              <w:t>(0.82720)</w:t>
            </w:r>
          </w:p>
        </w:tc>
        <w:tc>
          <w:tcPr>
            <w:tcW w:w="1419" w:type="dxa"/>
          </w:tcPr>
          <w:p>
            <w:pPr>
              <w:pStyle w:val="TableParagraph"/>
              <w:spacing w:before="5"/>
              <w:ind w:left="48" w:right="4"/>
              <w:jc w:val="center"/>
              <w:rPr>
                <w:sz w:val="18"/>
              </w:rPr>
            </w:pPr>
            <w:r>
              <w:rPr>
                <w:spacing w:val="-2"/>
                <w:sz w:val="18"/>
              </w:rPr>
              <w:t>(49.3663)</w:t>
            </w:r>
          </w:p>
        </w:tc>
        <w:tc>
          <w:tcPr>
            <w:tcW w:w="1418" w:type="dxa"/>
          </w:tcPr>
          <w:p>
            <w:pPr>
              <w:pStyle w:val="TableParagraph"/>
              <w:spacing w:before="5"/>
              <w:ind w:left="53" w:right="10"/>
              <w:jc w:val="center"/>
              <w:rPr>
                <w:sz w:val="18"/>
              </w:rPr>
            </w:pPr>
            <w:r>
              <w:rPr>
                <w:spacing w:val="-2"/>
                <w:sz w:val="18"/>
              </w:rPr>
              <w:t>(41.5237)</w:t>
            </w:r>
          </w:p>
        </w:tc>
        <w:tc>
          <w:tcPr>
            <w:tcW w:w="1418" w:type="dxa"/>
          </w:tcPr>
          <w:p>
            <w:pPr>
              <w:pStyle w:val="TableParagraph"/>
              <w:spacing w:before="5"/>
              <w:ind w:left="50" w:right="10"/>
              <w:jc w:val="center"/>
              <w:rPr>
                <w:sz w:val="18"/>
              </w:rPr>
            </w:pPr>
            <w:r>
              <w:rPr>
                <w:spacing w:val="-2"/>
                <w:sz w:val="18"/>
              </w:rPr>
              <w:t>(2.42796)</w:t>
            </w:r>
          </w:p>
        </w:tc>
        <w:tc>
          <w:tcPr>
            <w:tcW w:w="1418" w:type="dxa"/>
          </w:tcPr>
          <w:p>
            <w:pPr>
              <w:pStyle w:val="TableParagraph"/>
              <w:spacing w:before="5"/>
              <w:ind w:left="51" w:right="10"/>
              <w:jc w:val="center"/>
              <w:rPr>
                <w:sz w:val="18"/>
              </w:rPr>
            </w:pPr>
            <w:r>
              <w:rPr>
                <w:spacing w:val="-2"/>
                <w:sz w:val="18"/>
              </w:rPr>
              <w:t>(0.22380)</w:t>
            </w:r>
          </w:p>
        </w:tc>
        <w:tc>
          <w:tcPr>
            <w:tcW w:w="1418" w:type="dxa"/>
          </w:tcPr>
          <w:p>
            <w:pPr>
              <w:pStyle w:val="TableParagraph"/>
              <w:spacing w:before="5"/>
              <w:ind w:left="48" w:right="10"/>
              <w:jc w:val="center"/>
              <w:rPr>
                <w:sz w:val="18"/>
              </w:rPr>
            </w:pPr>
            <w:r>
              <w:rPr>
                <w:spacing w:val="-2"/>
                <w:sz w:val="18"/>
              </w:rPr>
              <w:t>(151.281)</w:t>
            </w:r>
          </w:p>
        </w:tc>
        <w:tc>
          <w:tcPr>
            <w:tcW w:w="2833" w:type="dxa"/>
          </w:tcPr>
          <w:p>
            <w:pPr>
              <w:pStyle w:val="TableParagraph"/>
              <w:spacing w:before="5"/>
              <w:ind w:left="342"/>
              <w:rPr>
                <w:sz w:val="18"/>
              </w:rPr>
            </w:pPr>
            <w:r>
              <w:rPr>
                <w:spacing w:val="-2"/>
                <w:sz w:val="18"/>
              </w:rPr>
              <w:t>(95.7898)</w:t>
            </w:r>
          </w:p>
        </w:tc>
      </w:tr>
      <w:tr>
        <w:trPr>
          <w:trHeight w:val="225" w:hRule="atLeast"/>
        </w:trPr>
        <w:tc>
          <w:tcPr>
            <w:tcW w:w="1467" w:type="dxa"/>
          </w:tcPr>
          <w:p>
            <w:pPr>
              <w:pStyle w:val="TableParagraph"/>
              <w:ind w:right="81"/>
              <w:jc w:val="center"/>
              <w:rPr>
                <w:sz w:val="18"/>
              </w:rPr>
            </w:pPr>
            <w:r>
              <w:rPr>
                <w:spacing w:val="-2"/>
                <w:sz w:val="18"/>
              </w:rPr>
              <w:t>D(CPS_GDP)</w:t>
            </w:r>
          </w:p>
        </w:tc>
        <w:tc>
          <w:tcPr>
            <w:tcW w:w="1339" w:type="dxa"/>
          </w:tcPr>
          <w:p>
            <w:pPr>
              <w:pStyle w:val="TableParagraph"/>
              <w:ind w:left="50" w:right="83"/>
              <w:jc w:val="center"/>
              <w:rPr>
                <w:sz w:val="18"/>
              </w:rPr>
            </w:pPr>
            <w:r>
              <w:rPr>
                <w:spacing w:val="-2"/>
                <w:sz w:val="18"/>
              </w:rPr>
              <w:t>0.000289</w:t>
            </w:r>
          </w:p>
        </w:tc>
        <w:tc>
          <w:tcPr>
            <w:tcW w:w="1419" w:type="dxa"/>
          </w:tcPr>
          <w:p>
            <w:pPr>
              <w:pStyle w:val="TableParagraph"/>
              <w:ind w:left="44" w:right="48"/>
              <w:jc w:val="center"/>
              <w:rPr>
                <w:sz w:val="18"/>
              </w:rPr>
            </w:pPr>
            <w:r>
              <w:rPr>
                <w:spacing w:val="-2"/>
                <w:sz w:val="18"/>
              </w:rPr>
              <w:t>-0.000984</w:t>
            </w:r>
          </w:p>
        </w:tc>
        <w:tc>
          <w:tcPr>
            <w:tcW w:w="1419" w:type="dxa"/>
          </w:tcPr>
          <w:p>
            <w:pPr>
              <w:pStyle w:val="TableParagraph"/>
              <w:ind w:left="47" w:right="4"/>
              <w:jc w:val="center"/>
              <w:rPr>
                <w:sz w:val="18"/>
              </w:rPr>
            </w:pPr>
            <w:r>
              <w:rPr>
                <w:spacing w:val="-2"/>
                <w:sz w:val="18"/>
              </w:rPr>
              <w:t>0.043396</w:t>
            </w:r>
          </w:p>
        </w:tc>
        <w:tc>
          <w:tcPr>
            <w:tcW w:w="1418" w:type="dxa"/>
          </w:tcPr>
          <w:p>
            <w:pPr>
              <w:pStyle w:val="TableParagraph"/>
              <w:ind w:left="53" w:right="10"/>
              <w:jc w:val="center"/>
              <w:rPr>
                <w:sz w:val="18"/>
              </w:rPr>
            </w:pPr>
            <w:r>
              <w:rPr>
                <w:spacing w:val="-2"/>
                <w:sz w:val="18"/>
              </w:rPr>
              <w:t>0.023441</w:t>
            </w:r>
          </w:p>
        </w:tc>
        <w:tc>
          <w:tcPr>
            <w:tcW w:w="1418" w:type="dxa"/>
          </w:tcPr>
          <w:p>
            <w:pPr>
              <w:pStyle w:val="TableParagraph"/>
              <w:ind w:left="43" w:right="51"/>
              <w:jc w:val="center"/>
              <w:rPr>
                <w:sz w:val="18"/>
              </w:rPr>
            </w:pPr>
            <w:r>
              <w:rPr>
                <w:spacing w:val="-2"/>
                <w:sz w:val="18"/>
              </w:rPr>
              <w:t>-0.004757</w:t>
            </w:r>
          </w:p>
        </w:tc>
        <w:tc>
          <w:tcPr>
            <w:tcW w:w="1418" w:type="dxa"/>
          </w:tcPr>
          <w:p>
            <w:pPr>
              <w:pStyle w:val="TableParagraph"/>
              <w:ind w:left="47" w:right="10"/>
              <w:jc w:val="center"/>
              <w:rPr>
                <w:sz w:val="18"/>
              </w:rPr>
            </w:pPr>
            <w:r>
              <w:rPr>
                <w:spacing w:val="-2"/>
                <w:sz w:val="18"/>
              </w:rPr>
              <w:t>4.58E-</w:t>
            </w:r>
            <w:r>
              <w:rPr>
                <w:spacing w:val="-5"/>
                <w:sz w:val="18"/>
              </w:rPr>
              <w:t>05</w:t>
            </w:r>
          </w:p>
        </w:tc>
        <w:tc>
          <w:tcPr>
            <w:tcW w:w="1418" w:type="dxa"/>
          </w:tcPr>
          <w:p>
            <w:pPr>
              <w:pStyle w:val="TableParagraph"/>
              <w:ind w:left="43" w:right="53"/>
              <w:jc w:val="center"/>
              <w:rPr>
                <w:sz w:val="18"/>
              </w:rPr>
            </w:pPr>
            <w:r>
              <w:rPr>
                <w:spacing w:val="-2"/>
                <w:sz w:val="18"/>
              </w:rPr>
              <w:t>-0.823148</w:t>
            </w:r>
          </w:p>
        </w:tc>
        <w:tc>
          <w:tcPr>
            <w:tcW w:w="2833" w:type="dxa"/>
          </w:tcPr>
          <w:p>
            <w:pPr>
              <w:pStyle w:val="TableParagraph"/>
              <w:ind w:left="352"/>
              <w:rPr>
                <w:sz w:val="18"/>
              </w:rPr>
            </w:pPr>
            <w:r>
              <w:rPr>
                <w:spacing w:val="-2"/>
                <w:sz w:val="18"/>
              </w:rPr>
              <w:t>0.012567</w:t>
            </w:r>
          </w:p>
        </w:tc>
      </w:tr>
      <w:tr>
        <w:trPr>
          <w:trHeight w:val="225" w:hRule="atLeast"/>
        </w:trPr>
        <w:tc>
          <w:tcPr>
            <w:tcW w:w="1467" w:type="dxa"/>
          </w:tcPr>
          <w:p>
            <w:pPr>
              <w:pStyle w:val="TableParagraph"/>
              <w:spacing w:line="240" w:lineRule="auto" w:before="0"/>
              <w:rPr>
                <w:rFonts w:ascii="Times New Roman"/>
                <w:sz w:val="16"/>
              </w:rPr>
            </w:pPr>
          </w:p>
        </w:tc>
        <w:tc>
          <w:tcPr>
            <w:tcW w:w="1339" w:type="dxa"/>
          </w:tcPr>
          <w:p>
            <w:pPr>
              <w:pStyle w:val="TableParagraph"/>
              <w:ind w:left="51" w:right="83"/>
              <w:jc w:val="center"/>
              <w:rPr>
                <w:sz w:val="18"/>
              </w:rPr>
            </w:pPr>
            <w:r>
              <w:rPr>
                <w:spacing w:val="-2"/>
                <w:sz w:val="18"/>
              </w:rPr>
              <w:t>(0.00016)</w:t>
            </w:r>
          </w:p>
        </w:tc>
        <w:tc>
          <w:tcPr>
            <w:tcW w:w="1419" w:type="dxa"/>
          </w:tcPr>
          <w:p>
            <w:pPr>
              <w:pStyle w:val="TableParagraph"/>
              <w:ind w:left="48" w:right="4"/>
              <w:jc w:val="center"/>
              <w:rPr>
                <w:sz w:val="18"/>
              </w:rPr>
            </w:pPr>
            <w:r>
              <w:rPr>
                <w:spacing w:val="-2"/>
                <w:sz w:val="18"/>
              </w:rPr>
              <w:t>(0.00081)</w:t>
            </w:r>
          </w:p>
        </w:tc>
        <w:tc>
          <w:tcPr>
            <w:tcW w:w="1419" w:type="dxa"/>
          </w:tcPr>
          <w:p>
            <w:pPr>
              <w:pStyle w:val="TableParagraph"/>
              <w:ind w:left="48" w:right="4"/>
              <w:jc w:val="center"/>
              <w:rPr>
                <w:sz w:val="18"/>
              </w:rPr>
            </w:pPr>
            <w:r>
              <w:rPr>
                <w:spacing w:val="-2"/>
                <w:sz w:val="18"/>
              </w:rPr>
              <w:t>(0.04852)</w:t>
            </w:r>
          </w:p>
        </w:tc>
        <w:tc>
          <w:tcPr>
            <w:tcW w:w="1418" w:type="dxa"/>
          </w:tcPr>
          <w:p>
            <w:pPr>
              <w:pStyle w:val="TableParagraph"/>
              <w:ind w:left="53" w:right="10"/>
              <w:jc w:val="center"/>
              <w:rPr>
                <w:sz w:val="18"/>
              </w:rPr>
            </w:pPr>
            <w:r>
              <w:rPr>
                <w:spacing w:val="-2"/>
                <w:sz w:val="18"/>
              </w:rPr>
              <w:t>(0.04081)</w:t>
            </w:r>
          </w:p>
        </w:tc>
        <w:tc>
          <w:tcPr>
            <w:tcW w:w="1418" w:type="dxa"/>
          </w:tcPr>
          <w:p>
            <w:pPr>
              <w:pStyle w:val="TableParagraph"/>
              <w:ind w:left="50" w:right="10"/>
              <w:jc w:val="center"/>
              <w:rPr>
                <w:sz w:val="18"/>
              </w:rPr>
            </w:pPr>
            <w:r>
              <w:rPr>
                <w:spacing w:val="-2"/>
                <w:sz w:val="18"/>
              </w:rPr>
              <w:t>(0.00239)</w:t>
            </w:r>
          </w:p>
        </w:tc>
        <w:tc>
          <w:tcPr>
            <w:tcW w:w="1418" w:type="dxa"/>
          </w:tcPr>
          <w:p>
            <w:pPr>
              <w:pStyle w:val="TableParagraph"/>
              <w:ind w:left="51" w:right="10"/>
              <w:jc w:val="center"/>
              <w:rPr>
                <w:sz w:val="18"/>
              </w:rPr>
            </w:pPr>
            <w:r>
              <w:rPr>
                <w:spacing w:val="-2"/>
                <w:sz w:val="18"/>
              </w:rPr>
              <w:t>(0.00022)</w:t>
            </w:r>
          </w:p>
        </w:tc>
        <w:tc>
          <w:tcPr>
            <w:tcW w:w="1418" w:type="dxa"/>
          </w:tcPr>
          <w:p>
            <w:pPr>
              <w:pStyle w:val="TableParagraph"/>
              <w:ind w:left="48" w:right="10"/>
              <w:jc w:val="center"/>
              <w:rPr>
                <w:sz w:val="18"/>
              </w:rPr>
            </w:pPr>
            <w:r>
              <w:rPr>
                <w:spacing w:val="-2"/>
                <w:sz w:val="18"/>
              </w:rPr>
              <w:t>(0.14869)</w:t>
            </w:r>
          </w:p>
        </w:tc>
        <w:tc>
          <w:tcPr>
            <w:tcW w:w="2833" w:type="dxa"/>
          </w:tcPr>
          <w:p>
            <w:pPr>
              <w:pStyle w:val="TableParagraph"/>
              <w:ind w:left="342"/>
              <w:rPr>
                <w:sz w:val="18"/>
              </w:rPr>
            </w:pPr>
            <w:r>
              <w:rPr>
                <w:spacing w:val="-2"/>
                <w:sz w:val="18"/>
              </w:rPr>
              <w:t>(0.09415)</w:t>
            </w:r>
          </w:p>
        </w:tc>
      </w:tr>
      <w:tr>
        <w:trPr>
          <w:trHeight w:val="224" w:hRule="atLeast"/>
        </w:trPr>
        <w:tc>
          <w:tcPr>
            <w:tcW w:w="1467" w:type="dxa"/>
          </w:tcPr>
          <w:p>
            <w:pPr>
              <w:pStyle w:val="TableParagraph"/>
              <w:spacing w:line="198" w:lineRule="exact"/>
              <w:ind w:left="2" w:right="81"/>
              <w:jc w:val="center"/>
              <w:rPr>
                <w:sz w:val="18"/>
              </w:rPr>
            </w:pPr>
            <w:r>
              <w:rPr>
                <w:spacing w:val="-2"/>
                <w:sz w:val="18"/>
              </w:rPr>
              <w:t>D(INT)</w:t>
            </w:r>
          </w:p>
        </w:tc>
        <w:tc>
          <w:tcPr>
            <w:tcW w:w="1339" w:type="dxa"/>
          </w:tcPr>
          <w:p>
            <w:pPr>
              <w:pStyle w:val="TableParagraph"/>
              <w:spacing w:line="198" w:lineRule="exact"/>
              <w:ind w:right="83"/>
              <w:jc w:val="center"/>
              <w:rPr>
                <w:sz w:val="18"/>
              </w:rPr>
            </w:pPr>
            <w:r>
              <w:rPr>
                <w:spacing w:val="-2"/>
                <w:sz w:val="18"/>
              </w:rPr>
              <w:t>-0.000262</w:t>
            </w:r>
          </w:p>
        </w:tc>
        <w:tc>
          <w:tcPr>
            <w:tcW w:w="1419" w:type="dxa"/>
          </w:tcPr>
          <w:p>
            <w:pPr>
              <w:pStyle w:val="TableParagraph"/>
              <w:spacing w:line="198" w:lineRule="exact"/>
              <w:ind w:left="47" w:right="4"/>
              <w:jc w:val="center"/>
              <w:rPr>
                <w:sz w:val="18"/>
              </w:rPr>
            </w:pPr>
            <w:r>
              <w:rPr>
                <w:spacing w:val="-2"/>
                <w:sz w:val="18"/>
              </w:rPr>
              <w:t>0.002542</w:t>
            </w:r>
          </w:p>
        </w:tc>
        <w:tc>
          <w:tcPr>
            <w:tcW w:w="1419" w:type="dxa"/>
          </w:tcPr>
          <w:p>
            <w:pPr>
              <w:pStyle w:val="TableParagraph"/>
              <w:spacing w:line="198" w:lineRule="exact"/>
              <w:ind w:left="47" w:right="4"/>
              <w:jc w:val="center"/>
              <w:rPr>
                <w:sz w:val="18"/>
              </w:rPr>
            </w:pPr>
            <w:r>
              <w:rPr>
                <w:spacing w:val="-2"/>
                <w:sz w:val="18"/>
              </w:rPr>
              <w:t>0.102727</w:t>
            </w:r>
          </w:p>
        </w:tc>
        <w:tc>
          <w:tcPr>
            <w:tcW w:w="1418" w:type="dxa"/>
          </w:tcPr>
          <w:p>
            <w:pPr>
              <w:pStyle w:val="TableParagraph"/>
              <w:spacing w:line="198" w:lineRule="exact"/>
              <w:ind w:left="43" w:right="48"/>
              <w:jc w:val="center"/>
              <w:rPr>
                <w:sz w:val="18"/>
              </w:rPr>
            </w:pPr>
            <w:r>
              <w:rPr>
                <w:spacing w:val="-2"/>
                <w:sz w:val="18"/>
              </w:rPr>
              <w:t>-0.078788</w:t>
            </w:r>
          </w:p>
        </w:tc>
        <w:tc>
          <w:tcPr>
            <w:tcW w:w="1418" w:type="dxa"/>
          </w:tcPr>
          <w:p>
            <w:pPr>
              <w:pStyle w:val="TableParagraph"/>
              <w:spacing w:line="198" w:lineRule="exact"/>
              <w:ind w:left="50" w:right="10"/>
              <w:jc w:val="center"/>
              <w:rPr>
                <w:sz w:val="18"/>
              </w:rPr>
            </w:pPr>
            <w:r>
              <w:rPr>
                <w:spacing w:val="-2"/>
                <w:sz w:val="18"/>
              </w:rPr>
              <w:t>0.004251</w:t>
            </w:r>
          </w:p>
        </w:tc>
        <w:tc>
          <w:tcPr>
            <w:tcW w:w="1418" w:type="dxa"/>
          </w:tcPr>
          <w:p>
            <w:pPr>
              <w:pStyle w:val="TableParagraph"/>
              <w:spacing w:line="198" w:lineRule="exact"/>
              <w:ind w:left="43" w:right="53"/>
              <w:jc w:val="center"/>
              <w:rPr>
                <w:sz w:val="18"/>
              </w:rPr>
            </w:pPr>
            <w:r>
              <w:rPr>
                <w:spacing w:val="-2"/>
                <w:sz w:val="18"/>
              </w:rPr>
              <w:t>-8.22E-</w:t>
            </w:r>
            <w:r>
              <w:rPr>
                <w:spacing w:val="-5"/>
                <w:sz w:val="18"/>
              </w:rPr>
              <w:t>05</w:t>
            </w:r>
          </w:p>
        </w:tc>
        <w:tc>
          <w:tcPr>
            <w:tcW w:w="1418" w:type="dxa"/>
          </w:tcPr>
          <w:p>
            <w:pPr>
              <w:pStyle w:val="TableParagraph"/>
              <w:spacing w:line="198" w:lineRule="exact"/>
              <w:ind w:left="48" w:right="10"/>
              <w:jc w:val="center"/>
              <w:rPr>
                <w:sz w:val="18"/>
              </w:rPr>
            </w:pPr>
            <w:r>
              <w:rPr>
                <w:spacing w:val="-2"/>
                <w:sz w:val="18"/>
              </w:rPr>
              <w:t>0.050608</w:t>
            </w:r>
          </w:p>
        </w:tc>
        <w:tc>
          <w:tcPr>
            <w:tcW w:w="2833" w:type="dxa"/>
          </w:tcPr>
          <w:p>
            <w:pPr>
              <w:pStyle w:val="TableParagraph"/>
              <w:spacing w:line="198" w:lineRule="exact"/>
              <w:ind w:left="297"/>
              <w:rPr>
                <w:sz w:val="18"/>
              </w:rPr>
            </w:pPr>
            <w:r>
              <w:rPr>
                <w:spacing w:val="-2"/>
                <w:sz w:val="18"/>
              </w:rPr>
              <w:t>-0.657354</w:t>
            </w:r>
          </w:p>
        </w:tc>
      </w:tr>
      <w:tr>
        <w:trPr>
          <w:trHeight w:val="224" w:hRule="atLeast"/>
        </w:trPr>
        <w:tc>
          <w:tcPr>
            <w:tcW w:w="1467" w:type="dxa"/>
          </w:tcPr>
          <w:p>
            <w:pPr>
              <w:pStyle w:val="TableParagraph"/>
              <w:spacing w:line="240" w:lineRule="auto" w:before="0"/>
              <w:rPr>
                <w:rFonts w:ascii="Times New Roman"/>
                <w:sz w:val="16"/>
              </w:rPr>
            </w:pPr>
          </w:p>
        </w:tc>
        <w:tc>
          <w:tcPr>
            <w:tcW w:w="1339" w:type="dxa"/>
          </w:tcPr>
          <w:p>
            <w:pPr>
              <w:pStyle w:val="TableParagraph"/>
              <w:spacing w:before="5"/>
              <w:ind w:left="51" w:right="83"/>
              <w:jc w:val="center"/>
              <w:rPr>
                <w:sz w:val="18"/>
              </w:rPr>
            </w:pPr>
            <w:r>
              <w:rPr>
                <w:spacing w:val="-2"/>
                <w:sz w:val="18"/>
              </w:rPr>
              <w:t>(0.00038)</w:t>
            </w:r>
          </w:p>
        </w:tc>
        <w:tc>
          <w:tcPr>
            <w:tcW w:w="1419" w:type="dxa"/>
          </w:tcPr>
          <w:p>
            <w:pPr>
              <w:pStyle w:val="TableParagraph"/>
              <w:spacing w:before="5"/>
              <w:ind w:left="48" w:right="4"/>
              <w:jc w:val="center"/>
              <w:rPr>
                <w:sz w:val="18"/>
              </w:rPr>
            </w:pPr>
            <w:r>
              <w:rPr>
                <w:spacing w:val="-2"/>
                <w:sz w:val="18"/>
              </w:rPr>
              <w:t>(0.00197)</w:t>
            </w:r>
          </w:p>
        </w:tc>
        <w:tc>
          <w:tcPr>
            <w:tcW w:w="1419" w:type="dxa"/>
          </w:tcPr>
          <w:p>
            <w:pPr>
              <w:pStyle w:val="TableParagraph"/>
              <w:spacing w:before="5"/>
              <w:ind w:left="48" w:right="4"/>
              <w:jc w:val="center"/>
              <w:rPr>
                <w:sz w:val="18"/>
              </w:rPr>
            </w:pPr>
            <w:r>
              <w:rPr>
                <w:spacing w:val="-2"/>
                <w:sz w:val="18"/>
              </w:rPr>
              <w:t>(0.11734)</w:t>
            </w:r>
          </w:p>
        </w:tc>
        <w:tc>
          <w:tcPr>
            <w:tcW w:w="1418" w:type="dxa"/>
          </w:tcPr>
          <w:p>
            <w:pPr>
              <w:pStyle w:val="TableParagraph"/>
              <w:spacing w:before="5"/>
              <w:ind w:left="53" w:right="10"/>
              <w:jc w:val="center"/>
              <w:rPr>
                <w:sz w:val="18"/>
              </w:rPr>
            </w:pPr>
            <w:r>
              <w:rPr>
                <w:spacing w:val="-2"/>
                <w:sz w:val="18"/>
              </w:rPr>
              <w:t>(0.09870)</w:t>
            </w:r>
          </w:p>
        </w:tc>
        <w:tc>
          <w:tcPr>
            <w:tcW w:w="1418" w:type="dxa"/>
          </w:tcPr>
          <w:p>
            <w:pPr>
              <w:pStyle w:val="TableParagraph"/>
              <w:spacing w:before="5"/>
              <w:ind w:left="50" w:right="10"/>
              <w:jc w:val="center"/>
              <w:rPr>
                <w:sz w:val="18"/>
              </w:rPr>
            </w:pPr>
            <w:r>
              <w:rPr>
                <w:spacing w:val="-2"/>
                <w:sz w:val="18"/>
              </w:rPr>
              <w:t>(0.00577)</w:t>
            </w:r>
          </w:p>
        </w:tc>
        <w:tc>
          <w:tcPr>
            <w:tcW w:w="1418" w:type="dxa"/>
          </w:tcPr>
          <w:p>
            <w:pPr>
              <w:pStyle w:val="TableParagraph"/>
              <w:spacing w:before="5"/>
              <w:ind w:left="51" w:right="10"/>
              <w:jc w:val="center"/>
              <w:rPr>
                <w:sz w:val="18"/>
              </w:rPr>
            </w:pPr>
            <w:r>
              <w:rPr>
                <w:spacing w:val="-2"/>
                <w:sz w:val="18"/>
              </w:rPr>
              <w:t>(0.00053)</w:t>
            </w:r>
          </w:p>
        </w:tc>
        <w:tc>
          <w:tcPr>
            <w:tcW w:w="1418" w:type="dxa"/>
          </w:tcPr>
          <w:p>
            <w:pPr>
              <w:pStyle w:val="TableParagraph"/>
              <w:spacing w:before="5"/>
              <w:ind w:left="48" w:right="10"/>
              <w:jc w:val="center"/>
              <w:rPr>
                <w:sz w:val="18"/>
              </w:rPr>
            </w:pPr>
            <w:r>
              <w:rPr>
                <w:spacing w:val="-2"/>
                <w:sz w:val="18"/>
              </w:rPr>
              <w:t>(0.35960)</w:t>
            </w:r>
          </w:p>
        </w:tc>
        <w:tc>
          <w:tcPr>
            <w:tcW w:w="2833" w:type="dxa"/>
          </w:tcPr>
          <w:p>
            <w:pPr>
              <w:pStyle w:val="TableParagraph"/>
              <w:spacing w:before="5"/>
              <w:ind w:left="342"/>
              <w:rPr>
                <w:sz w:val="18"/>
              </w:rPr>
            </w:pPr>
            <w:r>
              <w:rPr>
                <w:spacing w:val="-2"/>
                <w:sz w:val="18"/>
              </w:rPr>
              <w:t>(0.22769)</w:t>
            </w:r>
          </w:p>
        </w:tc>
      </w:tr>
      <w:tr>
        <w:trPr>
          <w:trHeight w:val="225" w:hRule="atLeast"/>
        </w:trPr>
        <w:tc>
          <w:tcPr>
            <w:tcW w:w="1467" w:type="dxa"/>
          </w:tcPr>
          <w:p>
            <w:pPr>
              <w:pStyle w:val="TableParagraph"/>
              <w:ind w:right="81"/>
              <w:jc w:val="center"/>
              <w:rPr>
                <w:sz w:val="18"/>
              </w:rPr>
            </w:pPr>
            <w:r>
              <w:rPr>
                <w:spacing w:val="-2"/>
                <w:sz w:val="18"/>
              </w:rPr>
              <w:t>D(EXCH)</w:t>
            </w:r>
          </w:p>
        </w:tc>
        <w:tc>
          <w:tcPr>
            <w:tcW w:w="1339" w:type="dxa"/>
          </w:tcPr>
          <w:p>
            <w:pPr>
              <w:pStyle w:val="TableParagraph"/>
              <w:ind w:left="50" w:right="83"/>
              <w:jc w:val="center"/>
              <w:rPr>
                <w:sz w:val="18"/>
              </w:rPr>
            </w:pPr>
            <w:r>
              <w:rPr>
                <w:spacing w:val="-2"/>
                <w:sz w:val="18"/>
              </w:rPr>
              <w:t>0.001408</w:t>
            </w:r>
          </w:p>
        </w:tc>
        <w:tc>
          <w:tcPr>
            <w:tcW w:w="1419" w:type="dxa"/>
          </w:tcPr>
          <w:p>
            <w:pPr>
              <w:pStyle w:val="TableParagraph"/>
              <w:ind w:left="44" w:right="48"/>
              <w:jc w:val="center"/>
              <w:rPr>
                <w:sz w:val="18"/>
              </w:rPr>
            </w:pPr>
            <w:r>
              <w:rPr>
                <w:spacing w:val="-2"/>
                <w:sz w:val="18"/>
              </w:rPr>
              <w:t>-0.016059</w:t>
            </w:r>
          </w:p>
        </w:tc>
        <w:tc>
          <w:tcPr>
            <w:tcW w:w="1419" w:type="dxa"/>
          </w:tcPr>
          <w:p>
            <w:pPr>
              <w:pStyle w:val="TableParagraph"/>
              <w:ind w:left="47" w:right="4"/>
              <w:jc w:val="center"/>
              <w:rPr>
                <w:sz w:val="18"/>
              </w:rPr>
            </w:pPr>
            <w:r>
              <w:rPr>
                <w:spacing w:val="-2"/>
                <w:sz w:val="18"/>
              </w:rPr>
              <w:t>0.055048</w:t>
            </w:r>
          </w:p>
        </w:tc>
        <w:tc>
          <w:tcPr>
            <w:tcW w:w="1418" w:type="dxa"/>
          </w:tcPr>
          <w:p>
            <w:pPr>
              <w:pStyle w:val="TableParagraph"/>
              <w:ind w:left="53" w:right="10"/>
              <w:jc w:val="center"/>
              <w:rPr>
                <w:sz w:val="18"/>
              </w:rPr>
            </w:pPr>
            <w:r>
              <w:rPr>
                <w:spacing w:val="-2"/>
                <w:sz w:val="18"/>
              </w:rPr>
              <w:t>0.752298</w:t>
            </w:r>
          </w:p>
        </w:tc>
        <w:tc>
          <w:tcPr>
            <w:tcW w:w="1418" w:type="dxa"/>
          </w:tcPr>
          <w:p>
            <w:pPr>
              <w:pStyle w:val="TableParagraph"/>
              <w:ind w:left="50" w:right="10"/>
              <w:jc w:val="center"/>
              <w:rPr>
                <w:sz w:val="18"/>
              </w:rPr>
            </w:pPr>
            <w:r>
              <w:rPr>
                <w:spacing w:val="-2"/>
                <w:sz w:val="18"/>
              </w:rPr>
              <w:t>0.015184</w:t>
            </w:r>
          </w:p>
        </w:tc>
        <w:tc>
          <w:tcPr>
            <w:tcW w:w="1418" w:type="dxa"/>
          </w:tcPr>
          <w:p>
            <w:pPr>
              <w:pStyle w:val="TableParagraph"/>
              <w:ind w:left="43" w:right="50"/>
              <w:jc w:val="center"/>
              <w:rPr>
                <w:sz w:val="18"/>
              </w:rPr>
            </w:pPr>
            <w:r>
              <w:rPr>
                <w:spacing w:val="-2"/>
                <w:sz w:val="18"/>
              </w:rPr>
              <w:t>-0.003326</w:t>
            </w:r>
          </w:p>
        </w:tc>
        <w:tc>
          <w:tcPr>
            <w:tcW w:w="1418" w:type="dxa"/>
          </w:tcPr>
          <w:p>
            <w:pPr>
              <w:pStyle w:val="TableParagraph"/>
              <w:ind w:left="48" w:right="10"/>
              <w:jc w:val="center"/>
              <w:rPr>
                <w:sz w:val="18"/>
              </w:rPr>
            </w:pPr>
            <w:r>
              <w:rPr>
                <w:spacing w:val="-2"/>
                <w:sz w:val="18"/>
              </w:rPr>
              <w:t>1.803074</w:t>
            </w:r>
          </w:p>
        </w:tc>
        <w:tc>
          <w:tcPr>
            <w:tcW w:w="2833" w:type="dxa"/>
          </w:tcPr>
          <w:p>
            <w:pPr>
              <w:pStyle w:val="TableParagraph"/>
              <w:ind w:left="352"/>
              <w:rPr>
                <w:sz w:val="18"/>
              </w:rPr>
            </w:pPr>
            <w:r>
              <w:rPr>
                <w:spacing w:val="-2"/>
                <w:sz w:val="18"/>
              </w:rPr>
              <w:t>0.525115</w:t>
            </w:r>
          </w:p>
        </w:tc>
      </w:tr>
      <w:tr>
        <w:trPr>
          <w:trHeight w:val="303" w:hRule="atLeast"/>
        </w:trPr>
        <w:tc>
          <w:tcPr>
            <w:tcW w:w="1467" w:type="dxa"/>
            <w:tcBorders>
              <w:bottom w:val="double" w:sz="6" w:space="0" w:color="000000"/>
            </w:tcBorders>
          </w:tcPr>
          <w:p>
            <w:pPr>
              <w:pStyle w:val="TableParagraph"/>
              <w:spacing w:line="240" w:lineRule="auto" w:before="0"/>
              <w:rPr>
                <w:rFonts w:ascii="Times New Roman"/>
                <w:sz w:val="18"/>
              </w:rPr>
            </w:pPr>
          </w:p>
        </w:tc>
        <w:tc>
          <w:tcPr>
            <w:tcW w:w="1339" w:type="dxa"/>
            <w:tcBorders>
              <w:bottom w:val="double" w:sz="6" w:space="0" w:color="000000"/>
            </w:tcBorders>
          </w:tcPr>
          <w:p>
            <w:pPr>
              <w:pStyle w:val="TableParagraph"/>
              <w:spacing w:line="240" w:lineRule="auto"/>
              <w:ind w:left="51" w:right="83"/>
              <w:jc w:val="center"/>
              <w:rPr>
                <w:sz w:val="18"/>
              </w:rPr>
            </w:pPr>
            <w:r>
              <w:rPr>
                <w:spacing w:val="-2"/>
                <w:sz w:val="18"/>
              </w:rPr>
              <w:t>(0.00144)</w:t>
            </w:r>
          </w:p>
        </w:tc>
        <w:tc>
          <w:tcPr>
            <w:tcW w:w="1419" w:type="dxa"/>
            <w:tcBorders>
              <w:bottom w:val="double" w:sz="6" w:space="0" w:color="000000"/>
            </w:tcBorders>
          </w:tcPr>
          <w:p>
            <w:pPr>
              <w:pStyle w:val="TableParagraph"/>
              <w:spacing w:line="240" w:lineRule="auto"/>
              <w:ind w:left="48" w:right="4"/>
              <w:jc w:val="center"/>
              <w:rPr>
                <w:sz w:val="18"/>
              </w:rPr>
            </w:pPr>
            <w:r>
              <w:rPr>
                <w:spacing w:val="-2"/>
                <w:sz w:val="18"/>
              </w:rPr>
              <w:t>(0.00751)</w:t>
            </w:r>
          </w:p>
        </w:tc>
        <w:tc>
          <w:tcPr>
            <w:tcW w:w="1419" w:type="dxa"/>
            <w:tcBorders>
              <w:bottom w:val="double" w:sz="6" w:space="0" w:color="000000"/>
            </w:tcBorders>
          </w:tcPr>
          <w:p>
            <w:pPr>
              <w:pStyle w:val="TableParagraph"/>
              <w:spacing w:line="240" w:lineRule="auto"/>
              <w:ind w:left="48" w:right="4"/>
              <w:jc w:val="center"/>
              <w:rPr>
                <w:sz w:val="18"/>
              </w:rPr>
            </w:pPr>
            <w:r>
              <w:rPr>
                <w:spacing w:val="-2"/>
                <w:sz w:val="18"/>
              </w:rPr>
              <w:t>(0.44842)</w:t>
            </w:r>
          </w:p>
        </w:tc>
        <w:tc>
          <w:tcPr>
            <w:tcW w:w="1418" w:type="dxa"/>
            <w:tcBorders>
              <w:bottom w:val="double" w:sz="6" w:space="0" w:color="000000"/>
            </w:tcBorders>
          </w:tcPr>
          <w:p>
            <w:pPr>
              <w:pStyle w:val="TableParagraph"/>
              <w:spacing w:line="240" w:lineRule="auto"/>
              <w:ind w:left="53" w:right="10"/>
              <w:jc w:val="center"/>
              <w:rPr>
                <w:sz w:val="18"/>
              </w:rPr>
            </w:pPr>
            <w:r>
              <w:rPr>
                <w:spacing w:val="-2"/>
                <w:sz w:val="18"/>
              </w:rPr>
              <w:t>(0.37718)</w:t>
            </w:r>
          </w:p>
        </w:tc>
        <w:tc>
          <w:tcPr>
            <w:tcW w:w="1418" w:type="dxa"/>
            <w:tcBorders>
              <w:bottom w:val="double" w:sz="6" w:space="0" w:color="000000"/>
            </w:tcBorders>
          </w:tcPr>
          <w:p>
            <w:pPr>
              <w:pStyle w:val="TableParagraph"/>
              <w:spacing w:line="240" w:lineRule="auto"/>
              <w:ind w:left="50" w:right="10"/>
              <w:jc w:val="center"/>
              <w:rPr>
                <w:sz w:val="18"/>
              </w:rPr>
            </w:pPr>
            <w:r>
              <w:rPr>
                <w:spacing w:val="-2"/>
                <w:sz w:val="18"/>
              </w:rPr>
              <w:t>(0.02205)</w:t>
            </w:r>
          </w:p>
        </w:tc>
        <w:tc>
          <w:tcPr>
            <w:tcW w:w="1418" w:type="dxa"/>
            <w:tcBorders>
              <w:bottom w:val="double" w:sz="6" w:space="0" w:color="000000"/>
            </w:tcBorders>
          </w:tcPr>
          <w:p>
            <w:pPr>
              <w:pStyle w:val="TableParagraph"/>
              <w:spacing w:line="240" w:lineRule="auto"/>
              <w:ind w:left="51" w:right="10"/>
              <w:jc w:val="center"/>
              <w:rPr>
                <w:sz w:val="18"/>
              </w:rPr>
            </w:pPr>
            <w:r>
              <w:rPr>
                <w:spacing w:val="-2"/>
                <w:sz w:val="18"/>
              </w:rPr>
              <w:t>(0.00203)</w:t>
            </w:r>
          </w:p>
        </w:tc>
        <w:tc>
          <w:tcPr>
            <w:tcW w:w="1418" w:type="dxa"/>
            <w:tcBorders>
              <w:bottom w:val="double" w:sz="6" w:space="0" w:color="000000"/>
            </w:tcBorders>
          </w:tcPr>
          <w:p>
            <w:pPr>
              <w:pStyle w:val="TableParagraph"/>
              <w:spacing w:line="240" w:lineRule="auto"/>
              <w:ind w:left="48" w:right="10"/>
              <w:jc w:val="center"/>
              <w:rPr>
                <w:sz w:val="18"/>
              </w:rPr>
            </w:pPr>
            <w:r>
              <w:rPr>
                <w:spacing w:val="-2"/>
                <w:sz w:val="18"/>
              </w:rPr>
              <w:t>(1.37417)</w:t>
            </w:r>
          </w:p>
        </w:tc>
        <w:tc>
          <w:tcPr>
            <w:tcW w:w="2833" w:type="dxa"/>
            <w:tcBorders>
              <w:bottom w:val="double" w:sz="6" w:space="0" w:color="000000"/>
            </w:tcBorders>
          </w:tcPr>
          <w:p>
            <w:pPr>
              <w:pStyle w:val="TableParagraph"/>
              <w:spacing w:line="240" w:lineRule="auto"/>
              <w:ind w:left="342"/>
              <w:rPr>
                <w:sz w:val="18"/>
              </w:rPr>
            </w:pPr>
            <w:r>
              <w:rPr>
                <w:spacing w:val="-2"/>
                <w:sz w:val="18"/>
              </w:rPr>
              <w:t>(0.87011)</w:t>
            </w:r>
          </w:p>
        </w:tc>
      </w:tr>
    </w:tbl>
    <w:p>
      <w:pPr>
        <w:spacing w:after="0" w:line="240" w:lineRule="auto"/>
        <w:rPr>
          <w:sz w:val="18"/>
        </w:rPr>
        <w:sectPr>
          <w:pgSz w:w="15840" w:h="12240" w:orient="landscape"/>
          <w:pgMar w:header="0" w:footer="1012" w:top="1380" w:bottom="1200" w:left="1340" w:right="120"/>
        </w:sectPr>
      </w:pPr>
    </w:p>
    <w:p>
      <w:pPr>
        <w:spacing w:before="60"/>
        <w:ind w:left="100" w:right="0" w:firstLine="0"/>
        <w:jc w:val="left"/>
        <w:rPr>
          <w:b/>
          <w:sz w:val="25"/>
        </w:rPr>
      </w:pPr>
      <w:r>
        <w:rPr/>
        <mc:AlternateContent>
          <mc:Choice Requires="wps">
            <w:drawing>
              <wp:anchor distT="0" distB="0" distL="0" distR="0" allowOverlap="1" layoutInCell="1" locked="0" behindDoc="1" simplePos="0" relativeHeight="478145536">
                <wp:simplePos x="0" y="0"/>
                <wp:positionH relativeFrom="page">
                  <wp:posOffset>950112</wp:posOffset>
                </wp:positionH>
                <wp:positionV relativeFrom="page">
                  <wp:posOffset>4603495</wp:posOffset>
                </wp:positionV>
                <wp:extent cx="3128645" cy="325501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3128645" cy="3255010"/>
                        </a:xfrm>
                        <a:custGeom>
                          <a:avLst/>
                          <a:gdLst/>
                          <a:ahLst/>
                          <a:cxnLst/>
                          <a:rect l="l" t="t" r="r" b="b"/>
                          <a:pathLst>
                            <a:path w="3128645" h="3255010">
                              <a:moveTo>
                                <a:pt x="677011" y="3130804"/>
                              </a:moveTo>
                              <a:lnTo>
                                <a:pt x="123825" y="2577719"/>
                              </a:lnTo>
                              <a:lnTo>
                                <a:pt x="0" y="2701544"/>
                              </a:lnTo>
                              <a:lnTo>
                                <a:pt x="553186" y="3254629"/>
                              </a:lnTo>
                              <a:lnTo>
                                <a:pt x="677011" y="3130804"/>
                              </a:lnTo>
                              <a:close/>
                            </a:path>
                            <a:path w="3128645" h="3255010">
                              <a:moveTo>
                                <a:pt x="1052677" y="2701607"/>
                              </a:moveTo>
                              <a:lnTo>
                                <a:pt x="1048994" y="2649347"/>
                              </a:lnTo>
                              <a:lnTo>
                                <a:pt x="1033970" y="2593683"/>
                              </a:lnTo>
                              <a:lnTo>
                                <a:pt x="1007338" y="2538476"/>
                              </a:lnTo>
                              <a:lnTo>
                                <a:pt x="970724" y="2485529"/>
                              </a:lnTo>
                              <a:lnTo>
                                <a:pt x="925931" y="2435225"/>
                              </a:lnTo>
                              <a:lnTo>
                                <a:pt x="596112" y="2105406"/>
                              </a:lnTo>
                              <a:lnTo>
                                <a:pt x="472795" y="2228723"/>
                              </a:lnTo>
                              <a:lnTo>
                                <a:pt x="810361" y="2566416"/>
                              </a:lnTo>
                              <a:lnTo>
                                <a:pt x="830872" y="2589225"/>
                              </a:lnTo>
                              <a:lnTo>
                                <a:pt x="846518" y="2611691"/>
                              </a:lnTo>
                              <a:lnTo>
                                <a:pt x="857364" y="2633789"/>
                              </a:lnTo>
                              <a:lnTo>
                                <a:pt x="863447" y="2655443"/>
                              </a:lnTo>
                              <a:lnTo>
                                <a:pt x="864400" y="2676283"/>
                              </a:lnTo>
                              <a:lnTo>
                                <a:pt x="860463" y="2695727"/>
                              </a:lnTo>
                              <a:lnTo>
                                <a:pt x="838047" y="2730373"/>
                              </a:lnTo>
                              <a:lnTo>
                                <a:pt x="803135" y="2752941"/>
                              </a:lnTo>
                              <a:lnTo>
                                <a:pt x="783590" y="2756725"/>
                              </a:lnTo>
                              <a:lnTo>
                                <a:pt x="762609" y="2755392"/>
                              </a:lnTo>
                              <a:lnTo>
                                <a:pt x="718540" y="2738717"/>
                              </a:lnTo>
                              <a:lnTo>
                                <a:pt x="673709" y="2703068"/>
                              </a:lnTo>
                              <a:lnTo>
                                <a:pt x="336143" y="2365375"/>
                              </a:lnTo>
                              <a:lnTo>
                                <a:pt x="212750" y="2488692"/>
                              </a:lnTo>
                              <a:lnTo>
                                <a:pt x="542518" y="2818511"/>
                              </a:lnTo>
                              <a:lnTo>
                                <a:pt x="589267" y="2859417"/>
                              </a:lnTo>
                              <a:lnTo>
                                <a:pt x="647547" y="2900680"/>
                              </a:lnTo>
                              <a:lnTo>
                                <a:pt x="690029" y="2922676"/>
                              </a:lnTo>
                              <a:lnTo>
                                <a:pt x="737844" y="2937891"/>
                              </a:lnTo>
                              <a:lnTo>
                                <a:pt x="785317" y="2945282"/>
                              </a:lnTo>
                              <a:lnTo>
                                <a:pt x="807148" y="2945384"/>
                              </a:lnTo>
                              <a:lnTo>
                                <a:pt x="827760" y="2943225"/>
                              </a:lnTo>
                              <a:lnTo>
                                <a:pt x="867854" y="2931350"/>
                              </a:lnTo>
                              <a:lnTo>
                                <a:pt x="908151" y="2908046"/>
                              </a:lnTo>
                              <a:lnTo>
                                <a:pt x="945184" y="2878810"/>
                              </a:lnTo>
                              <a:lnTo>
                                <a:pt x="976985" y="2849753"/>
                              </a:lnTo>
                              <a:lnTo>
                                <a:pt x="1019340" y="2798343"/>
                              </a:lnTo>
                              <a:lnTo>
                                <a:pt x="1045311" y="2745105"/>
                              </a:lnTo>
                              <a:lnTo>
                                <a:pt x="1050315" y="2724467"/>
                              </a:lnTo>
                              <a:lnTo>
                                <a:pt x="1052677" y="2701607"/>
                              </a:lnTo>
                              <a:close/>
                            </a:path>
                            <a:path w="3128645" h="3255010">
                              <a:moveTo>
                                <a:pt x="1514894" y="2204237"/>
                              </a:moveTo>
                              <a:lnTo>
                                <a:pt x="1510919" y="2163483"/>
                              </a:lnTo>
                              <a:lnTo>
                                <a:pt x="1500898" y="2121916"/>
                              </a:lnTo>
                              <a:lnTo>
                                <a:pt x="1484604" y="2079498"/>
                              </a:lnTo>
                              <a:lnTo>
                                <a:pt x="1466773" y="2044979"/>
                              </a:lnTo>
                              <a:lnTo>
                                <a:pt x="1444371" y="2009406"/>
                              </a:lnTo>
                              <a:lnTo>
                                <a:pt x="1417307" y="1972830"/>
                              </a:lnTo>
                              <a:lnTo>
                                <a:pt x="1385633" y="1935365"/>
                              </a:lnTo>
                              <a:lnTo>
                                <a:pt x="1374317" y="1923453"/>
                              </a:lnTo>
                              <a:lnTo>
                                <a:pt x="1349222" y="1896999"/>
                              </a:lnTo>
                              <a:lnTo>
                                <a:pt x="1334046" y="1882876"/>
                              </a:lnTo>
                              <a:lnTo>
                                <a:pt x="1334046" y="2196515"/>
                              </a:lnTo>
                              <a:lnTo>
                                <a:pt x="1330934" y="2222068"/>
                              </a:lnTo>
                              <a:lnTo>
                                <a:pt x="1304518" y="2266442"/>
                              </a:lnTo>
                              <a:lnTo>
                                <a:pt x="1260602" y="2292134"/>
                              </a:lnTo>
                              <a:lnTo>
                                <a:pt x="1234897" y="2294953"/>
                              </a:lnTo>
                              <a:lnTo>
                                <a:pt x="1206601" y="2290953"/>
                              </a:lnTo>
                              <a:lnTo>
                                <a:pt x="1141285" y="2259393"/>
                              </a:lnTo>
                              <a:lnTo>
                                <a:pt x="1103972" y="2230704"/>
                              </a:lnTo>
                              <a:lnTo>
                                <a:pt x="1063599" y="2193175"/>
                              </a:lnTo>
                              <a:lnTo>
                                <a:pt x="1025931" y="2152586"/>
                              </a:lnTo>
                              <a:lnTo>
                                <a:pt x="997051" y="2115070"/>
                              </a:lnTo>
                              <a:lnTo>
                                <a:pt x="976833" y="2080691"/>
                              </a:lnTo>
                              <a:lnTo>
                                <a:pt x="961161" y="2021243"/>
                              </a:lnTo>
                              <a:lnTo>
                                <a:pt x="963866" y="1995665"/>
                              </a:lnTo>
                              <a:lnTo>
                                <a:pt x="988669" y="1952752"/>
                              </a:lnTo>
                              <a:lnTo>
                                <a:pt x="1032649" y="1926742"/>
                              </a:lnTo>
                              <a:lnTo>
                                <a:pt x="1058367" y="1923453"/>
                              </a:lnTo>
                              <a:lnTo>
                                <a:pt x="1086497" y="1926742"/>
                              </a:lnTo>
                              <a:lnTo>
                                <a:pt x="1150048" y="1956612"/>
                              </a:lnTo>
                              <a:lnTo>
                                <a:pt x="1185506" y="1983460"/>
                              </a:lnTo>
                              <a:lnTo>
                                <a:pt x="1223365" y="2018411"/>
                              </a:lnTo>
                              <a:lnTo>
                                <a:pt x="1264780" y="2062670"/>
                              </a:lnTo>
                              <a:lnTo>
                                <a:pt x="1296352" y="2102573"/>
                              </a:lnTo>
                              <a:lnTo>
                                <a:pt x="1318158" y="2138019"/>
                              </a:lnTo>
                              <a:lnTo>
                                <a:pt x="1334046" y="2196515"/>
                              </a:lnTo>
                              <a:lnTo>
                                <a:pt x="1334046" y="1882876"/>
                              </a:lnTo>
                              <a:lnTo>
                                <a:pt x="1304836" y="1855685"/>
                              </a:lnTo>
                              <a:lnTo>
                                <a:pt x="1260716" y="1820722"/>
                              </a:lnTo>
                              <a:lnTo>
                                <a:pt x="1216901" y="1792058"/>
                              </a:lnTo>
                              <a:lnTo>
                                <a:pt x="1173378" y="1769618"/>
                              </a:lnTo>
                              <a:lnTo>
                                <a:pt x="1130185" y="1753362"/>
                              </a:lnTo>
                              <a:lnTo>
                                <a:pt x="1087348" y="1743202"/>
                              </a:lnTo>
                              <a:lnTo>
                                <a:pt x="1037310" y="1739671"/>
                              </a:lnTo>
                              <a:lnTo>
                                <a:pt x="989495" y="1746021"/>
                              </a:lnTo>
                              <a:lnTo>
                                <a:pt x="943914" y="1762150"/>
                              </a:lnTo>
                              <a:lnTo>
                                <a:pt x="900569" y="1787931"/>
                              </a:lnTo>
                              <a:lnTo>
                                <a:pt x="859510" y="1823212"/>
                              </a:lnTo>
                              <a:lnTo>
                                <a:pt x="825169" y="1863496"/>
                              </a:lnTo>
                              <a:lnTo>
                                <a:pt x="800252" y="1906397"/>
                              </a:lnTo>
                              <a:lnTo>
                                <a:pt x="784847" y="1951913"/>
                              </a:lnTo>
                              <a:lnTo>
                                <a:pt x="779043" y="1999970"/>
                              </a:lnTo>
                              <a:lnTo>
                                <a:pt x="782929" y="2050542"/>
                              </a:lnTo>
                              <a:lnTo>
                                <a:pt x="793407" y="2093937"/>
                              </a:lnTo>
                              <a:lnTo>
                                <a:pt x="810056" y="2137740"/>
                              </a:lnTo>
                              <a:lnTo>
                                <a:pt x="832916" y="2181898"/>
                              </a:lnTo>
                              <a:lnTo>
                                <a:pt x="862050" y="2226373"/>
                              </a:lnTo>
                              <a:lnTo>
                                <a:pt x="897521" y="2271128"/>
                              </a:lnTo>
                              <a:lnTo>
                                <a:pt x="939393" y="2316099"/>
                              </a:lnTo>
                              <a:lnTo>
                                <a:pt x="977900" y="2352383"/>
                              </a:lnTo>
                              <a:lnTo>
                                <a:pt x="1016127" y="2383853"/>
                              </a:lnTo>
                              <a:lnTo>
                                <a:pt x="1053998" y="2410561"/>
                              </a:lnTo>
                              <a:lnTo>
                                <a:pt x="1091438" y="2432583"/>
                              </a:lnTo>
                              <a:lnTo>
                                <a:pt x="1128369" y="2449957"/>
                              </a:lnTo>
                              <a:lnTo>
                                <a:pt x="1173124" y="2465425"/>
                              </a:lnTo>
                              <a:lnTo>
                                <a:pt x="1215783" y="2474099"/>
                              </a:lnTo>
                              <a:lnTo>
                                <a:pt x="1256322" y="2476284"/>
                              </a:lnTo>
                              <a:lnTo>
                                <a:pt x="1294739" y="2472309"/>
                              </a:lnTo>
                              <a:lnTo>
                                <a:pt x="1331429" y="2462009"/>
                              </a:lnTo>
                              <a:lnTo>
                                <a:pt x="1367269" y="2444775"/>
                              </a:lnTo>
                              <a:lnTo>
                                <a:pt x="1402270" y="2420785"/>
                              </a:lnTo>
                              <a:lnTo>
                                <a:pt x="1436471" y="2390267"/>
                              </a:lnTo>
                              <a:lnTo>
                                <a:pt x="1466303" y="2356129"/>
                              </a:lnTo>
                              <a:lnTo>
                                <a:pt x="1489087" y="2320391"/>
                              </a:lnTo>
                              <a:lnTo>
                                <a:pt x="1504708" y="2283079"/>
                              </a:lnTo>
                              <a:lnTo>
                                <a:pt x="1513052" y="2244217"/>
                              </a:lnTo>
                              <a:lnTo>
                                <a:pt x="1514894" y="2204237"/>
                              </a:lnTo>
                              <a:close/>
                            </a:path>
                            <a:path w="3128645" h="3255010">
                              <a:moveTo>
                                <a:pt x="1687042" y="1836166"/>
                              </a:moveTo>
                              <a:lnTo>
                                <a:pt x="1568297" y="1717294"/>
                              </a:lnTo>
                              <a:lnTo>
                                <a:pt x="1406880" y="1878838"/>
                              </a:lnTo>
                              <a:lnTo>
                                <a:pt x="1525625" y="1997583"/>
                              </a:lnTo>
                              <a:lnTo>
                                <a:pt x="1687042" y="1836166"/>
                              </a:lnTo>
                              <a:close/>
                            </a:path>
                            <a:path w="3128645" h="3255010">
                              <a:moveTo>
                                <a:pt x="2011400" y="1796415"/>
                              </a:moveTo>
                              <a:lnTo>
                                <a:pt x="1458188" y="1243203"/>
                              </a:lnTo>
                              <a:lnTo>
                                <a:pt x="1334363" y="1367028"/>
                              </a:lnTo>
                              <a:lnTo>
                                <a:pt x="1887575" y="1920240"/>
                              </a:lnTo>
                              <a:lnTo>
                                <a:pt x="2011400" y="1796415"/>
                              </a:lnTo>
                              <a:close/>
                            </a:path>
                            <a:path w="3128645" h="3255010">
                              <a:moveTo>
                                <a:pt x="2223617" y="1584198"/>
                              </a:moveTo>
                              <a:lnTo>
                                <a:pt x="2018385" y="1378839"/>
                              </a:lnTo>
                              <a:lnTo>
                                <a:pt x="2086076" y="1311148"/>
                              </a:lnTo>
                              <a:lnTo>
                                <a:pt x="2118207" y="1273162"/>
                              </a:lnTo>
                              <a:lnTo>
                                <a:pt x="2121674" y="1266825"/>
                              </a:lnTo>
                              <a:lnTo>
                                <a:pt x="2139670" y="1234059"/>
                              </a:lnTo>
                              <a:lnTo>
                                <a:pt x="2150364" y="1193927"/>
                              </a:lnTo>
                              <a:lnTo>
                                <a:pt x="2150211" y="1152779"/>
                              </a:lnTo>
                              <a:lnTo>
                                <a:pt x="2140051" y="1111097"/>
                              </a:lnTo>
                              <a:lnTo>
                                <a:pt x="2125281" y="1078788"/>
                              </a:lnTo>
                              <a:lnTo>
                                <a:pt x="2120950" y="1069301"/>
                              </a:lnTo>
                              <a:lnTo>
                                <a:pt x="2092820" y="1027430"/>
                              </a:lnTo>
                              <a:lnTo>
                                <a:pt x="2055596" y="985520"/>
                              </a:lnTo>
                              <a:lnTo>
                                <a:pt x="2015070" y="949274"/>
                              </a:lnTo>
                              <a:lnTo>
                                <a:pt x="1975040" y="921918"/>
                              </a:lnTo>
                              <a:lnTo>
                                <a:pt x="1969490" y="919302"/>
                              </a:lnTo>
                              <a:lnTo>
                                <a:pt x="1969490" y="1168908"/>
                              </a:lnTo>
                              <a:lnTo>
                                <a:pt x="1968703" y="1185151"/>
                              </a:lnTo>
                              <a:lnTo>
                                <a:pt x="1962848" y="1201851"/>
                              </a:lnTo>
                              <a:lnTo>
                                <a:pt x="1952091" y="1219009"/>
                              </a:lnTo>
                              <a:lnTo>
                                <a:pt x="1936597" y="1236599"/>
                              </a:lnTo>
                              <a:lnTo>
                                <a:pt x="1906371" y="1266825"/>
                              </a:lnTo>
                              <a:lnTo>
                                <a:pt x="1782927" y="1143381"/>
                              </a:lnTo>
                              <a:lnTo>
                                <a:pt x="1818106" y="1108202"/>
                              </a:lnTo>
                              <a:lnTo>
                                <a:pt x="1835226" y="1093317"/>
                              </a:lnTo>
                              <a:lnTo>
                                <a:pt x="1851787" y="1083525"/>
                              </a:lnTo>
                              <a:lnTo>
                                <a:pt x="1867827" y="1078788"/>
                              </a:lnTo>
                              <a:lnTo>
                                <a:pt x="1883384" y="1079119"/>
                              </a:lnTo>
                              <a:lnTo>
                                <a:pt x="1926831" y="1099007"/>
                              </a:lnTo>
                              <a:lnTo>
                                <a:pt x="1960765" y="1138682"/>
                              </a:lnTo>
                              <a:lnTo>
                                <a:pt x="1969490" y="1168908"/>
                              </a:lnTo>
                              <a:lnTo>
                                <a:pt x="1969490" y="919302"/>
                              </a:lnTo>
                              <a:lnTo>
                                <a:pt x="1935543" y="903249"/>
                              </a:lnTo>
                              <a:lnTo>
                                <a:pt x="1896592" y="893064"/>
                              </a:lnTo>
                              <a:lnTo>
                                <a:pt x="1858441" y="892467"/>
                              </a:lnTo>
                              <a:lnTo>
                                <a:pt x="1821573" y="901814"/>
                              </a:lnTo>
                              <a:lnTo>
                                <a:pt x="1786013" y="920953"/>
                              </a:lnTo>
                              <a:lnTo>
                                <a:pt x="1751812" y="949706"/>
                              </a:lnTo>
                              <a:lnTo>
                                <a:pt x="1546326" y="1155065"/>
                              </a:lnTo>
                              <a:lnTo>
                                <a:pt x="2099538" y="1708277"/>
                              </a:lnTo>
                              <a:lnTo>
                                <a:pt x="2223617" y="1584198"/>
                              </a:lnTo>
                              <a:close/>
                            </a:path>
                            <a:path w="3128645" h="3255010">
                              <a:moveTo>
                                <a:pt x="2725140" y="1082675"/>
                              </a:moveTo>
                              <a:lnTo>
                                <a:pt x="2308441" y="666115"/>
                              </a:lnTo>
                              <a:lnTo>
                                <a:pt x="2434564" y="540004"/>
                              </a:lnTo>
                              <a:lnTo>
                                <a:pt x="2298039" y="403479"/>
                              </a:lnTo>
                              <a:lnTo>
                                <a:pt x="1922373" y="779145"/>
                              </a:lnTo>
                              <a:lnTo>
                                <a:pt x="2058898" y="915670"/>
                              </a:lnTo>
                              <a:lnTo>
                                <a:pt x="2184882" y="789686"/>
                              </a:lnTo>
                              <a:lnTo>
                                <a:pt x="2601569" y="1206246"/>
                              </a:lnTo>
                              <a:lnTo>
                                <a:pt x="2725140" y="1082675"/>
                              </a:lnTo>
                              <a:close/>
                            </a:path>
                            <a:path w="3128645" h="3255010">
                              <a:moveTo>
                                <a:pt x="3128619" y="679196"/>
                              </a:moveTo>
                              <a:lnTo>
                                <a:pt x="2712059" y="262509"/>
                              </a:lnTo>
                              <a:lnTo>
                                <a:pt x="2838043" y="136525"/>
                              </a:lnTo>
                              <a:lnTo>
                                <a:pt x="2701518" y="0"/>
                              </a:lnTo>
                              <a:lnTo>
                                <a:pt x="2325852" y="375666"/>
                              </a:lnTo>
                              <a:lnTo>
                                <a:pt x="2462504" y="512191"/>
                              </a:lnTo>
                              <a:lnTo>
                                <a:pt x="2588488" y="386207"/>
                              </a:lnTo>
                              <a:lnTo>
                                <a:pt x="3005048" y="802767"/>
                              </a:lnTo>
                              <a:lnTo>
                                <a:pt x="3128619" y="6791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362.47998pt;width:246.35pt;height:256.3pt;mso-position-horizontal-relative:page;mso-position-vertical-relative:page;z-index:-25170944" id="docshape298" coordorigin="1496,7250" coordsize="4927,5126"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m5788,8955l5132,8299,5330,8100,5115,7885,4524,8477,4739,8692,4937,8493,5593,9149,5788,8955xm6423,8319l5767,7663,5966,7465,5751,7250,5159,7841,5374,8056,5573,7858,6229,8514,6423,8319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46048">
                <wp:simplePos x="0" y="0"/>
                <wp:positionH relativeFrom="page">
                  <wp:posOffset>3808730</wp:posOffset>
                </wp:positionH>
                <wp:positionV relativeFrom="paragraph">
                  <wp:posOffset>1321053</wp:posOffset>
                </wp:positionV>
                <wp:extent cx="2646680" cy="2803525"/>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2646680" cy="2803525"/>
                        </a:xfrm>
                        <a:custGeom>
                          <a:avLst/>
                          <a:gdLst/>
                          <a:ahLst/>
                          <a:cxnLst/>
                          <a:rect l="l" t="t" r="r" b="b"/>
                          <a:pathLst>
                            <a:path w="2646680" h="2803525">
                              <a:moveTo>
                                <a:pt x="735787" y="2530856"/>
                              </a:moveTo>
                              <a:lnTo>
                                <a:pt x="731862" y="2490063"/>
                              </a:lnTo>
                              <a:lnTo>
                                <a:pt x="721893" y="2448458"/>
                              </a:lnTo>
                              <a:lnTo>
                                <a:pt x="705612" y="2406015"/>
                              </a:lnTo>
                              <a:lnTo>
                                <a:pt x="687717" y="2371560"/>
                              </a:lnTo>
                              <a:lnTo>
                                <a:pt x="665276" y="2336038"/>
                              </a:lnTo>
                              <a:lnTo>
                                <a:pt x="638162" y="2299449"/>
                              </a:lnTo>
                              <a:lnTo>
                                <a:pt x="606513" y="2262073"/>
                              </a:lnTo>
                              <a:lnTo>
                                <a:pt x="595122" y="2250097"/>
                              </a:lnTo>
                              <a:lnTo>
                                <a:pt x="570103" y="2223770"/>
                              </a:lnTo>
                              <a:lnTo>
                                <a:pt x="554926" y="2209635"/>
                              </a:lnTo>
                              <a:lnTo>
                                <a:pt x="554926" y="2523134"/>
                              </a:lnTo>
                              <a:lnTo>
                                <a:pt x="551789" y="2548661"/>
                              </a:lnTo>
                              <a:lnTo>
                                <a:pt x="525272" y="2593086"/>
                              </a:lnTo>
                              <a:lnTo>
                                <a:pt x="481533" y="2618714"/>
                              </a:lnTo>
                              <a:lnTo>
                                <a:pt x="455879" y="2621483"/>
                              </a:lnTo>
                              <a:lnTo>
                                <a:pt x="427609" y="2617470"/>
                              </a:lnTo>
                              <a:lnTo>
                                <a:pt x="362292" y="2585936"/>
                              </a:lnTo>
                              <a:lnTo>
                                <a:pt x="324980" y="2557272"/>
                              </a:lnTo>
                              <a:lnTo>
                                <a:pt x="284607" y="2519807"/>
                              </a:lnTo>
                              <a:lnTo>
                                <a:pt x="246862" y="2479154"/>
                              </a:lnTo>
                              <a:lnTo>
                                <a:pt x="217957" y="2441600"/>
                              </a:lnTo>
                              <a:lnTo>
                                <a:pt x="197764" y="2407208"/>
                              </a:lnTo>
                              <a:lnTo>
                                <a:pt x="182143" y="2347785"/>
                              </a:lnTo>
                              <a:lnTo>
                                <a:pt x="184810" y="2322245"/>
                              </a:lnTo>
                              <a:lnTo>
                                <a:pt x="209550" y="2279396"/>
                              </a:lnTo>
                              <a:lnTo>
                                <a:pt x="253530" y="2253386"/>
                              </a:lnTo>
                              <a:lnTo>
                                <a:pt x="279247" y="2250097"/>
                              </a:lnTo>
                              <a:lnTo>
                                <a:pt x="307378" y="2253386"/>
                              </a:lnTo>
                              <a:lnTo>
                                <a:pt x="370878" y="2283256"/>
                              </a:lnTo>
                              <a:lnTo>
                                <a:pt x="406361" y="2310104"/>
                              </a:lnTo>
                              <a:lnTo>
                                <a:pt x="444246" y="2345055"/>
                              </a:lnTo>
                              <a:lnTo>
                                <a:pt x="485686" y="2389289"/>
                              </a:lnTo>
                              <a:lnTo>
                                <a:pt x="517283" y="2429167"/>
                              </a:lnTo>
                              <a:lnTo>
                                <a:pt x="539089" y="2464612"/>
                              </a:lnTo>
                              <a:lnTo>
                                <a:pt x="554926" y="2523134"/>
                              </a:lnTo>
                              <a:lnTo>
                                <a:pt x="554926" y="2209635"/>
                              </a:lnTo>
                              <a:lnTo>
                                <a:pt x="525716" y="2182406"/>
                              </a:lnTo>
                              <a:lnTo>
                                <a:pt x="481596" y="2147405"/>
                              </a:lnTo>
                              <a:lnTo>
                                <a:pt x="437781" y="2118715"/>
                              </a:lnTo>
                              <a:lnTo>
                                <a:pt x="394258" y="2096274"/>
                              </a:lnTo>
                              <a:lnTo>
                                <a:pt x="351066" y="2080006"/>
                              </a:lnTo>
                              <a:lnTo>
                                <a:pt x="308229" y="2069846"/>
                              </a:lnTo>
                              <a:lnTo>
                                <a:pt x="258191" y="2066315"/>
                              </a:lnTo>
                              <a:lnTo>
                                <a:pt x="210375" y="2072665"/>
                              </a:lnTo>
                              <a:lnTo>
                                <a:pt x="164795" y="2088769"/>
                              </a:lnTo>
                              <a:lnTo>
                                <a:pt x="121450" y="2114512"/>
                              </a:lnTo>
                              <a:lnTo>
                                <a:pt x="80391" y="2149729"/>
                              </a:lnTo>
                              <a:lnTo>
                                <a:pt x="46101" y="2190026"/>
                              </a:lnTo>
                              <a:lnTo>
                                <a:pt x="21196" y="2232964"/>
                              </a:lnTo>
                              <a:lnTo>
                                <a:pt x="5791" y="2278507"/>
                              </a:lnTo>
                              <a:lnTo>
                                <a:pt x="0" y="2326602"/>
                              </a:lnTo>
                              <a:lnTo>
                                <a:pt x="3937" y="2377186"/>
                              </a:lnTo>
                              <a:lnTo>
                                <a:pt x="14363" y="2420582"/>
                              </a:lnTo>
                              <a:lnTo>
                                <a:pt x="30975" y="2464346"/>
                              </a:lnTo>
                              <a:lnTo>
                                <a:pt x="53809" y="2508478"/>
                              </a:lnTo>
                              <a:lnTo>
                                <a:pt x="82931" y="2552928"/>
                              </a:lnTo>
                              <a:lnTo>
                                <a:pt x="118402" y="2597645"/>
                              </a:lnTo>
                              <a:lnTo>
                                <a:pt x="160274" y="2642616"/>
                              </a:lnTo>
                              <a:lnTo>
                                <a:pt x="198831" y="2678912"/>
                              </a:lnTo>
                              <a:lnTo>
                                <a:pt x="237070" y="2710408"/>
                              </a:lnTo>
                              <a:lnTo>
                                <a:pt x="274916" y="2737167"/>
                              </a:lnTo>
                              <a:lnTo>
                                <a:pt x="312331" y="2759214"/>
                              </a:lnTo>
                              <a:lnTo>
                                <a:pt x="349250" y="2776601"/>
                              </a:lnTo>
                              <a:lnTo>
                                <a:pt x="394068" y="2792006"/>
                              </a:lnTo>
                              <a:lnTo>
                                <a:pt x="436714" y="2800693"/>
                              </a:lnTo>
                              <a:lnTo>
                                <a:pt x="477227" y="2802915"/>
                              </a:lnTo>
                              <a:lnTo>
                                <a:pt x="515620" y="2798953"/>
                              </a:lnTo>
                              <a:lnTo>
                                <a:pt x="552335" y="2788602"/>
                              </a:lnTo>
                              <a:lnTo>
                                <a:pt x="588200" y="2771368"/>
                              </a:lnTo>
                              <a:lnTo>
                                <a:pt x="623201" y="2747416"/>
                              </a:lnTo>
                              <a:lnTo>
                                <a:pt x="657352" y="2716911"/>
                              </a:lnTo>
                              <a:lnTo>
                                <a:pt x="687209" y="2682722"/>
                              </a:lnTo>
                              <a:lnTo>
                                <a:pt x="710018" y="2646984"/>
                              </a:lnTo>
                              <a:lnTo>
                                <a:pt x="720699" y="2621483"/>
                              </a:lnTo>
                              <a:lnTo>
                                <a:pt x="725639" y="2609710"/>
                              </a:lnTo>
                              <a:lnTo>
                                <a:pt x="733933" y="2570861"/>
                              </a:lnTo>
                              <a:lnTo>
                                <a:pt x="735787" y="2530856"/>
                              </a:lnTo>
                              <a:close/>
                            </a:path>
                            <a:path w="2646680" h="2803525">
                              <a:moveTo>
                                <a:pt x="1379156" y="1898713"/>
                              </a:moveTo>
                              <a:lnTo>
                                <a:pt x="1368171" y="1835531"/>
                              </a:lnTo>
                              <a:lnTo>
                                <a:pt x="1340777" y="1767636"/>
                              </a:lnTo>
                              <a:lnTo>
                                <a:pt x="1321142" y="1732191"/>
                              </a:lnTo>
                              <a:lnTo>
                                <a:pt x="1297305" y="1695831"/>
                              </a:lnTo>
                              <a:lnTo>
                                <a:pt x="1258874" y="1711452"/>
                              </a:lnTo>
                              <a:lnTo>
                                <a:pt x="1143635" y="1758823"/>
                              </a:lnTo>
                              <a:lnTo>
                                <a:pt x="1163688" y="1788236"/>
                              </a:lnTo>
                              <a:lnTo>
                                <a:pt x="1179220" y="1815719"/>
                              </a:lnTo>
                              <a:lnTo>
                                <a:pt x="1190421" y="1841309"/>
                              </a:lnTo>
                              <a:lnTo>
                                <a:pt x="1197483" y="1864995"/>
                              </a:lnTo>
                              <a:lnTo>
                                <a:pt x="1199464" y="1887347"/>
                              </a:lnTo>
                              <a:lnTo>
                                <a:pt x="1195730" y="1908327"/>
                              </a:lnTo>
                              <a:lnTo>
                                <a:pt x="1171321" y="1946402"/>
                              </a:lnTo>
                              <a:lnTo>
                                <a:pt x="1130249" y="1970443"/>
                              </a:lnTo>
                              <a:lnTo>
                                <a:pt x="1106436" y="1973021"/>
                              </a:lnTo>
                              <a:lnTo>
                                <a:pt x="1080516" y="1969135"/>
                              </a:lnTo>
                              <a:lnTo>
                                <a:pt x="1017041" y="1935657"/>
                              </a:lnTo>
                              <a:lnTo>
                                <a:pt x="978065" y="1904365"/>
                              </a:lnTo>
                              <a:lnTo>
                                <a:pt x="934339" y="1863217"/>
                              </a:lnTo>
                              <a:lnTo>
                                <a:pt x="900798" y="1827504"/>
                              </a:lnTo>
                              <a:lnTo>
                                <a:pt x="874293" y="1794510"/>
                              </a:lnTo>
                              <a:lnTo>
                                <a:pt x="842264" y="1737233"/>
                              </a:lnTo>
                              <a:lnTo>
                                <a:pt x="833983" y="1704390"/>
                              </a:lnTo>
                              <a:lnTo>
                                <a:pt x="834224" y="1674964"/>
                              </a:lnTo>
                              <a:lnTo>
                                <a:pt x="859917" y="1626108"/>
                              </a:lnTo>
                              <a:lnTo>
                                <a:pt x="903986" y="1603121"/>
                              </a:lnTo>
                              <a:lnTo>
                                <a:pt x="917130" y="1601851"/>
                              </a:lnTo>
                              <a:lnTo>
                                <a:pt x="930732" y="1602105"/>
                              </a:lnTo>
                              <a:lnTo>
                                <a:pt x="969251" y="1611642"/>
                              </a:lnTo>
                              <a:lnTo>
                                <a:pt x="1008507" y="1632966"/>
                              </a:lnTo>
                              <a:lnTo>
                                <a:pt x="1083945" y="1490218"/>
                              </a:lnTo>
                              <a:lnTo>
                                <a:pt x="1031227" y="1461084"/>
                              </a:lnTo>
                              <a:lnTo>
                                <a:pt x="981316" y="1440662"/>
                              </a:lnTo>
                              <a:lnTo>
                                <a:pt x="934275" y="1428572"/>
                              </a:lnTo>
                              <a:lnTo>
                                <a:pt x="890143" y="1424432"/>
                              </a:lnTo>
                              <a:lnTo>
                                <a:pt x="847877" y="1429385"/>
                              </a:lnTo>
                              <a:lnTo>
                                <a:pt x="806983" y="1443939"/>
                              </a:lnTo>
                              <a:lnTo>
                                <a:pt x="767372" y="1467904"/>
                              </a:lnTo>
                              <a:lnTo>
                                <a:pt x="728980" y="1501140"/>
                              </a:lnTo>
                              <a:lnTo>
                                <a:pt x="694969" y="1540979"/>
                              </a:lnTo>
                              <a:lnTo>
                                <a:pt x="670306" y="1583207"/>
                              </a:lnTo>
                              <a:lnTo>
                                <a:pt x="655066" y="1627797"/>
                              </a:lnTo>
                              <a:lnTo>
                                <a:pt x="649363" y="1674749"/>
                              </a:lnTo>
                              <a:lnTo>
                                <a:pt x="653288" y="1724025"/>
                              </a:lnTo>
                              <a:lnTo>
                                <a:pt x="663892" y="1766570"/>
                              </a:lnTo>
                              <a:lnTo>
                                <a:pt x="680681" y="1809699"/>
                              </a:lnTo>
                              <a:lnTo>
                                <a:pt x="703732" y="1853438"/>
                              </a:lnTo>
                              <a:lnTo>
                                <a:pt x="733158" y="1897773"/>
                              </a:lnTo>
                              <a:lnTo>
                                <a:pt x="769061" y="1942693"/>
                              </a:lnTo>
                              <a:lnTo>
                                <a:pt x="811530" y="1988185"/>
                              </a:lnTo>
                              <a:lnTo>
                                <a:pt x="852487" y="2026716"/>
                              </a:lnTo>
                              <a:lnTo>
                                <a:pt x="892898" y="2059787"/>
                              </a:lnTo>
                              <a:lnTo>
                                <a:pt x="932751" y="2087511"/>
                              </a:lnTo>
                              <a:lnTo>
                                <a:pt x="972019" y="2110003"/>
                              </a:lnTo>
                              <a:lnTo>
                                <a:pt x="1010666" y="2127377"/>
                              </a:lnTo>
                              <a:lnTo>
                                <a:pt x="1056843" y="2142363"/>
                              </a:lnTo>
                              <a:lnTo>
                                <a:pt x="1099540" y="2150580"/>
                              </a:lnTo>
                              <a:lnTo>
                                <a:pt x="1138694" y="2152332"/>
                              </a:lnTo>
                              <a:lnTo>
                                <a:pt x="1174242" y="2147951"/>
                              </a:lnTo>
                              <a:lnTo>
                                <a:pt x="1241082" y="2120328"/>
                              </a:lnTo>
                              <a:lnTo>
                                <a:pt x="1274051" y="2097024"/>
                              </a:lnTo>
                              <a:lnTo>
                                <a:pt x="1306703" y="2067560"/>
                              </a:lnTo>
                              <a:lnTo>
                                <a:pt x="1350416" y="2013115"/>
                              </a:lnTo>
                              <a:lnTo>
                                <a:pt x="1373759" y="1957324"/>
                              </a:lnTo>
                              <a:lnTo>
                                <a:pt x="1378381" y="1928583"/>
                              </a:lnTo>
                              <a:lnTo>
                                <a:pt x="1379156" y="1898713"/>
                              </a:lnTo>
                              <a:close/>
                            </a:path>
                            <a:path w="2646680" h="2803525">
                              <a:moveTo>
                                <a:pt x="1822145" y="1444447"/>
                              </a:moveTo>
                              <a:lnTo>
                                <a:pt x="1818220" y="1403692"/>
                              </a:lnTo>
                              <a:lnTo>
                                <a:pt x="1808251" y="1362100"/>
                              </a:lnTo>
                              <a:lnTo>
                                <a:pt x="1791970" y="1319657"/>
                              </a:lnTo>
                              <a:lnTo>
                                <a:pt x="1774126" y="1285138"/>
                              </a:lnTo>
                              <a:lnTo>
                                <a:pt x="1751698" y="1249578"/>
                              </a:lnTo>
                              <a:lnTo>
                                <a:pt x="1724647" y="1213040"/>
                              </a:lnTo>
                              <a:lnTo>
                                <a:pt x="1692948" y="1175588"/>
                              </a:lnTo>
                              <a:lnTo>
                                <a:pt x="1656588" y="1137285"/>
                              </a:lnTo>
                              <a:lnTo>
                                <a:pt x="1641284" y="1123035"/>
                              </a:lnTo>
                              <a:lnTo>
                                <a:pt x="1641284" y="1436776"/>
                              </a:lnTo>
                              <a:lnTo>
                                <a:pt x="1638173" y="1462278"/>
                              </a:lnTo>
                              <a:lnTo>
                                <a:pt x="1611757" y="1506601"/>
                              </a:lnTo>
                              <a:lnTo>
                                <a:pt x="1567954" y="1532293"/>
                              </a:lnTo>
                              <a:lnTo>
                                <a:pt x="1542262" y="1535112"/>
                              </a:lnTo>
                              <a:lnTo>
                                <a:pt x="1513967" y="1531112"/>
                              </a:lnTo>
                              <a:lnTo>
                                <a:pt x="1448650" y="1499577"/>
                              </a:lnTo>
                              <a:lnTo>
                                <a:pt x="1411338" y="1470914"/>
                              </a:lnTo>
                              <a:lnTo>
                                <a:pt x="1370965" y="1433449"/>
                              </a:lnTo>
                              <a:lnTo>
                                <a:pt x="1333220" y="1392796"/>
                              </a:lnTo>
                              <a:lnTo>
                                <a:pt x="1304315" y="1355242"/>
                              </a:lnTo>
                              <a:lnTo>
                                <a:pt x="1284122" y="1320850"/>
                              </a:lnTo>
                              <a:lnTo>
                                <a:pt x="1268526" y="1261414"/>
                              </a:lnTo>
                              <a:lnTo>
                                <a:pt x="1271219" y="1235837"/>
                              </a:lnTo>
                              <a:lnTo>
                                <a:pt x="1295908" y="1193038"/>
                              </a:lnTo>
                              <a:lnTo>
                                <a:pt x="1339913" y="1166964"/>
                              </a:lnTo>
                              <a:lnTo>
                                <a:pt x="1365656" y="1163624"/>
                              </a:lnTo>
                              <a:lnTo>
                                <a:pt x="1393825" y="1166876"/>
                              </a:lnTo>
                              <a:lnTo>
                                <a:pt x="1457363" y="1196771"/>
                              </a:lnTo>
                              <a:lnTo>
                                <a:pt x="1492846" y="1223619"/>
                              </a:lnTo>
                              <a:lnTo>
                                <a:pt x="1530731" y="1258570"/>
                              </a:lnTo>
                              <a:lnTo>
                                <a:pt x="1572145" y="1302829"/>
                              </a:lnTo>
                              <a:lnTo>
                                <a:pt x="1603705" y="1342745"/>
                              </a:lnTo>
                              <a:lnTo>
                                <a:pt x="1625473" y="1378229"/>
                              </a:lnTo>
                              <a:lnTo>
                                <a:pt x="1641284" y="1436776"/>
                              </a:lnTo>
                              <a:lnTo>
                                <a:pt x="1641284" y="1123035"/>
                              </a:lnTo>
                              <a:lnTo>
                                <a:pt x="1612201" y="1095921"/>
                              </a:lnTo>
                              <a:lnTo>
                                <a:pt x="1568081" y="1060919"/>
                              </a:lnTo>
                              <a:lnTo>
                                <a:pt x="1524266" y="1032230"/>
                              </a:lnTo>
                              <a:lnTo>
                                <a:pt x="1480743" y="1009789"/>
                              </a:lnTo>
                              <a:lnTo>
                                <a:pt x="1437551" y="993521"/>
                              </a:lnTo>
                              <a:lnTo>
                                <a:pt x="1394714" y="983361"/>
                              </a:lnTo>
                              <a:lnTo>
                                <a:pt x="1344625" y="979881"/>
                              </a:lnTo>
                              <a:lnTo>
                                <a:pt x="1296797" y="986269"/>
                              </a:lnTo>
                              <a:lnTo>
                                <a:pt x="1251216" y="1002411"/>
                              </a:lnTo>
                              <a:lnTo>
                                <a:pt x="1207858" y="1028153"/>
                              </a:lnTo>
                              <a:lnTo>
                                <a:pt x="1166749" y="1063371"/>
                              </a:lnTo>
                              <a:lnTo>
                                <a:pt x="1132459" y="1103668"/>
                              </a:lnTo>
                              <a:lnTo>
                                <a:pt x="1107554" y="1146606"/>
                              </a:lnTo>
                              <a:lnTo>
                                <a:pt x="1092149" y="1192149"/>
                              </a:lnTo>
                              <a:lnTo>
                                <a:pt x="1086358" y="1240243"/>
                              </a:lnTo>
                              <a:lnTo>
                                <a:pt x="1090295" y="1290828"/>
                              </a:lnTo>
                              <a:lnTo>
                                <a:pt x="1100721" y="1334223"/>
                              </a:lnTo>
                              <a:lnTo>
                                <a:pt x="1117333" y="1377988"/>
                              </a:lnTo>
                              <a:lnTo>
                                <a:pt x="1140167" y="1422120"/>
                              </a:lnTo>
                              <a:lnTo>
                                <a:pt x="1169289" y="1466570"/>
                              </a:lnTo>
                              <a:lnTo>
                                <a:pt x="1204760" y="1511287"/>
                              </a:lnTo>
                              <a:lnTo>
                                <a:pt x="1246632" y="1556258"/>
                              </a:lnTo>
                              <a:lnTo>
                                <a:pt x="1285189" y="1592554"/>
                              </a:lnTo>
                              <a:lnTo>
                                <a:pt x="1323428" y="1624050"/>
                              </a:lnTo>
                              <a:lnTo>
                                <a:pt x="1361300" y="1650809"/>
                              </a:lnTo>
                              <a:lnTo>
                                <a:pt x="1398752" y="1672856"/>
                              </a:lnTo>
                              <a:lnTo>
                                <a:pt x="1435735" y="1690243"/>
                              </a:lnTo>
                              <a:lnTo>
                                <a:pt x="1480489" y="1705635"/>
                              </a:lnTo>
                              <a:lnTo>
                                <a:pt x="1523149" y="1714271"/>
                              </a:lnTo>
                              <a:lnTo>
                                <a:pt x="1563687" y="1716443"/>
                              </a:lnTo>
                              <a:lnTo>
                                <a:pt x="1602105" y="1712468"/>
                              </a:lnTo>
                              <a:lnTo>
                                <a:pt x="1674583" y="1684972"/>
                              </a:lnTo>
                              <a:lnTo>
                                <a:pt x="1709610" y="1661007"/>
                              </a:lnTo>
                              <a:lnTo>
                                <a:pt x="1743837" y="1630426"/>
                              </a:lnTo>
                              <a:lnTo>
                                <a:pt x="1773618" y="1596301"/>
                              </a:lnTo>
                              <a:lnTo>
                                <a:pt x="1796389" y="1560601"/>
                              </a:lnTo>
                              <a:lnTo>
                                <a:pt x="1811997" y="1523288"/>
                              </a:lnTo>
                              <a:lnTo>
                                <a:pt x="1820291" y="1484376"/>
                              </a:lnTo>
                              <a:lnTo>
                                <a:pt x="1822145" y="1444447"/>
                              </a:lnTo>
                              <a:close/>
                            </a:path>
                            <a:path w="2646680" h="2803525">
                              <a:moveTo>
                                <a:pt x="2127504" y="1227975"/>
                              </a:moveTo>
                              <a:lnTo>
                                <a:pt x="1922145" y="1022604"/>
                              </a:lnTo>
                              <a:lnTo>
                                <a:pt x="1989836" y="954913"/>
                              </a:lnTo>
                              <a:lnTo>
                                <a:pt x="2021979" y="916901"/>
                              </a:lnTo>
                              <a:lnTo>
                                <a:pt x="2025446" y="910590"/>
                              </a:lnTo>
                              <a:lnTo>
                                <a:pt x="2043468" y="877760"/>
                              </a:lnTo>
                              <a:lnTo>
                                <a:pt x="2054174" y="837577"/>
                              </a:lnTo>
                              <a:lnTo>
                                <a:pt x="2053971" y="796417"/>
                              </a:lnTo>
                              <a:lnTo>
                                <a:pt x="2043874" y="754748"/>
                              </a:lnTo>
                              <a:lnTo>
                                <a:pt x="2024799" y="713003"/>
                              </a:lnTo>
                              <a:lnTo>
                                <a:pt x="1996655" y="671169"/>
                              </a:lnTo>
                              <a:lnTo>
                                <a:pt x="1959356" y="629285"/>
                              </a:lnTo>
                              <a:lnTo>
                                <a:pt x="1918830" y="593026"/>
                              </a:lnTo>
                              <a:lnTo>
                                <a:pt x="1878799" y="565632"/>
                              </a:lnTo>
                              <a:lnTo>
                                <a:pt x="1873250" y="563016"/>
                              </a:lnTo>
                              <a:lnTo>
                                <a:pt x="1873250" y="812673"/>
                              </a:lnTo>
                              <a:lnTo>
                                <a:pt x="1872488" y="828903"/>
                              </a:lnTo>
                              <a:lnTo>
                                <a:pt x="1866671" y="845553"/>
                              </a:lnTo>
                              <a:lnTo>
                                <a:pt x="1855952" y="862672"/>
                              </a:lnTo>
                              <a:lnTo>
                                <a:pt x="1840484" y="880237"/>
                              </a:lnTo>
                              <a:lnTo>
                                <a:pt x="1810131" y="910590"/>
                              </a:lnTo>
                              <a:lnTo>
                                <a:pt x="1686687" y="787146"/>
                              </a:lnTo>
                              <a:lnTo>
                                <a:pt x="1721866" y="751967"/>
                              </a:lnTo>
                              <a:lnTo>
                                <a:pt x="1738985" y="737082"/>
                              </a:lnTo>
                              <a:lnTo>
                                <a:pt x="1755546" y="727290"/>
                              </a:lnTo>
                              <a:lnTo>
                                <a:pt x="1771586" y="722553"/>
                              </a:lnTo>
                              <a:lnTo>
                                <a:pt x="1787144" y="722884"/>
                              </a:lnTo>
                              <a:lnTo>
                                <a:pt x="1830590" y="742772"/>
                              </a:lnTo>
                              <a:lnTo>
                                <a:pt x="1864525" y="782459"/>
                              </a:lnTo>
                              <a:lnTo>
                                <a:pt x="1873250" y="812673"/>
                              </a:lnTo>
                              <a:lnTo>
                                <a:pt x="1873250" y="563016"/>
                              </a:lnTo>
                              <a:lnTo>
                                <a:pt x="1839302" y="546963"/>
                              </a:lnTo>
                              <a:lnTo>
                                <a:pt x="1800352" y="536829"/>
                              </a:lnTo>
                              <a:lnTo>
                                <a:pt x="1762226" y="536219"/>
                              </a:lnTo>
                              <a:lnTo>
                                <a:pt x="1725396" y="545515"/>
                              </a:lnTo>
                              <a:lnTo>
                                <a:pt x="1689887" y="564603"/>
                              </a:lnTo>
                              <a:lnTo>
                                <a:pt x="1655699" y="593344"/>
                              </a:lnTo>
                              <a:lnTo>
                                <a:pt x="1450086" y="798830"/>
                              </a:lnTo>
                              <a:lnTo>
                                <a:pt x="2003298" y="1352042"/>
                              </a:lnTo>
                              <a:lnTo>
                                <a:pt x="2127504" y="1227975"/>
                              </a:lnTo>
                              <a:close/>
                            </a:path>
                            <a:path w="2646680" h="2803525">
                              <a:moveTo>
                                <a:pt x="2646680" y="708660"/>
                              </a:moveTo>
                              <a:lnTo>
                                <a:pt x="2414905" y="477012"/>
                              </a:lnTo>
                              <a:lnTo>
                                <a:pt x="2381377" y="381711"/>
                              </a:lnTo>
                              <a:lnTo>
                                <a:pt x="2282558" y="95250"/>
                              </a:lnTo>
                              <a:lnTo>
                                <a:pt x="2249043" y="0"/>
                              </a:lnTo>
                              <a:lnTo>
                                <a:pt x="2112391" y="136652"/>
                              </a:lnTo>
                              <a:lnTo>
                                <a:pt x="2130209" y="181178"/>
                              </a:lnTo>
                              <a:lnTo>
                                <a:pt x="2182888" y="315112"/>
                              </a:lnTo>
                              <a:lnTo>
                                <a:pt x="2218436" y="404241"/>
                              </a:lnTo>
                              <a:lnTo>
                                <a:pt x="2173922" y="386359"/>
                              </a:lnTo>
                              <a:lnTo>
                                <a:pt x="2040102" y="333527"/>
                              </a:lnTo>
                              <a:lnTo>
                                <a:pt x="1951101" y="297942"/>
                              </a:lnTo>
                              <a:lnTo>
                                <a:pt x="1813814" y="435229"/>
                              </a:lnTo>
                              <a:lnTo>
                                <a:pt x="1909127" y="468693"/>
                              </a:lnTo>
                              <a:lnTo>
                                <a:pt x="2195753" y="567385"/>
                              </a:lnTo>
                              <a:lnTo>
                                <a:pt x="2291080" y="600837"/>
                              </a:lnTo>
                              <a:lnTo>
                                <a:pt x="2522855" y="832485"/>
                              </a:lnTo>
                              <a:lnTo>
                                <a:pt x="2646680"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99.900024pt;margin-top:104.019974pt;width:208.4pt;height:220.75pt;mso-position-horizontal-relative:page;mso-position-vertical-relative:paragraph;z-index:-25170432" id="docshape299" coordorigin="5998,2080" coordsize="4168,4415" path="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b/>
          <w:sz w:val="25"/>
        </w:rPr>
        <w:t>ERROR</w:t>
      </w:r>
      <w:r>
        <w:rPr>
          <w:b/>
          <w:spacing w:val="-13"/>
          <w:sz w:val="25"/>
        </w:rPr>
        <w:t> </w:t>
      </w:r>
      <w:r>
        <w:rPr>
          <w:b/>
          <w:sz w:val="25"/>
        </w:rPr>
        <w:t>CORRECTION</w:t>
      </w:r>
      <w:r>
        <w:rPr>
          <w:b/>
          <w:spacing w:val="-13"/>
          <w:sz w:val="25"/>
        </w:rPr>
        <w:t> </w:t>
      </w:r>
      <w:r>
        <w:rPr>
          <w:b/>
          <w:spacing w:val="-2"/>
          <w:sz w:val="25"/>
        </w:rPr>
        <w:t>MODEL</w:t>
      </w:r>
    </w:p>
    <w:p>
      <w:pPr>
        <w:pStyle w:val="BodyText"/>
        <w:spacing w:before="73"/>
        <w:ind w:left="0"/>
        <w:rPr>
          <w:b/>
          <w:sz w:val="20"/>
        </w:r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1"/>
        <w:gridCol w:w="1491"/>
        <w:gridCol w:w="940"/>
        <w:gridCol w:w="884"/>
      </w:tblGrid>
      <w:tr>
        <w:trPr>
          <w:trHeight w:val="213" w:hRule="atLeast"/>
        </w:trPr>
        <w:tc>
          <w:tcPr>
            <w:tcW w:w="6531" w:type="dxa"/>
            <w:gridSpan w:val="5"/>
          </w:tcPr>
          <w:p>
            <w:pPr>
              <w:pStyle w:val="TableParagraph"/>
              <w:spacing w:line="193" w:lineRule="exact" w:before="0"/>
              <w:rPr>
                <w:sz w:val="18"/>
              </w:rPr>
            </w:pPr>
            <w:r>
              <w:rPr>
                <w:spacing w:val="-2"/>
                <w:sz w:val="18"/>
              </w:rPr>
              <w:t>Dependent</w:t>
            </w:r>
            <w:r>
              <w:rPr>
                <w:spacing w:val="4"/>
                <w:sz w:val="18"/>
              </w:rPr>
              <w:t> </w:t>
            </w:r>
            <w:r>
              <w:rPr>
                <w:spacing w:val="-2"/>
                <w:sz w:val="18"/>
              </w:rPr>
              <w:t>Variable:</w:t>
            </w:r>
            <w:r>
              <w:rPr>
                <w:spacing w:val="6"/>
                <w:sz w:val="18"/>
              </w:rPr>
              <w:t> </w:t>
            </w:r>
            <w:r>
              <w:rPr>
                <w:spacing w:val="-4"/>
                <w:sz w:val="18"/>
              </w:rPr>
              <w:t>LRGDP</w:t>
            </w:r>
          </w:p>
        </w:tc>
      </w:tr>
      <w:tr>
        <w:trPr>
          <w:trHeight w:val="225" w:hRule="atLeast"/>
        </w:trPr>
        <w:tc>
          <w:tcPr>
            <w:tcW w:w="1925"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291"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224" w:hRule="atLeast"/>
        </w:trPr>
        <w:tc>
          <w:tcPr>
            <w:tcW w:w="6531" w:type="dxa"/>
            <w:gridSpan w:val="5"/>
          </w:tcPr>
          <w:p>
            <w:pPr>
              <w:pStyle w:val="TableParagraph"/>
              <w:spacing w:line="198" w:lineRule="exact"/>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07:42</w:t>
            </w:r>
          </w:p>
        </w:tc>
      </w:tr>
      <w:tr>
        <w:trPr>
          <w:trHeight w:val="224" w:hRule="atLeast"/>
        </w:trPr>
        <w:tc>
          <w:tcPr>
            <w:tcW w:w="1925" w:type="dxa"/>
          </w:tcPr>
          <w:p>
            <w:pPr>
              <w:pStyle w:val="TableParagraph"/>
              <w:spacing w:before="5"/>
              <w:rPr>
                <w:sz w:val="18"/>
              </w:rPr>
            </w:pPr>
            <w:r>
              <w:rPr>
                <w:sz w:val="18"/>
              </w:rPr>
              <w:t>Sample:</w:t>
            </w:r>
            <w:r>
              <w:rPr>
                <w:spacing w:val="-7"/>
                <w:sz w:val="18"/>
              </w:rPr>
              <w:t> </w:t>
            </w:r>
            <w:r>
              <w:rPr>
                <w:sz w:val="18"/>
              </w:rPr>
              <w:t>1986</w:t>
            </w:r>
            <w:r>
              <w:rPr>
                <w:spacing w:val="-5"/>
                <w:sz w:val="18"/>
              </w:rPr>
              <w:t> </w:t>
            </w:r>
            <w:r>
              <w:rPr>
                <w:spacing w:val="-4"/>
                <w:sz w:val="18"/>
              </w:rPr>
              <w:t>2020</w:t>
            </w:r>
          </w:p>
        </w:tc>
        <w:tc>
          <w:tcPr>
            <w:tcW w:w="1291"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303" w:hRule="atLeast"/>
        </w:trPr>
        <w:tc>
          <w:tcPr>
            <w:tcW w:w="6531" w:type="dxa"/>
            <w:gridSpan w:val="5"/>
            <w:tcBorders>
              <w:bottom w:val="double" w:sz="6" w:space="0" w:color="000000"/>
            </w:tcBorders>
          </w:tcPr>
          <w:p>
            <w:pPr>
              <w:pStyle w:val="TableParagraph"/>
              <w:spacing w:line="240" w:lineRule="auto"/>
              <w:rPr>
                <w:sz w:val="18"/>
              </w:rPr>
            </w:pPr>
            <w:r>
              <w:rPr>
                <w:sz w:val="18"/>
              </w:rPr>
              <w:t>Included</w:t>
            </w:r>
            <w:r>
              <w:rPr>
                <w:spacing w:val="-6"/>
                <w:sz w:val="18"/>
              </w:rPr>
              <w:t> </w:t>
            </w:r>
            <w:r>
              <w:rPr>
                <w:sz w:val="18"/>
              </w:rPr>
              <w:t>observations:</w:t>
            </w:r>
            <w:r>
              <w:rPr>
                <w:spacing w:val="-5"/>
                <w:sz w:val="18"/>
              </w:rPr>
              <w:t> 35</w:t>
            </w:r>
          </w:p>
        </w:tc>
      </w:tr>
      <w:tr>
        <w:trPr>
          <w:trHeight w:val="403" w:hRule="atLeast"/>
        </w:trPr>
        <w:tc>
          <w:tcPr>
            <w:tcW w:w="1925"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291" w:type="dxa"/>
            <w:tcBorders>
              <w:top w:val="double" w:sz="6" w:space="0" w:color="000000"/>
              <w:bottom w:val="double" w:sz="6" w:space="0" w:color="000000"/>
            </w:tcBorders>
          </w:tcPr>
          <w:p>
            <w:pPr>
              <w:pStyle w:val="TableParagraph"/>
              <w:spacing w:line="240" w:lineRule="auto" w:before="108"/>
              <w:ind w:right="104"/>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8"/>
              <w:ind w:left="331"/>
              <w:rPr>
                <w:sz w:val="18"/>
              </w:rPr>
            </w:pPr>
            <w:r>
              <w:rPr>
                <w:sz w:val="18"/>
              </w:rPr>
              <w:t>Std.</w:t>
            </w:r>
            <w:r>
              <w:rPr>
                <w:spacing w:val="-2"/>
                <w:sz w:val="18"/>
              </w:rPr>
              <w:t> Error</w:t>
            </w:r>
          </w:p>
        </w:tc>
        <w:tc>
          <w:tcPr>
            <w:tcW w:w="940" w:type="dxa"/>
            <w:tcBorders>
              <w:top w:val="double" w:sz="6" w:space="0" w:color="000000"/>
              <w:bottom w:val="double" w:sz="6" w:space="0" w:color="000000"/>
            </w:tcBorders>
          </w:tcPr>
          <w:p>
            <w:pPr>
              <w:pStyle w:val="TableParagraph"/>
              <w:spacing w:line="240" w:lineRule="auto" w:before="108"/>
              <w:ind w:right="121"/>
              <w:jc w:val="right"/>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8"/>
              <w:ind w:left="344"/>
              <w:rPr>
                <w:sz w:val="18"/>
              </w:rPr>
            </w:pPr>
            <w:r>
              <w:rPr>
                <w:spacing w:val="-2"/>
                <w:sz w:val="18"/>
              </w:rPr>
              <w:t>Prob.</w:t>
            </w:r>
          </w:p>
        </w:tc>
      </w:tr>
      <w:tr>
        <w:trPr>
          <w:trHeight w:val="327" w:hRule="atLeast"/>
        </w:trPr>
        <w:tc>
          <w:tcPr>
            <w:tcW w:w="1925" w:type="dxa"/>
            <w:tcBorders>
              <w:top w:val="double" w:sz="6" w:space="0" w:color="000000"/>
            </w:tcBorders>
          </w:tcPr>
          <w:p>
            <w:pPr>
              <w:pStyle w:val="TableParagraph"/>
              <w:spacing w:before="108"/>
              <w:ind w:left="667"/>
              <w:rPr>
                <w:sz w:val="18"/>
              </w:rPr>
            </w:pPr>
            <w:r>
              <w:rPr>
                <w:spacing w:val="-2"/>
                <w:sz w:val="18"/>
              </w:rPr>
              <w:t>ECM(-</w:t>
            </w:r>
            <w:r>
              <w:rPr>
                <w:spacing w:val="-5"/>
                <w:sz w:val="18"/>
              </w:rPr>
              <w:t>1)</w:t>
            </w:r>
          </w:p>
        </w:tc>
        <w:tc>
          <w:tcPr>
            <w:tcW w:w="1291" w:type="dxa"/>
            <w:tcBorders>
              <w:top w:val="double" w:sz="6" w:space="0" w:color="000000"/>
            </w:tcBorders>
          </w:tcPr>
          <w:p>
            <w:pPr>
              <w:pStyle w:val="TableParagraph"/>
              <w:spacing w:before="108"/>
              <w:ind w:right="104"/>
              <w:jc w:val="right"/>
              <w:rPr>
                <w:sz w:val="18"/>
              </w:rPr>
            </w:pPr>
            <w:r>
              <w:rPr>
                <w:spacing w:val="-2"/>
                <w:sz w:val="18"/>
              </w:rPr>
              <w:t>-0.468294</w:t>
            </w:r>
          </w:p>
        </w:tc>
        <w:tc>
          <w:tcPr>
            <w:tcW w:w="1491" w:type="dxa"/>
            <w:tcBorders>
              <w:top w:val="double" w:sz="6" w:space="0" w:color="000000"/>
            </w:tcBorders>
          </w:tcPr>
          <w:p>
            <w:pPr>
              <w:pStyle w:val="TableParagraph"/>
              <w:spacing w:before="108"/>
              <w:ind w:left="350"/>
              <w:rPr>
                <w:sz w:val="18"/>
              </w:rPr>
            </w:pPr>
            <w:r>
              <w:rPr>
                <w:spacing w:val="-2"/>
                <w:sz w:val="18"/>
              </w:rPr>
              <w:t>0.232636</w:t>
            </w:r>
          </w:p>
        </w:tc>
        <w:tc>
          <w:tcPr>
            <w:tcW w:w="940" w:type="dxa"/>
            <w:tcBorders>
              <w:top w:val="double" w:sz="6" w:space="0" w:color="000000"/>
            </w:tcBorders>
          </w:tcPr>
          <w:p>
            <w:pPr>
              <w:pStyle w:val="TableParagraph"/>
              <w:spacing w:before="108"/>
              <w:ind w:right="121"/>
              <w:jc w:val="right"/>
              <w:rPr>
                <w:sz w:val="18"/>
              </w:rPr>
            </w:pPr>
            <w:r>
              <w:rPr>
                <w:spacing w:val="-2"/>
                <w:sz w:val="18"/>
              </w:rPr>
              <w:t>-2.012994</w:t>
            </w:r>
          </w:p>
        </w:tc>
        <w:tc>
          <w:tcPr>
            <w:tcW w:w="884" w:type="dxa"/>
            <w:tcBorders>
              <w:top w:val="double" w:sz="6" w:space="0" w:color="000000"/>
            </w:tcBorders>
          </w:tcPr>
          <w:p>
            <w:pPr>
              <w:pStyle w:val="TableParagraph"/>
              <w:spacing w:before="108"/>
              <w:ind w:right="7"/>
              <w:jc w:val="right"/>
              <w:rPr>
                <w:sz w:val="18"/>
              </w:rPr>
            </w:pPr>
            <w:r>
              <w:rPr>
                <w:spacing w:val="-2"/>
                <w:sz w:val="18"/>
              </w:rPr>
              <w:t>0.0455</w:t>
            </w:r>
          </w:p>
        </w:tc>
      </w:tr>
      <w:tr>
        <w:trPr>
          <w:trHeight w:val="225" w:hRule="atLeast"/>
        </w:trPr>
        <w:tc>
          <w:tcPr>
            <w:tcW w:w="1925" w:type="dxa"/>
          </w:tcPr>
          <w:p>
            <w:pPr>
              <w:pStyle w:val="TableParagraph"/>
              <w:ind w:left="92" w:right="4"/>
              <w:jc w:val="center"/>
              <w:rPr>
                <w:sz w:val="18"/>
              </w:rPr>
            </w:pPr>
            <w:r>
              <w:rPr>
                <w:spacing w:val="-4"/>
                <w:sz w:val="18"/>
              </w:rPr>
              <w:t>LFDI</w:t>
            </w:r>
          </w:p>
        </w:tc>
        <w:tc>
          <w:tcPr>
            <w:tcW w:w="1291" w:type="dxa"/>
          </w:tcPr>
          <w:p>
            <w:pPr>
              <w:pStyle w:val="TableParagraph"/>
              <w:ind w:right="104"/>
              <w:jc w:val="right"/>
              <w:rPr>
                <w:sz w:val="18"/>
              </w:rPr>
            </w:pPr>
            <w:r>
              <w:rPr>
                <w:spacing w:val="-2"/>
                <w:sz w:val="18"/>
              </w:rPr>
              <w:t>3.528826</w:t>
            </w:r>
          </w:p>
        </w:tc>
        <w:tc>
          <w:tcPr>
            <w:tcW w:w="1491" w:type="dxa"/>
          </w:tcPr>
          <w:p>
            <w:pPr>
              <w:pStyle w:val="TableParagraph"/>
              <w:ind w:left="350"/>
              <w:rPr>
                <w:sz w:val="18"/>
              </w:rPr>
            </w:pPr>
            <w:r>
              <w:rPr>
                <w:spacing w:val="-2"/>
                <w:sz w:val="18"/>
              </w:rPr>
              <w:t>1.170760</w:t>
            </w:r>
          </w:p>
        </w:tc>
        <w:tc>
          <w:tcPr>
            <w:tcW w:w="940" w:type="dxa"/>
          </w:tcPr>
          <w:p>
            <w:pPr>
              <w:pStyle w:val="TableParagraph"/>
              <w:ind w:right="121"/>
              <w:jc w:val="right"/>
              <w:rPr>
                <w:sz w:val="18"/>
              </w:rPr>
            </w:pPr>
            <w:r>
              <w:rPr>
                <w:spacing w:val="-2"/>
                <w:sz w:val="18"/>
              </w:rPr>
              <w:t>3.014132</w:t>
            </w:r>
          </w:p>
        </w:tc>
        <w:tc>
          <w:tcPr>
            <w:tcW w:w="884" w:type="dxa"/>
          </w:tcPr>
          <w:p>
            <w:pPr>
              <w:pStyle w:val="TableParagraph"/>
              <w:ind w:right="6"/>
              <w:jc w:val="right"/>
              <w:rPr>
                <w:sz w:val="18"/>
              </w:rPr>
            </w:pPr>
            <w:r>
              <w:rPr>
                <w:spacing w:val="-2"/>
                <w:sz w:val="18"/>
              </w:rPr>
              <w:t>0.0057</w:t>
            </w:r>
          </w:p>
        </w:tc>
      </w:tr>
      <w:tr>
        <w:trPr>
          <w:trHeight w:val="224" w:hRule="atLeast"/>
        </w:trPr>
        <w:tc>
          <w:tcPr>
            <w:tcW w:w="1925" w:type="dxa"/>
          </w:tcPr>
          <w:p>
            <w:pPr>
              <w:pStyle w:val="TableParagraph"/>
              <w:spacing w:line="198" w:lineRule="exact"/>
              <w:ind w:left="92"/>
              <w:jc w:val="center"/>
              <w:rPr>
                <w:sz w:val="18"/>
              </w:rPr>
            </w:pPr>
            <w:r>
              <w:rPr>
                <w:spacing w:val="-4"/>
                <w:sz w:val="18"/>
              </w:rPr>
              <w:t>LFPI</w:t>
            </w:r>
          </w:p>
        </w:tc>
        <w:tc>
          <w:tcPr>
            <w:tcW w:w="1291" w:type="dxa"/>
          </w:tcPr>
          <w:p>
            <w:pPr>
              <w:pStyle w:val="TableParagraph"/>
              <w:spacing w:line="198" w:lineRule="exact"/>
              <w:ind w:right="104"/>
              <w:jc w:val="right"/>
              <w:rPr>
                <w:sz w:val="18"/>
              </w:rPr>
            </w:pPr>
            <w:r>
              <w:rPr>
                <w:spacing w:val="-2"/>
                <w:sz w:val="18"/>
              </w:rPr>
              <w:t>194.0636</w:t>
            </w:r>
          </w:p>
        </w:tc>
        <w:tc>
          <w:tcPr>
            <w:tcW w:w="1491" w:type="dxa"/>
          </w:tcPr>
          <w:p>
            <w:pPr>
              <w:pStyle w:val="TableParagraph"/>
              <w:spacing w:line="198" w:lineRule="exact"/>
              <w:ind w:left="350"/>
              <w:rPr>
                <w:sz w:val="18"/>
              </w:rPr>
            </w:pPr>
            <w:r>
              <w:rPr>
                <w:spacing w:val="-2"/>
                <w:sz w:val="18"/>
              </w:rPr>
              <w:t>29.52935</w:t>
            </w:r>
          </w:p>
        </w:tc>
        <w:tc>
          <w:tcPr>
            <w:tcW w:w="940" w:type="dxa"/>
          </w:tcPr>
          <w:p>
            <w:pPr>
              <w:pStyle w:val="TableParagraph"/>
              <w:spacing w:line="198" w:lineRule="exact"/>
              <w:ind w:right="121"/>
              <w:jc w:val="right"/>
              <w:rPr>
                <w:sz w:val="18"/>
              </w:rPr>
            </w:pPr>
            <w:r>
              <w:rPr>
                <w:spacing w:val="-2"/>
                <w:sz w:val="18"/>
              </w:rPr>
              <w:t>6.571888</w:t>
            </w:r>
          </w:p>
        </w:tc>
        <w:tc>
          <w:tcPr>
            <w:tcW w:w="884" w:type="dxa"/>
          </w:tcPr>
          <w:p>
            <w:pPr>
              <w:pStyle w:val="TableParagraph"/>
              <w:spacing w:line="198" w:lineRule="exact"/>
              <w:ind w:right="6"/>
              <w:jc w:val="right"/>
              <w:rPr>
                <w:sz w:val="18"/>
              </w:rPr>
            </w:pPr>
            <w:r>
              <w:rPr>
                <w:spacing w:val="-2"/>
                <w:sz w:val="18"/>
              </w:rPr>
              <w:t>0.0000</w:t>
            </w:r>
          </w:p>
        </w:tc>
      </w:tr>
      <w:tr>
        <w:trPr>
          <w:trHeight w:val="224" w:hRule="atLeast"/>
        </w:trPr>
        <w:tc>
          <w:tcPr>
            <w:tcW w:w="1925" w:type="dxa"/>
          </w:tcPr>
          <w:p>
            <w:pPr>
              <w:pStyle w:val="TableParagraph"/>
              <w:spacing w:before="5"/>
              <w:ind w:left="92" w:right="5"/>
              <w:jc w:val="center"/>
              <w:rPr>
                <w:sz w:val="18"/>
              </w:rPr>
            </w:pPr>
            <w:r>
              <w:rPr>
                <w:spacing w:val="-5"/>
                <w:sz w:val="18"/>
              </w:rPr>
              <w:t>REM</w:t>
            </w:r>
          </w:p>
        </w:tc>
        <w:tc>
          <w:tcPr>
            <w:tcW w:w="1291" w:type="dxa"/>
          </w:tcPr>
          <w:p>
            <w:pPr>
              <w:pStyle w:val="TableParagraph"/>
              <w:spacing w:before="5"/>
              <w:ind w:right="104"/>
              <w:jc w:val="right"/>
              <w:rPr>
                <w:sz w:val="18"/>
              </w:rPr>
            </w:pPr>
            <w:r>
              <w:rPr>
                <w:spacing w:val="-2"/>
                <w:sz w:val="18"/>
              </w:rPr>
              <w:t>-3.618610</w:t>
            </w:r>
          </w:p>
        </w:tc>
        <w:tc>
          <w:tcPr>
            <w:tcW w:w="1491" w:type="dxa"/>
          </w:tcPr>
          <w:p>
            <w:pPr>
              <w:pStyle w:val="TableParagraph"/>
              <w:spacing w:before="5"/>
              <w:ind w:left="350"/>
              <w:rPr>
                <w:sz w:val="18"/>
              </w:rPr>
            </w:pPr>
            <w:r>
              <w:rPr>
                <w:spacing w:val="-2"/>
                <w:sz w:val="18"/>
              </w:rPr>
              <w:t>2.683385</w:t>
            </w:r>
          </w:p>
        </w:tc>
        <w:tc>
          <w:tcPr>
            <w:tcW w:w="940" w:type="dxa"/>
          </w:tcPr>
          <w:p>
            <w:pPr>
              <w:pStyle w:val="TableParagraph"/>
              <w:spacing w:before="5"/>
              <w:ind w:right="121"/>
              <w:jc w:val="right"/>
              <w:rPr>
                <w:sz w:val="18"/>
              </w:rPr>
            </w:pPr>
            <w:r>
              <w:rPr>
                <w:spacing w:val="-2"/>
                <w:sz w:val="18"/>
              </w:rPr>
              <w:t>-1.348524</w:t>
            </w:r>
          </w:p>
        </w:tc>
        <w:tc>
          <w:tcPr>
            <w:tcW w:w="884" w:type="dxa"/>
          </w:tcPr>
          <w:p>
            <w:pPr>
              <w:pStyle w:val="TableParagraph"/>
              <w:spacing w:before="5"/>
              <w:ind w:right="6"/>
              <w:jc w:val="right"/>
              <w:rPr>
                <w:sz w:val="18"/>
              </w:rPr>
            </w:pPr>
            <w:r>
              <w:rPr>
                <w:spacing w:val="-2"/>
                <w:sz w:val="18"/>
              </w:rPr>
              <w:t>0.1891</w:t>
            </w:r>
          </w:p>
        </w:tc>
      </w:tr>
      <w:tr>
        <w:trPr>
          <w:trHeight w:val="225" w:hRule="atLeast"/>
        </w:trPr>
        <w:tc>
          <w:tcPr>
            <w:tcW w:w="1925" w:type="dxa"/>
          </w:tcPr>
          <w:p>
            <w:pPr>
              <w:pStyle w:val="TableParagraph"/>
              <w:spacing w:line="200" w:lineRule="exact"/>
              <w:ind w:left="92" w:right="1"/>
              <w:jc w:val="center"/>
              <w:rPr>
                <w:sz w:val="18"/>
              </w:rPr>
            </w:pPr>
            <w:r>
              <w:rPr>
                <w:spacing w:val="-4"/>
                <w:sz w:val="18"/>
              </w:rPr>
              <w:t>LODA</w:t>
            </w:r>
          </w:p>
        </w:tc>
        <w:tc>
          <w:tcPr>
            <w:tcW w:w="1291" w:type="dxa"/>
          </w:tcPr>
          <w:p>
            <w:pPr>
              <w:pStyle w:val="TableParagraph"/>
              <w:spacing w:line="200" w:lineRule="exact"/>
              <w:ind w:right="104"/>
              <w:jc w:val="right"/>
              <w:rPr>
                <w:sz w:val="18"/>
              </w:rPr>
            </w:pPr>
            <w:r>
              <w:rPr>
                <w:spacing w:val="-2"/>
                <w:sz w:val="18"/>
              </w:rPr>
              <w:t>0.984469</w:t>
            </w:r>
          </w:p>
        </w:tc>
        <w:tc>
          <w:tcPr>
            <w:tcW w:w="1491" w:type="dxa"/>
          </w:tcPr>
          <w:p>
            <w:pPr>
              <w:pStyle w:val="TableParagraph"/>
              <w:spacing w:line="200" w:lineRule="exact"/>
              <w:ind w:left="350"/>
              <w:rPr>
                <w:sz w:val="18"/>
              </w:rPr>
            </w:pPr>
            <w:r>
              <w:rPr>
                <w:spacing w:val="-2"/>
                <w:sz w:val="18"/>
              </w:rPr>
              <w:t>0.193491</w:t>
            </w:r>
          </w:p>
        </w:tc>
        <w:tc>
          <w:tcPr>
            <w:tcW w:w="940" w:type="dxa"/>
          </w:tcPr>
          <w:p>
            <w:pPr>
              <w:pStyle w:val="TableParagraph"/>
              <w:spacing w:line="200" w:lineRule="exact"/>
              <w:ind w:right="121"/>
              <w:jc w:val="right"/>
              <w:rPr>
                <w:sz w:val="18"/>
              </w:rPr>
            </w:pPr>
            <w:r>
              <w:rPr>
                <w:spacing w:val="-2"/>
                <w:sz w:val="18"/>
              </w:rPr>
              <w:t>5.087938</w:t>
            </w:r>
          </w:p>
        </w:tc>
        <w:tc>
          <w:tcPr>
            <w:tcW w:w="884" w:type="dxa"/>
          </w:tcPr>
          <w:p>
            <w:pPr>
              <w:pStyle w:val="TableParagraph"/>
              <w:spacing w:line="200" w:lineRule="exact"/>
              <w:ind w:right="6"/>
              <w:jc w:val="right"/>
              <w:rPr>
                <w:sz w:val="18"/>
              </w:rPr>
            </w:pPr>
            <w:r>
              <w:rPr>
                <w:spacing w:val="-2"/>
                <w:sz w:val="18"/>
              </w:rPr>
              <w:t>0.0000</w:t>
            </w:r>
          </w:p>
        </w:tc>
      </w:tr>
      <w:tr>
        <w:trPr>
          <w:trHeight w:val="225" w:hRule="atLeast"/>
        </w:trPr>
        <w:tc>
          <w:tcPr>
            <w:tcW w:w="1925" w:type="dxa"/>
          </w:tcPr>
          <w:p>
            <w:pPr>
              <w:pStyle w:val="TableParagraph"/>
              <w:ind w:left="92" w:right="1"/>
              <w:jc w:val="center"/>
              <w:rPr>
                <w:sz w:val="18"/>
              </w:rPr>
            </w:pPr>
            <w:r>
              <w:rPr>
                <w:spacing w:val="-4"/>
                <w:sz w:val="18"/>
              </w:rPr>
              <w:t>LTOP</w:t>
            </w:r>
          </w:p>
        </w:tc>
        <w:tc>
          <w:tcPr>
            <w:tcW w:w="1291" w:type="dxa"/>
          </w:tcPr>
          <w:p>
            <w:pPr>
              <w:pStyle w:val="TableParagraph"/>
              <w:ind w:right="104"/>
              <w:jc w:val="right"/>
              <w:rPr>
                <w:sz w:val="18"/>
              </w:rPr>
            </w:pPr>
            <w:r>
              <w:rPr>
                <w:spacing w:val="-2"/>
                <w:sz w:val="18"/>
              </w:rPr>
              <w:t>140.6051</w:t>
            </w:r>
          </w:p>
        </w:tc>
        <w:tc>
          <w:tcPr>
            <w:tcW w:w="1491" w:type="dxa"/>
          </w:tcPr>
          <w:p>
            <w:pPr>
              <w:pStyle w:val="TableParagraph"/>
              <w:ind w:left="350"/>
              <w:rPr>
                <w:sz w:val="18"/>
              </w:rPr>
            </w:pPr>
            <w:r>
              <w:rPr>
                <w:spacing w:val="-2"/>
                <w:sz w:val="18"/>
              </w:rPr>
              <w:t>50.61836</w:t>
            </w:r>
          </w:p>
        </w:tc>
        <w:tc>
          <w:tcPr>
            <w:tcW w:w="940" w:type="dxa"/>
          </w:tcPr>
          <w:p>
            <w:pPr>
              <w:pStyle w:val="TableParagraph"/>
              <w:ind w:right="121"/>
              <w:jc w:val="right"/>
              <w:rPr>
                <w:sz w:val="18"/>
              </w:rPr>
            </w:pPr>
            <w:r>
              <w:rPr>
                <w:spacing w:val="-2"/>
                <w:sz w:val="18"/>
              </w:rPr>
              <w:t>2.777748</w:t>
            </w:r>
          </w:p>
        </w:tc>
        <w:tc>
          <w:tcPr>
            <w:tcW w:w="884" w:type="dxa"/>
          </w:tcPr>
          <w:p>
            <w:pPr>
              <w:pStyle w:val="TableParagraph"/>
              <w:ind w:right="6"/>
              <w:jc w:val="right"/>
              <w:rPr>
                <w:sz w:val="18"/>
              </w:rPr>
            </w:pPr>
            <w:r>
              <w:rPr>
                <w:spacing w:val="-2"/>
                <w:sz w:val="18"/>
              </w:rPr>
              <w:t>0.0100</w:t>
            </w:r>
          </w:p>
        </w:tc>
      </w:tr>
      <w:tr>
        <w:trPr>
          <w:trHeight w:val="224" w:hRule="atLeast"/>
        </w:trPr>
        <w:tc>
          <w:tcPr>
            <w:tcW w:w="1925" w:type="dxa"/>
          </w:tcPr>
          <w:p>
            <w:pPr>
              <w:pStyle w:val="TableParagraph"/>
              <w:spacing w:line="198" w:lineRule="exact"/>
              <w:ind w:left="92" w:right="4"/>
              <w:jc w:val="center"/>
              <w:rPr>
                <w:sz w:val="18"/>
              </w:rPr>
            </w:pPr>
            <w:r>
              <w:rPr>
                <w:spacing w:val="-4"/>
                <w:sz w:val="18"/>
              </w:rPr>
              <w:t>LINT</w:t>
            </w:r>
          </w:p>
        </w:tc>
        <w:tc>
          <w:tcPr>
            <w:tcW w:w="1291" w:type="dxa"/>
          </w:tcPr>
          <w:p>
            <w:pPr>
              <w:pStyle w:val="TableParagraph"/>
              <w:spacing w:line="198" w:lineRule="exact"/>
              <w:ind w:right="104"/>
              <w:jc w:val="right"/>
              <w:rPr>
                <w:sz w:val="18"/>
              </w:rPr>
            </w:pPr>
            <w:r>
              <w:rPr>
                <w:spacing w:val="-2"/>
                <w:sz w:val="18"/>
              </w:rPr>
              <w:t>122.0478</w:t>
            </w:r>
          </w:p>
        </w:tc>
        <w:tc>
          <w:tcPr>
            <w:tcW w:w="1491" w:type="dxa"/>
          </w:tcPr>
          <w:p>
            <w:pPr>
              <w:pStyle w:val="TableParagraph"/>
              <w:spacing w:line="198" w:lineRule="exact"/>
              <w:ind w:left="350"/>
              <w:rPr>
                <w:sz w:val="18"/>
              </w:rPr>
            </w:pPr>
            <w:r>
              <w:rPr>
                <w:spacing w:val="-2"/>
                <w:sz w:val="18"/>
              </w:rPr>
              <w:t>120.9420</w:t>
            </w:r>
          </w:p>
        </w:tc>
        <w:tc>
          <w:tcPr>
            <w:tcW w:w="940" w:type="dxa"/>
          </w:tcPr>
          <w:p>
            <w:pPr>
              <w:pStyle w:val="TableParagraph"/>
              <w:spacing w:line="198" w:lineRule="exact"/>
              <w:ind w:right="121"/>
              <w:jc w:val="right"/>
              <w:rPr>
                <w:sz w:val="18"/>
              </w:rPr>
            </w:pPr>
            <w:r>
              <w:rPr>
                <w:spacing w:val="-2"/>
                <w:sz w:val="18"/>
              </w:rPr>
              <w:t>1.009144</w:t>
            </w:r>
          </w:p>
        </w:tc>
        <w:tc>
          <w:tcPr>
            <w:tcW w:w="884" w:type="dxa"/>
          </w:tcPr>
          <w:p>
            <w:pPr>
              <w:pStyle w:val="TableParagraph"/>
              <w:spacing w:line="198" w:lineRule="exact"/>
              <w:ind w:right="6"/>
              <w:jc w:val="right"/>
              <w:rPr>
                <w:sz w:val="18"/>
              </w:rPr>
            </w:pPr>
            <w:r>
              <w:rPr>
                <w:spacing w:val="-2"/>
                <w:sz w:val="18"/>
              </w:rPr>
              <w:t>0.3222</w:t>
            </w:r>
          </w:p>
        </w:tc>
      </w:tr>
      <w:tr>
        <w:trPr>
          <w:trHeight w:val="224" w:hRule="atLeast"/>
        </w:trPr>
        <w:tc>
          <w:tcPr>
            <w:tcW w:w="1925" w:type="dxa"/>
          </w:tcPr>
          <w:p>
            <w:pPr>
              <w:pStyle w:val="TableParagraph"/>
              <w:spacing w:before="5"/>
              <w:ind w:left="707"/>
              <w:rPr>
                <w:sz w:val="18"/>
              </w:rPr>
            </w:pPr>
            <w:r>
              <w:rPr>
                <w:spacing w:val="-2"/>
                <w:sz w:val="18"/>
              </w:rPr>
              <w:t>LEXCH</w:t>
            </w:r>
          </w:p>
        </w:tc>
        <w:tc>
          <w:tcPr>
            <w:tcW w:w="1291" w:type="dxa"/>
          </w:tcPr>
          <w:p>
            <w:pPr>
              <w:pStyle w:val="TableParagraph"/>
              <w:spacing w:before="5"/>
              <w:ind w:right="104"/>
              <w:jc w:val="right"/>
              <w:rPr>
                <w:sz w:val="18"/>
              </w:rPr>
            </w:pPr>
            <w:r>
              <w:rPr>
                <w:spacing w:val="-2"/>
                <w:sz w:val="18"/>
              </w:rPr>
              <w:t>-53.27011</w:t>
            </w:r>
          </w:p>
        </w:tc>
        <w:tc>
          <w:tcPr>
            <w:tcW w:w="1491" w:type="dxa"/>
          </w:tcPr>
          <w:p>
            <w:pPr>
              <w:pStyle w:val="TableParagraph"/>
              <w:spacing w:before="5"/>
              <w:ind w:left="350"/>
              <w:rPr>
                <w:sz w:val="18"/>
              </w:rPr>
            </w:pPr>
            <w:r>
              <w:rPr>
                <w:spacing w:val="-2"/>
                <w:sz w:val="18"/>
              </w:rPr>
              <w:t>25.85094</w:t>
            </w:r>
          </w:p>
        </w:tc>
        <w:tc>
          <w:tcPr>
            <w:tcW w:w="940" w:type="dxa"/>
          </w:tcPr>
          <w:p>
            <w:pPr>
              <w:pStyle w:val="TableParagraph"/>
              <w:spacing w:before="5"/>
              <w:ind w:right="121"/>
              <w:jc w:val="right"/>
              <w:rPr>
                <w:sz w:val="18"/>
              </w:rPr>
            </w:pPr>
            <w:r>
              <w:rPr>
                <w:spacing w:val="-2"/>
                <w:sz w:val="18"/>
              </w:rPr>
              <w:t>-2.060664</w:t>
            </w:r>
          </w:p>
        </w:tc>
        <w:tc>
          <w:tcPr>
            <w:tcW w:w="884" w:type="dxa"/>
          </w:tcPr>
          <w:p>
            <w:pPr>
              <w:pStyle w:val="TableParagraph"/>
              <w:spacing w:before="5"/>
              <w:ind w:right="6"/>
              <w:jc w:val="right"/>
              <w:rPr>
                <w:sz w:val="18"/>
              </w:rPr>
            </w:pPr>
            <w:r>
              <w:rPr>
                <w:spacing w:val="-2"/>
                <w:sz w:val="18"/>
              </w:rPr>
              <w:t>0.0495</w:t>
            </w:r>
          </w:p>
        </w:tc>
      </w:tr>
      <w:tr>
        <w:trPr>
          <w:trHeight w:val="225" w:hRule="atLeast"/>
        </w:trPr>
        <w:tc>
          <w:tcPr>
            <w:tcW w:w="1925" w:type="dxa"/>
          </w:tcPr>
          <w:p>
            <w:pPr>
              <w:pStyle w:val="TableParagraph"/>
              <w:ind w:left="527"/>
              <w:rPr>
                <w:sz w:val="18"/>
              </w:rPr>
            </w:pPr>
            <w:r>
              <w:rPr>
                <w:spacing w:val="-2"/>
                <w:sz w:val="18"/>
              </w:rPr>
              <w:t>LCPS_GDP</w:t>
            </w:r>
          </w:p>
        </w:tc>
        <w:tc>
          <w:tcPr>
            <w:tcW w:w="1291" w:type="dxa"/>
          </w:tcPr>
          <w:p>
            <w:pPr>
              <w:pStyle w:val="TableParagraph"/>
              <w:ind w:right="104"/>
              <w:jc w:val="right"/>
              <w:rPr>
                <w:sz w:val="18"/>
              </w:rPr>
            </w:pPr>
            <w:r>
              <w:rPr>
                <w:spacing w:val="-2"/>
                <w:sz w:val="18"/>
              </w:rPr>
              <w:t>547.9377</w:t>
            </w:r>
          </w:p>
        </w:tc>
        <w:tc>
          <w:tcPr>
            <w:tcW w:w="1491" w:type="dxa"/>
          </w:tcPr>
          <w:p>
            <w:pPr>
              <w:pStyle w:val="TableParagraph"/>
              <w:ind w:left="350"/>
              <w:rPr>
                <w:sz w:val="18"/>
              </w:rPr>
            </w:pPr>
            <w:r>
              <w:rPr>
                <w:spacing w:val="-2"/>
                <w:sz w:val="18"/>
              </w:rPr>
              <w:t>209.5871</w:t>
            </w:r>
          </w:p>
        </w:tc>
        <w:tc>
          <w:tcPr>
            <w:tcW w:w="940" w:type="dxa"/>
          </w:tcPr>
          <w:p>
            <w:pPr>
              <w:pStyle w:val="TableParagraph"/>
              <w:ind w:right="121"/>
              <w:jc w:val="right"/>
              <w:rPr>
                <w:sz w:val="18"/>
              </w:rPr>
            </w:pPr>
            <w:r>
              <w:rPr>
                <w:spacing w:val="-2"/>
                <w:sz w:val="18"/>
              </w:rPr>
              <w:t>2.614367</w:t>
            </w:r>
          </w:p>
        </w:tc>
        <w:tc>
          <w:tcPr>
            <w:tcW w:w="884" w:type="dxa"/>
          </w:tcPr>
          <w:p>
            <w:pPr>
              <w:pStyle w:val="TableParagraph"/>
              <w:ind w:right="6"/>
              <w:jc w:val="right"/>
              <w:rPr>
                <w:sz w:val="18"/>
              </w:rPr>
            </w:pPr>
            <w:r>
              <w:rPr>
                <w:spacing w:val="-2"/>
                <w:sz w:val="18"/>
              </w:rPr>
              <w:t>0.0147</w:t>
            </w:r>
          </w:p>
        </w:tc>
      </w:tr>
      <w:tr>
        <w:trPr>
          <w:trHeight w:val="303" w:hRule="atLeast"/>
        </w:trPr>
        <w:tc>
          <w:tcPr>
            <w:tcW w:w="1925" w:type="dxa"/>
            <w:tcBorders>
              <w:bottom w:val="double" w:sz="6" w:space="0" w:color="000000"/>
            </w:tcBorders>
          </w:tcPr>
          <w:p>
            <w:pPr>
              <w:pStyle w:val="TableParagraph"/>
              <w:spacing w:line="240" w:lineRule="auto"/>
              <w:ind w:left="92" w:right="1"/>
              <w:jc w:val="center"/>
              <w:rPr>
                <w:sz w:val="18"/>
              </w:rPr>
            </w:pPr>
            <w:r>
              <w:rPr>
                <w:spacing w:val="-10"/>
                <w:sz w:val="18"/>
              </w:rPr>
              <w:t>C</w:t>
            </w:r>
          </w:p>
        </w:tc>
        <w:tc>
          <w:tcPr>
            <w:tcW w:w="1291" w:type="dxa"/>
            <w:tcBorders>
              <w:bottom w:val="double" w:sz="6" w:space="0" w:color="000000"/>
            </w:tcBorders>
          </w:tcPr>
          <w:p>
            <w:pPr>
              <w:pStyle w:val="TableParagraph"/>
              <w:spacing w:line="240" w:lineRule="auto"/>
              <w:ind w:right="104"/>
              <w:jc w:val="right"/>
              <w:rPr>
                <w:sz w:val="18"/>
              </w:rPr>
            </w:pPr>
            <w:r>
              <w:rPr>
                <w:spacing w:val="-2"/>
                <w:sz w:val="18"/>
              </w:rPr>
              <w:t>1066.001</w:t>
            </w:r>
          </w:p>
        </w:tc>
        <w:tc>
          <w:tcPr>
            <w:tcW w:w="1491" w:type="dxa"/>
            <w:tcBorders>
              <w:bottom w:val="double" w:sz="6" w:space="0" w:color="000000"/>
            </w:tcBorders>
          </w:tcPr>
          <w:p>
            <w:pPr>
              <w:pStyle w:val="TableParagraph"/>
              <w:spacing w:line="240" w:lineRule="auto"/>
              <w:ind w:left="350"/>
              <w:rPr>
                <w:sz w:val="18"/>
              </w:rPr>
            </w:pPr>
            <w:r>
              <w:rPr>
                <w:spacing w:val="-2"/>
                <w:sz w:val="18"/>
              </w:rPr>
              <w:t>4946.074</w:t>
            </w:r>
          </w:p>
        </w:tc>
        <w:tc>
          <w:tcPr>
            <w:tcW w:w="940" w:type="dxa"/>
            <w:tcBorders>
              <w:bottom w:val="double" w:sz="6" w:space="0" w:color="000000"/>
            </w:tcBorders>
          </w:tcPr>
          <w:p>
            <w:pPr>
              <w:pStyle w:val="TableParagraph"/>
              <w:spacing w:line="240" w:lineRule="auto"/>
              <w:ind w:right="121"/>
              <w:jc w:val="right"/>
              <w:rPr>
                <w:sz w:val="18"/>
              </w:rPr>
            </w:pPr>
            <w:r>
              <w:rPr>
                <w:spacing w:val="-2"/>
                <w:sz w:val="18"/>
              </w:rPr>
              <w:t>0.215525</w:t>
            </w:r>
          </w:p>
        </w:tc>
        <w:tc>
          <w:tcPr>
            <w:tcW w:w="884" w:type="dxa"/>
            <w:tcBorders>
              <w:bottom w:val="double" w:sz="6" w:space="0" w:color="000000"/>
            </w:tcBorders>
          </w:tcPr>
          <w:p>
            <w:pPr>
              <w:pStyle w:val="TableParagraph"/>
              <w:spacing w:line="240" w:lineRule="auto"/>
              <w:ind w:right="6"/>
              <w:jc w:val="right"/>
              <w:rPr>
                <w:sz w:val="18"/>
              </w:rPr>
            </w:pPr>
            <w:r>
              <w:rPr>
                <w:spacing w:val="-2"/>
                <w:sz w:val="18"/>
              </w:rPr>
              <w:t>0.8310</w:t>
            </w:r>
          </w:p>
        </w:tc>
      </w:tr>
      <w:tr>
        <w:trPr>
          <w:trHeight w:val="325" w:hRule="atLeast"/>
        </w:trPr>
        <w:tc>
          <w:tcPr>
            <w:tcW w:w="1925" w:type="dxa"/>
            <w:tcBorders>
              <w:top w:val="double" w:sz="6" w:space="0" w:color="000000"/>
            </w:tcBorders>
          </w:tcPr>
          <w:p>
            <w:pPr>
              <w:pStyle w:val="TableParagraph"/>
              <w:spacing w:before="106"/>
              <w:rPr>
                <w:sz w:val="18"/>
              </w:rPr>
            </w:pPr>
            <w:r>
              <w:rPr>
                <w:spacing w:val="-2"/>
                <w:sz w:val="18"/>
              </w:rPr>
              <w:t>R-squared</w:t>
            </w:r>
          </w:p>
        </w:tc>
        <w:tc>
          <w:tcPr>
            <w:tcW w:w="1291" w:type="dxa"/>
            <w:tcBorders>
              <w:top w:val="double" w:sz="6" w:space="0" w:color="000000"/>
            </w:tcBorders>
          </w:tcPr>
          <w:p>
            <w:pPr>
              <w:pStyle w:val="TableParagraph"/>
              <w:spacing w:before="106"/>
              <w:ind w:right="104"/>
              <w:jc w:val="right"/>
              <w:rPr>
                <w:sz w:val="18"/>
              </w:rPr>
            </w:pPr>
            <w:r>
              <w:rPr>
                <w:spacing w:val="-2"/>
                <w:sz w:val="18"/>
              </w:rPr>
              <w:t>0.684646</w:t>
            </w:r>
          </w:p>
        </w:tc>
        <w:tc>
          <w:tcPr>
            <w:tcW w:w="2431" w:type="dxa"/>
            <w:gridSpan w:val="2"/>
            <w:tcBorders>
              <w:top w:val="double" w:sz="6" w:space="0" w:color="000000"/>
            </w:tcBorders>
          </w:tcPr>
          <w:p>
            <w:pPr>
              <w:pStyle w:val="TableParagraph"/>
              <w:spacing w:before="106"/>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before="106"/>
              <w:ind w:right="6"/>
              <w:jc w:val="right"/>
              <w:rPr>
                <w:sz w:val="18"/>
              </w:rPr>
            </w:pPr>
            <w:r>
              <w:rPr>
                <w:spacing w:val="-2"/>
                <w:sz w:val="18"/>
              </w:rPr>
              <w:t>38577.16</w:t>
            </w:r>
          </w:p>
        </w:tc>
      </w:tr>
      <w:tr>
        <w:trPr>
          <w:trHeight w:val="225" w:hRule="atLeast"/>
        </w:trPr>
        <w:tc>
          <w:tcPr>
            <w:tcW w:w="1925" w:type="dxa"/>
          </w:tcPr>
          <w:p>
            <w:pPr>
              <w:pStyle w:val="TableParagraph"/>
              <w:rPr>
                <w:sz w:val="18"/>
              </w:rPr>
            </w:pPr>
            <w:r>
              <w:rPr>
                <w:sz w:val="18"/>
              </w:rPr>
              <w:t>Adjusted</w:t>
            </w:r>
            <w:r>
              <w:rPr>
                <w:spacing w:val="-9"/>
                <w:sz w:val="18"/>
              </w:rPr>
              <w:t> </w:t>
            </w:r>
            <w:r>
              <w:rPr>
                <w:sz w:val="18"/>
              </w:rPr>
              <w:t>R-</w:t>
            </w:r>
            <w:r>
              <w:rPr>
                <w:spacing w:val="-2"/>
                <w:sz w:val="18"/>
              </w:rPr>
              <w:t>squared</w:t>
            </w:r>
          </w:p>
        </w:tc>
        <w:tc>
          <w:tcPr>
            <w:tcW w:w="1291" w:type="dxa"/>
          </w:tcPr>
          <w:p>
            <w:pPr>
              <w:pStyle w:val="TableParagraph"/>
              <w:ind w:right="104"/>
              <w:jc w:val="right"/>
              <w:rPr>
                <w:sz w:val="18"/>
              </w:rPr>
            </w:pPr>
            <w:r>
              <w:rPr>
                <w:spacing w:val="-2"/>
                <w:sz w:val="18"/>
              </w:rPr>
              <w:t>0.679922</w:t>
            </w:r>
          </w:p>
        </w:tc>
        <w:tc>
          <w:tcPr>
            <w:tcW w:w="2431" w:type="dxa"/>
            <w:gridSpan w:val="2"/>
          </w:tcPr>
          <w:p>
            <w:pPr>
              <w:pStyle w:val="TableParagraph"/>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ind w:right="6"/>
              <w:jc w:val="right"/>
              <w:rPr>
                <w:sz w:val="18"/>
              </w:rPr>
            </w:pPr>
            <w:r>
              <w:rPr>
                <w:spacing w:val="-2"/>
                <w:sz w:val="18"/>
              </w:rPr>
              <w:t>20479.94</w:t>
            </w:r>
          </w:p>
        </w:tc>
      </w:tr>
      <w:tr>
        <w:trPr>
          <w:trHeight w:val="225" w:hRule="atLeast"/>
        </w:trPr>
        <w:tc>
          <w:tcPr>
            <w:tcW w:w="1925" w:type="dxa"/>
          </w:tcPr>
          <w:p>
            <w:pPr>
              <w:pStyle w:val="TableParagraph"/>
              <w:rPr>
                <w:sz w:val="18"/>
              </w:rPr>
            </w:pPr>
            <w:r>
              <w:rPr>
                <w:sz w:val="18"/>
              </w:rPr>
              <w:t>S.E.</w:t>
            </w:r>
            <w:r>
              <w:rPr>
                <w:spacing w:val="-2"/>
                <w:sz w:val="18"/>
              </w:rPr>
              <w:t> </w:t>
            </w:r>
            <w:r>
              <w:rPr>
                <w:sz w:val="18"/>
              </w:rPr>
              <w:t>of </w:t>
            </w:r>
            <w:r>
              <w:rPr>
                <w:spacing w:val="-2"/>
                <w:sz w:val="18"/>
              </w:rPr>
              <w:t>regression</w:t>
            </w:r>
          </w:p>
        </w:tc>
        <w:tc>
          <w:tcPr>
            <w:tcW w:w="1291" w:type="dxa"/>
          </w:tcPr>
          <w:p>
            <w:pPr>
              <w:pStyle w:val="TableParagraph"/>
              <w:ind w:right="104"/>
              <w:jc w:val="right"/>
              <w:rPr>
                <w:sz w:val="18"/>
              </w:rPr>
            </w:pPr>
            <w:r>
              <w:rPr>
                <w:spacing w:val="-2"/>
                <w:sz w:val="18"/>
              </w:rPr>
              <w:t>2901.975</w:t>
            </w:r>
          </w:p>
        </w:tc>
        <w:tc>
          <w:tcPr>
            <w:tcW w:w="2431" w:type="dxa"/>
            <w:gridSpan w:val="2"/>
          </w:tcPr>
          <w:p>
            <w:pPr>
              <w:pStyle w:val="TableParagraph"/>
              <w:ind w:left="106"/>
              <w:rPr>
                <w:sz w:val="18"/>
              </w:rPr>
            </w:pPr>
            <w:r>
              <w:rPr>
                <w:sz w:val="18"/>
              </w:rPr>
              <w:t>Akaike</w:t>
            </w:r>
            <w:r>
              <w:rPr>
                <w:spacing w:val="-3"/>
                <w:sz w:val="18"/>
              </w:rPr>
              <w:t> </w:t>
            </w:r>
            <w:r>
              <w:rPr>
                <w:sz w:val="18"/>
              </w:rPr>
              <w:t>info</w:t>
            </w:r>
            <w:r>
              <w:rPr>
                <w:spacing w:val="-2"/>
                <w:sz w:val="18"/>
              </w:rPr>
              <w:t> criterion</w:t>
            </w:r>
          </w:p>
        </w:tc>
        <w:tc>
          <w:tcPr>
            <w:tcW w:w="884" w:type="dxa"/>
          </w:tcPr>
          <w:p>
            <w:pPr>
              <w:pStyle w:val="TableParagraph"/>
              <w:ind w:right="6"/>
              <w:jc w:val="right"/>
              <w:rPr>
                <w:sz w:val="18"/>
              </w:rPr>
            </w:pPr>
            <w:r>
              <w:rPr>
                <w:spacing w:val="-2"/>
                <w:sz w:val="18"/>
              </w:rPr>
              <w:t>19.00120</w:t>
            </w:r>
          </w:p>
        </w:tc>
      </w:tr>
      <w:tr>
        <w:trPr>
          <w:trHeight w:val="224" w:hRule="atLeast"/>
        </w:trPr>
        <w:tc>
          <w:tcPr>
            <w:tcW w:w="1925" w:type="dxa"/>
          </w:tcPr>
          <w:p>
            <w:pPr>
              <w:pStyle w:val="TableParagraph"/>
              <w:spacing w:line="198" w:lineRule="exact"/>
              <w:rPr>
                <w:sz w:val="18"/>
              </w:rPr>
            </w:pPr>
            <w:r>
              <w:rPr>
                <w:sz w:val="18"/>
              </w:rPr>
              <w:t>Sum</w:t>
            </w:r>
            <w:r>
              <w:rPr>
                <w:spacing w:val="-4"/>
                <w:sz w:val="18"/>
              </w:rPr>
              <w:t> </w:t>
            </w:r>
            <w:r>
              <w:rPr>
                <w:sz w:val="18"/>
              </w:rPr>
              <w:t>squared</w:t>
            </w:r>
            <w:r>
              <w:rPr>
                <w:spacing w:val="-2"/>
                <w:sz w:val="18"/>
              </w:rPr>
              <w:t> </w:t>
            </w:r>
            <w:r>
              <w:rPr>
                <w:spacing w:val="-4"/>
                <w:sz w:val="18"/>
              </w:rPr>
              <w:t>resid</w:t>
            </w:r>
          </w:p>
        </w:tc>
        <w:tc>
          <w:tcPr>
            <w:tcW w:w="1291" w:type="dxa"/>
          </w:tcPr>
          <w:p>
            <w:pPr>
              <w:pStyle w:val="TableParagraph"/>
              <w:spacing w:line="198" w:lineRule="exact"/>
              <w:ind w:right="104"/>
              <w:jc w:val="right"/>
              <w:rPr>
                <w:sz w:val="18"/>
              </w:rPr>
            </w:pPr>
            <w:r>
              <w:rPr>
                <w:spacing w:val="-2"/>
                <w:sz w:val="18"/>
              </w:rPr>
              <w:t>2.19E+08</w:t>
            </w:r>
          </w:p>
        </w:tc>
        <w:tc>
          <w:tcPr>
            <w:tcW w:w="1491" w:type="dxa"/>
          </w:tcPr>
          <w:p>
            <w:pPr>
              <w:pStyle w:val="TableParagraph"/>
              <w:spacing w:line="198" w:lineRule="exact"/>
              <w:ind w:left="106"/>
              <w:rPr>
                <w:sz w:val="18"/>
              </w:rPr>
            </w:pPr>
            <w:r>
              <w:rPr>
                <w:sz w:val="18"/>
              </w:rPr>
              <w:t>Schwarz</w:t>
            </w:r>
            <w:r>
              <w:rPr>
                <w:spacing w:val="-4"/>
                <w:sz w:val="18"/>
              </w:rPr>
              <w:t> </w:t>
            </w:r>
            <w:r>
              <w:rPr>
                <w:spacing w:val="-2"/>
                <w:sz w:val="18"/>
              </w:rPr>
              <w:t>criterion</w:t>
            </w:r>
          </w:p>
        </w:tc>
        <w:tc>
          <w:tcPr>
            <w:tcW w:w="940" w:type="dxa"/>
          </w:tcPr>
          <w:p>
            <w:pPr>
              <w:pStyle w:val="TableParagraph"/>
              <w:spacing w:line="240" w:lineRule="auto" w:before="0"/>
              <w:rPr>
                <w:rFonts w:ascii="Times New Roman"/>
                <w:sz w:val="16"/>
              </w:rPr>
            </w:pPr>
          </w:p>
        </w:tc>
        <w:tc>
          <w:tcPr>
            <w:tcW w:w="884" w:type="dxa"/>
          </w:tcPr>
          <w:p>
            <w:pPr>
              <w:pStyle w:val="TableParagraph"/>
              <w:spacing w:line="198" w:lineRule="exact"/>
              <w:ind w:right="6"/>
              <w:jc w:val="right"/>
              <w:rPr>
                <w:sz w:val="18"/>
              </w:rPr>
            </w:pPr>
            <w:r>
              <w:rPr>
                <w:spacing w:val="-2"/>
                <w:sz w:val="18"/>
              </w:rPr>
              <w:t>19.40115</w:t>
            </w:r>
          </w:p>
        </w:tc>
      </w:tr>
      <w:tr>
        <w:trPr>
          <w:trHeight w:val="224" w:hRule="atLeast"/>
        </w:trPr>
        <w:tc>
          <w:tcPr>
            <w:tcW w:w="1925" w:type="dxa"/>
          </w:tcPr>
          <w:p>
            <w:pPr>
              <w:pStyle w:val="TableParagraph"/>
              <w:spacing w:before="5"/>
              <w:rPr>
                <w:sz w:val="18"/>
              </w:rPr>
            </w:pPr>
            <w:r>
              <w:rPr>
                <w:sz w:val="18"/>
              </w:rPr>
              <w:t>Log</w:t>
            </w:r>
            <w:r>
              <w:rPr>
                <w:spacing w:val="-3"/>
                <w:sz w:val="18"/>
              </w:rPr>
              <w:t> </w:t>
            </w:r>
            <w:r>
              <w:rPr>
                <w:spacing w:val="-2"/>
                <w:sz w:val="18"/>
              </w:rPr>
              <w:t>likelihood</w:t>
            </w:r>
          </w:p>
        </w:tc>
        <w:tc>
          <w:tcPr>
            <w:tcW w:w="1291" w:type="dxa"/>
          </w:tcPr>
          <w:p>
            <w:pPr>
              <w:pStyle w:val="TableParagraph"/>
              <w:spacing w:before="5"/>
              <w:ind w:right="104"/>
              <w:jc w:val="right"/>
              <w:rPr>
                <w:sz w:val="18"/>
              </w:rPr>
            </w:pPr>
            <w:r>
              <w:rPr>
                <w:spacing w:val="-2"/>
                <w:sz w:val="18"/>
              </w:rPr>
              <w:t>-323.5211</w:t>
            </w:r>
          </w:p>
        </w:tc>
        <w:tc>
          <w:tcPr>
            <w:tcW w:w="2431" w:type="dxa"/>
            <w:gridSpan w:val="2"/>
          </w:tcPr>
          <w:p>
            <w:pPr>
              <w:pStyle w:val="TableParagraph"/>
              <w:spacing w:before="5"/>
              <w:ind w:left="106"/>
              <w:rPr>
                <w:sz w:val="18"/>
              </w:rPr>
            </w:pPr>
            <w:r>
              <w:rPr>
                <w:spacing w:val="-2"/>
                <w:sz w:val="18"/>
              </w:rPr>
              <w:t>Hannan-Quinn</w:t>
            </w:r>
            <w:r>
              <w:rPr>
                <w:spacing w:val="11"/>
                <w:sz w:val="18"/>
              </w:rPr>
              <w:t> </w:t>
            </w:r>
            <w:r>
              <w:rPr>
                <w:spacing w:val="-2"/>
                <w:sz w:val="18"/>
              </w:rPr>
              <w:t>criter.</w:t>
            </w:r>
          </w:p>
        </w:tc>
        <w:tc>
          <w:tcPr>
            <w:tcW w:w="884" w:type="dxa"/>
          </w:tcPr>
          <w:p>
            <w:pPr>
              <w:pStyle w:val="TableParagraph"/>
              <w:spacing w:before="5"/>
              <w:ind w:right="6"/>
              <w:jc w:val="right"/>
              <w:rPr>
                <w:sz w:val="18"/>
              </w:rPr>
            </w:pPr>
            <w:r>
              <w:rPr>
                <w:spacing w:val="-2"/>
                <w:sz w:val="18"/>
              </w:rPr>
              <w:t>19.13927</w:t>
            </w:r>
          </w:p>
        </w:tc>
      </w:tr>
      <w:tr>
        <w:trPr>
          <w:trHeight w:val="225" w:hRule="atLeast"/>
        </w:trPr>
        <w:tc>
          <w:tcPr>
            <w:tcW w:w="1925" w:type="dxa"/>
          </w:tcPr>
          <w:p>
            <w:pPr>
              <w:pStyle w:val="TableParagraph"/>
              <w:rPr>
                <w:sz w:val="18"/>
              </w:rPr>
            </w:pPr>
            <w:r>
              <w:rPr>
                <w:spacing w:val="-2"/>
                <w:sz w:val="18"/>
              </w:rPr>
              <w:t>F-statistic</w:t>
            </w:r>
          </w:p>
        </w:tc>
        <w:tc>
          <w:tcPr>
            <w:tcW w:w="1291" w:type="dxa"/>
          </w:tcPr>
          <w:p>
            <w:pPr>
              <w:pStyle w:val="TableParagraph"/>
              <w:ind w:right="104"/>
              <w:jc w:val="right"/>
              <w:rPr>
                <w:sz w:val="18"/>
              </w:rPr>
            </w:pPr>
            <w:r>
              <w:rPr>
                <w:spacing w:val="-2"/>
                <w:sz w:val="18"/>
              </w:rPr>
              <w:t>208.4198</w:t>
            </w:r>
          </w:p>
        </w:tc>
        <w:tc>
          <w:tcPr>
            <w:tcW w:w="2431" w:type="dxa"/>
            <w:gridSpan w:val="2"/>
          </w:tcPr>
          <w:p>
            <w:pPr>
              <w:pStyle w:val="TableParagraph"/>
              <w:ind w:left="106"/>
              <w:rPr>
                <w:sz w:val="18"/>
              </w:rPr>
            </w:pPr>
            <w:r>
              <w:rPr>
                <w:spacing w:val="-2"/>
                <w:sz w:val="18"/>
              </w:rPr>
              <w:t>Durbin-Watson</w:t>
            </w:r>
            <w:r>
              <w:rPr>
                <w:spacing w:val="13"/>
                <w:sz w:val="18"/>
              </w:rPr>
              <w:t> </w:t>
            </w:r>
            <w:r>
              <w:rPr>
                <w:spacing w:val="-4"/>
                <w:sz w:val="18"/>
              </w:rPr>
              <w:t>stat</w:t>
            </w:r>
          </w:p>
        </w:tc>
        <w:tc>
          <w:tcPr>
            <w:tcW w:w="884" w:type="dxa"/>
          </w:tcPr>
          <w:p>
            <w:pPr>
              <w:pStyle w:val="TableParagraph"/>
              <w:ind w:right="6"/>
              <w:jc w:val="right"/>
              <w:rPr>
                <w:sz w:val="18"/>
              </w:rPr>
            </w:pPr>
            <w:r>
              <w:rPr>
                <w:spacing w:val="-2"/>
                <w:sz w:val="18"/>
              </w:rPr>
              <w:t>1.892712</w:t>
            </w:r>
          </w:p>
        </w:tc>
      </w:tr>
      <w:tr>
        <w:trPr>
          <w:trHeight w:val="303" w:hRule="atLeast"/>
        </w:trPr>
        <w:tc>
          <w:tcPr>
            <w:tcW w:w="1925" w:type="dxa"/>
            <w:tcBorders>
              <w:bottom w:val="double" w:sz="6" w:space="0" w:color="000000"/>
            </w:tcBorders>
          </w:tcPr>
          <w:p>
            <w:pPr>
              <w:pStyle w:val="TableParagraph"/>
              <w:spacing w:line="240" w:lineRule="auto"/>
              <w:rPr>
                <w:sz w:val="18"/>
              </w:rPr>
            </w:pPr>
            <w:r>
              <w:rPr>
                <w:spacing w:val="-2"/>
                <w:sz w:val="18"/>
              </w:rPr>
              <w:t>Prob(F-statistic)</w:t>
            </w:r>
          </w:p>
        </w:tc>
        <w:tc>
          <w:tcPr>
            <w:tcW w:w="1291" w:type="dxa"/>
            <w:tcBorders>
              <w:bottom w:val="double" w:sz="6" w:space="0" w:color="000000"/>
            </w:tcBorders>
          </w:tcPr>
          <w:p>
            <w:pPr>
              <w:pStyle w:val="TableParagraph"/>
              <w:spacing w:line="240" w:lineRule="auto"/>
              <w:ind w:right="104"/>
              <w:jc w:val="right"/>
              <w:rPr>
                <w:sz w:val="18"/>
              </w:rPr>
            </w:pPr>
            <w:r>
              <w:rPr>
                <w:spacing w:val="-2"/>
                <w:sz w:val="18"/>
              </w:rPr>
              <w:t>0.000000</w:t>
            </w:r>
          </w:p>
        </w:tc>
        <w:tc>
          <w:tcPr>
            <w:tcW w:w="2431" w:type="dxa"/>
            <w:gridSpan w:val="2"/>
            <w:tcBorders>
              <w:bottom w:val="double" w:sz="6" w:space="0" w:color="000000"/>
            </w:tcBorders>
          </w:tcPr>
          <w:p>
            <w:pPr>
              <w:pStyle w:val="TableParagraph"/>
              <w:spacing w:line="240" w:lineRule="auto" w:before="0"/>
              <w:rPr>
                <w:rFonts w:ascii="Times New Roman"/>
                <w:sz w:val="18"/>
              </w:rPr>
            </w:pPr>
          </w:p>
        </w:tc>
        <w:tc>
          <w:tcPr>
            <w:tcW w:w="884" w:type="dxa"/>
            <w:tcBorders>
              <w:bottom w:val="double" w:sz="6" w:space="0" w:color="000000"/>
            </w:tcBorders>
          </w:tcPr>
          <w:p>
            <w:pPr>
              <w:pStyle w:val="TableParagraph"/>
              <w:spacing w:line="240" w:lineRule="auto" w:before="0"/>
              <w:rPr>
                <w:rFonts w:ascii="Times New Roman"/>
                <w:sz w:val="18"/>
              </w:rPr>
            </w:pPr>
          </w:p>
        </w:tc>
      </w:tr>
    </w:tbl>
    <w:p>
      <w:pPr>
        <w:spacing w:after="0" w:line="240" w:lineRule="auto"/>
        <w:rPr>
          <w:rFonts w:ascii="Times New Roman"/>
          <w:sz w:val="18"/>
        </w:rPr>
        <w:sectPr>
          <w:footerReference w:type="default" r:id="rId15"/>
          <w:pgSz w:w="12240" w:h="15840"/>
          <w:pgMar w:header="0" w:footer="1012" w:top="1380" w:bottom="1200" w:left="1340" w:right="1720"/>
          <w:pgNumType w:start="218"/>
        </w:sectPr>
      </w:pPr>
    </w:p>
    <w:p>
      <w:pPr>
        <w:spacing w:before="60"/>
        <w:ind w:left="375" w:right="0" w:firstLine="0"/>
        <w:jc w:val="center"/>
        <w:rPr>
          <w:b/>
          <w:sz w:val="25"/>
        </w:rPr>
      </w:pPr>
      <w:r>
        <w:rPr/>
        <mc:AlternateContent>
          <mc:Choice Requires="wps">
            <w:drawing>
              <wp:anchor distT="0" distB="0" distL="0" distR="0" allowOverlap="1" layoutInCell="1" locked="0" behindDoc="1" simplePos="0" relativeHeight="478146560">
                <wp:simplePos x="0" y="0"/>
                <wp:positionH relativeFrom="page">
                  <wp:posOffset>950112</wp:posOffset>
                </wp:positionH>
                <wp:positionV relativeFrom="page">
                  <wp:posOffset>6343167</wp:posOffset>
                </wp:positionV>
                <wp:extent cx="1515110" cy="1515110"/>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1515110" cy="1515110"/>
                        </a:xfrm>
                        <a:custGeom>
                          <a:avLst/>
                          <a:gdLst/>
                          <a:ahLst/>
                          <a:cxnLst/>
                          <a:rect l="l" t="t" r="r" b="b"/>
                          <a:pathLst>
                            <a:path w="1515110" h="1515110">
                              <a:moveTo>
                                <a:pt x="677011" y="1391132"/>
                              </a:moveTo>
                              <a:lnTo>
                                <a:pt x="123825" y="838047"/>
                              </a:lnTo>
                              <a:lnTo>
                                <a:pt x="0" y="961872"/>
                              </a:lnTo>
                              <a:lnTo>
                                <a:pt x="553186" y="1514957"/>
                              </a:lnTo>
                              <a:lnTo>
                                <a:pt x="677011" y="1391132"/>
                              </a:lnTo>
                              <a:close/>
                            </a:path>
                            <a:path w="1515110" h="1515110">
                              <a:moveTo>
                                <a:pt x="1052677" y="961936"/>
                              </a:moveTo>
                              <a:lnTo>
                                <a:pt x="1048994" y="909675"/>
                              </a:lnTo>
                              <a:lnTo>
                                <a:pt x="1033970" y="854011"/>
                              </a:lnTo>
                              <a:lnTo>
                                <a:pt x="1007338" y="798804"/>
                              </a:lnTo>
                              <a:lnTo>
                                <a:pt x="970724" y="745858"/>
                              </a:lnTo>
                              <a:lnTo>
                                <a:pt x="925931" y="695553"/>
                              </a:lnTo>
                              <a:lnTo>
                                <a:pt x="596112" y="365734"/>
                              </a:lnTo>
                              <a:lnTo>
                                <a:pt x="472795" y="489051"/>
                              </a:lnTo>
                              <a:lnTo>
                                <a:pt x="810361" y="826744"/>
                              </a:lnTo>
                              <a:lnTo>
                                <a:pt x="830872" y="849553"/>
                              </a:lnTo>
                              <a:lnTo>
                                <a:pt x="846518" y="872020"/>
                              </a:lnTo>
                              <a:lnTo>
                                <a:pt x="857364" y="894118"/>
                              </a:lnTo>
                              <a:lnTo>
                                <a:pt x="863447" y="915771"/>
                              </a:lnTo>
                              <a:lnTo>
                                <a:pt x="864400" y="936612"/>
                              </a:lnTo>
                              <a:lnTo>
                                <a:pt x="860463" y="956056"/>
                              </a:lnTo>
                              <a:lnTo>
                                <a:pt x="838047" y="990701"/>
                              </a:lnTo>
                              <a:lnTo>
                                <a:pt x="803135" y="1013269"/>
                              </a:lnTo>
                              <a:lnTo>
                                <a:pt x="783590" y="1017054"/>
                              </a:lnTo>
                              <a:lnTo>
                                <a:pt x="762609" y="1015720"/>
                              </a:lnTo>
                              <a:lnTo>
                                <a:pt x="718540" y="999045"/>
                              </a:lnTo>
                              <a:lnTo>
                                <a:pt x="673709" y="963396"/>
                              </a:lnTo>
                              <a:lnTo>
                                <a:pt x="336143" y="625703"/>
                              </a:lnTo>
                              <a:lnTo>
                                <a:pt x="212750" y="749020"/>
                              </a:lnTo>
                              <a:lnTo>
                                <a:pt x="542518" y="1078839"/>
                              </a:lnTo>
                              <a:lnTo>
                                <a:pt x="589267" y="1119746"/>
                              </a:lnTo>
                              <a:lnTo>
                                <a:pt x="647547" y="1161008"/>
                              </a:lnTo>
                              <a:lnTo>
                                <a:pt x="690029" y="1183005"/>
                              </a:lnTo>
                              <a:lnTo>
                                <a:pt x="737844" y="1198219"/>
                              </a:lnTo>
                              <a:lnTo>
                                <a:pt x="785317" y="1205611"/>
                              </a:lnTo>
                              <a:lnTo>
                                <a:pt x="807148" y="1205712"/>
                              </a:lnTo>
                              <a:lnTo>
                                <a:pt x="827760" y="1203553"/>
                              </a:lnTo>
                              <a:lnTo>
                                <a:pt x="867854" y="1191679"/>
                              </a:lnTo>
                              <a:lnTo>
                                <a:pt x="908151" y="1168374"/>
                              </a:lnTo>
                              <a:lnTo>
                                <a:pt x="945184" y="1139139"/>
                              </a:lnTo>
                              <a:lnTo>
                                <a:pt x="976985" y="1110081"/>
                              </a:lnTo>
                              <a:lnTo>
                                <a:pt x="1019340" y="1058672"/>
                              </a:lnTo>
                              <a:lnTo>
                                <a:pt x="1045311" y="1005433"/>
                              </a:lnTo>
                              <a:lnTo>
                                <a:pt x="1050315" y="984796"/>
                              </a:lnTo>
                              <a:lnTo>
                                <a:pt x="1052677" y="961936"/>
                              </a:lnTo>
                              <a:close/>
                            </a:path>
                            <a:path w="1515110" h="1515110">
                              <a:moveTo>
                                <a:pt x="1514894" y="464566"/>
                              </a:moveTo>
                              <a:lnTo>
                                <a:pt x="1510919" y="423811"/>
                              </a:lnTo>
                              <a:lnTo>
                                <a:pt x="1500898" y="382244"/>
                              </a:lnTo>
                              <a:lnTo>
                                <a:pt x="1484604" y="339826"/>
                              </a:lnTo>
                              <a:lnTo>
                                <a:pt x="1466773" y="305308"/>
                              </a:lnTo>
                              <a:lnTo>
                                <a:pt x="1444371" y="269735"/>
                              </a:lnTo>
                              <a:lnTo>
                                <a:pt x="1417307" y="233159"/>
                              </a:lnTo>
                              <a:lnTo>
                                <a:pt x="1385633" y="195694"/>
                              </a:lnTo>
                              <a:lnTo>
                                <a:pt x="1374317" y="183781"/>
                              </a:lnTo>
                              <a:lnTo>
                                <a:pt x="1349222" y="157327"/>
                              </a:lnTo>
                              <a:lnTo>
                                <a:pt x="1334046" y="143205"/>
                              </a:lnTo>
                              <a:lnTo>
                                <a:pt x="1334046" y="456844"/>
                              </a:lnTo>
                              <a:lnTo>
                                <a:pt x="1330934" y="482396"/>
                              </a:lnTo>
                              <a:lnTo>
                                <a:pt x="1304518" y="526770"/>
                              </a:lnTo>
                              <a:lnTo>
                                <a:pt x="1260602" y="552462"/>
                              </a:lnTo>
                              <a:lnTo>
                                <a:pt x="1234897" y="555282"/>
                              </a:lnTo>
                              <a:lnTo>
                                <a:pt x="1206601" y="551281"/>
                              </a:lnTo>
                              <a:lnTo>
                                <a:pt x="1141285" y="519722"/>
                              </a:lnTo>
                              <a:lnTo>
                                <a:pt x="1103972" y="491032"/>
                              </a:lnTo>
                              <a:lnTo>
                                <a:pt x="1063599" y="453504"/>
                              </a:lnTo>
                              <a:lnTo>
                                <a:pt x="1025931" y="412915"/>
                              </a:lnTo>
                              <a:lnTo>
                                <a:pt x="997051" y="375399"/>
                              </a:lnTo>
                              <a:lnTo>
                                <a:pt x="976833" y="341020"/>
                              </a:lnTo>
                              <a:lnTo>
                                <a:pt x="961161" y="281571"/>
                              </a:lnTo>
                              <a:lnTo>
                                <a:pt x="963866" y="255993"/>
                              </a:lnTo>
                              <a:lnTo>
                                <a:pt x="988669" y="213080"/>
                              </a:lnTo>
                              <a:lnTo>
                                <a:pt x="1032649" y="187071"/>
                              </a:lnTo>
                              <a:lnTo>
                                <a:pt x="1058367" y="183781"/>
                              </a:lnTo>
                              <a:lnTo>
                                <a:pt x="1086497" y="187071"/>
                              </a:lnTo>
                              <a:lnTo>
                                <a:pt x="1150048" y="216941"/>
                              </a:lnTo>
                              <a:lnTo>
                                <a:pt x="1185506" y="243789"/>
                              </a:lnTo>
                              <a:lnTo>
                                <a:pt x="1223365" y="278739"/>
                              </a:lnTo>
                              <a:lnTo>
                                <a:pt x="1264780" y="322999"/>
                              </a:lnTo>
                              <a:lnTo>
                                <a:pt x="1296352" y="362902"/>
                              </a:lnTo>
                              <a:lnTo>
                                <a:pt x="1318158" y="398348"/>
                              </a:lnTo>
                              <a:lnTo>
                                <a:pt x="1334046" y="456844"/>
                              </a:lnTo>
                              <a:lnTo>
                                <a:pt x="1334046" y="143205"/>
                              </a:lnTo>
                              <a:lnTo>
                                <a:pt x="1304836" y="116014"/>
                              </a:lnTo>
                              <a:lnTo>
                                <a:pt x="1260716" y="81051"/>
                              </a:lnTo>
                              <a:lnTo>
                                <a:pt x="1216901" y="52387"/>
                              </a:lnTo>
                              <a:lnTo>
                                <a:pt x="1173378" y="29946"/>
                              </a:lnTo>
                              <a:lnTo>
                                <a:pt x="1130185" y="13690"/>
                              </a:lnTo>
                              <a:lnTo>
                                <a:pt x="1087348" y="3530"/>
                              </a:lnTo>
                              <a:lnTo>
                                <a:pt x="1037310" y="0"/>
                              </a:lnTo>
                              <a:lnTo>
                                <a:pt x="989495" y="6350"/>
                              </a:lnTo>
                              <a:lnTo>
                                <a:pt x="943914" y="22479"/>
                              </a:lnTo>
                              <a:lnTo>
                                <a:pt x="900569" y="48260"/>
                              </a:lnTo>
                              <a:lnTo>
                                <a:pt x="859510" y="83540"/>
                              </a:lnTo>
                              <a:lnTo>
                                <a:pt x="825169" y="123825"/>
                              </a:lnTo>
                              <a:lnTo>
                                <a:pt x="800252" y="166725"/>
                              </a:lnTo>
                              <a:lnTo>
                                <a:pt x="784847" y="212242"/>
                              </a:lnTo>
                              <a:lnTo>
                                <a:pt x="779043" y="260299"/>
                              </a:lnTo>
                              <a:lnTo>
                                <a:pt x="782929" y="310870"/>
                              </a:lnTo>
                              <a:lnTo>
                                <a:pt x="793407" y="354266"/>
                              </a:lnTo>
                              <a:lnTo>
                                <a:pt x="810056" y="398068"/>
                              </a:lnTo>
                              <a:lnTo>
                                <a:pt x="832916" y="442226"/>
                              </a:lnTo>
                              <a:lnTo>
                                <a:pt x="862050" y="486702"/>
                              </a:lnTo>
                              <a:lnTo>
                                <a:pt x="897521" y="531456"/>
                              </a:lnTo>
                              <a:lnTo>
                                <a:pt x="939393" y="576427"/>
                              </a:lnTo>
                              <a:lnTo>
                                <a:pt x="977900" y="612711"/>
                              </a:lnTo>
                              <a:lnTo>
                                <a:pt x="1016127" y="644182"/>
                              </a:lnTo>
                              <a:lnTo>
                                <a:pt x="1053998" y="670890"/>
                              </a:lnTo>
                              <a:lnTo>
                                <a:pt x="1091438" y="692912"/>
                              </a:lnTo>
                              <a:lnTo>
                                <a:pt x="1128369" y="710285"/>
                              </a:lnTo>
                              <a:lnTo>
                                <a:pt x="1173124" y="725754"/>
                              </a:lnTo>
                              <a:lnTo>
                                <a:pt x="1215783" y="734428"/>
                              </a:lnTo>
                              <a:lnTo>
                                <a:pt x="1256322" y="736612"/>
                              </a:lnTo>
                              <a:lnTo>
                                <a:pt x="1294739" y="732637"/>
                              </a:lnTo>
                              <a:lnTo>
                                <a:pt x="1331429" y="722337"/>
                              </a:lnTo>
                              <a:lnTo>
                                <a:pt x="1367269" y="705104"/>
                              </a:lnTo>
                              <a:lnTo>
                                <a:pt x="1402270" y="681113"/>
                              </a:lnTo>
                              <a:lnTo>
                                <a:pt x="1436471" y="650595"/>
                              </a:lnTo>
                              <a:lnTo>
                                <a:pt x="1466303" y="616458"/>
                              </a:lnTo>
                              <a:lnTo>
                                <a:pt x="1489087" y="580720"/>
                              </a:lnTo>
                              <a:lnTo>
                                <a:pt x="1504708" y="543407"/>
                              </a:lnTo>
                              <a:lnTo>
                                <a:pt x="1513052" y="504545"/>
                              </a:lnTo>
                              <a:lnTo>
                                <a:pt x="1514894" y="46456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99.461975pt;width:119.3pt;height:119.3pt;mso-position-horizontal-relative:page;mso-position-vertical-relative:page;z-index:-25169920" id="docshape300" coordorigin="1496,9989" coordsize="2386,2386"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47072">
                <wp:simplePos x="0" y="0"/>
                <wp:positionH relativeFrom="page">
                  <wp:posOffset>2284476</wp:posOffset>
                </wp:positionH>
                <wp:positionV relativeFrom="paragraph">
                  <wp:posOffset>1321053</wp:posOffset>
                </wp:positionV>
                <wp:extent cx="4171315" cy="4403725"/>
                <wp:effectExtent l="0" t="0" r="0" b="0"/>
                <wp:wrapNone/>
                <wp:docPr id="301" name="Graphic 301"/>
                <wp:cNvGraphicFramePr>
                  <a:graphicFrameLocks/>
                </wp:cNvGraphicFramePr>
                <a:graphic>
                  <a:graphicData uri="http://schemas.microsoft.com/office/word/2010/wordprocessingShape">
                    <wps:wsp>
                      <wps:cNvPr id="301" name="Graphic 301"/>
                      <wps:cNvSpPr/>
                      <wps:spPr>
                        <a:xfrm>
                          <a:off x="0" y="0"/>
                          <a:ext cx="4171315" cy="4403725"/>
                        </a:xfrm>
                        <a:custGeom>
                          <a:avLst/>
                          <a:gdLst/>
                          <a:ahLst/>
                          <a:cxnLst/>
                          <a:rect l="l" t="t" r="r" b="b"/>
                          <a:pathLst>
                            <a:path w="4171315" h="4403725">
                              <a:moveTo>
                                <a:pt x="352679" y="4242308"/>
                              </a:moveTo>
                              <a:lnTo>
                                <a:pt x="233934" y="4123436"/>
                              </a:lnTo>
                              <a:lnTo>
                                <a:pt x="72517" y="4284980"/>
                              </a:lnTo>
                              <a:lnTo>
                                <a:pt x="191262" y="4403725"/>
                              </a:lnTo>
                              <a:lnTo>
                                <a:pt x="352679" y="4242308"/>
                              </a:lnTo>
                              <a:close/>
                            </a:path>
                            <a:path w="4171315" h="4403725">
                              <a:moveTo>
                                <a:pt x="677037" y="4202557"/>
                              </a:moveTo>
                              <a:lnTo>
                                <a:pt x="123825" y="3649345"/>
                              </a:lnTo>
                              <a:lnTo>
                                <a:pt x="0" y="3773170"/>
                              </a:lnTo>
                              <a:lnTo>
                                <a:pt x="553212" y="4326382"/>
                              </a:lnTo>
                              <a:lnTo>
                                <a:pt x="677037" y="4202557"/>
                              </a:lnTo>
                              <a:close/>
                            </a:path>
                            <a:path w="4171315" h="4403725">
                              <a:moveTo>
                                <a:pt x="889254" y="3990340"/>
                              </a:moveTo>
                              <a:lnTo>
                                <a:pt x="684022" y="3784981"/>
                              </a:lnTo>
                              <a:lnTo>
                                <a:pt x="751713" y="3717290"/>
                              </a:lnTo>
                              <a:lnTo>
                                <a:pt x="783844" y="3679304"/>
                              </a:lnTo>
                              <a:lnTo>
                                <a:pt x="787311" y="3672967"/>
                              </a:lnTo>
                              <a:lnTo>
                                <a:pt x="805307" y="3640201"/>
                              </a:lnTo>
                              <a:lnTo>
                                <a:pt x="816000" y="3600069"/>
                              </a:lnTo>
                              <a:lnTo>
                                <a:pt x="815848" y="3558921"/>
                              </a:lnTo>
                              <a:lnTo>
                                <a:pt x="805688" y="3517239"/>
                              </a:lnTo>
                              <a:lnTo>
                                <a:pt x="790917" y="3484930"/>
                              </a:lnTo>
                              <a:lnTo>
                                <a:pt x="786587" y="3475444"/>
                              </a:lnTo>
                              <a:lnTo>
                                <a:pt x="758456" y="3433572"/>
                              </a:lnTo>
                              <a:lnTo>
                                <a:pt x="721233" y="3391662"/>
                              </a:lnTo>
                              <a:lnTo>
                                <a:pt x="680707" y="3355416"/>
                              </a:lnTo>
                              <a:lnTo>
                                <a:pt x="640676" y="3328060"/>
                              </a:lnTo>
                              <a:lnTo>
                                <a:pt x="635127" y="3325444"/>
                              </a:lnTo>
                              <a:lnTo>
                                <a:pt x="635127" y="3575050"/>
                              </a:lnTo>
                              <a:lnTo>
                                <a:pt x="634339" y="3591293"/>
                              </a:lnTo>
                              <a:lnTo>
                                <a:pt x="628484" y="3607993"/>
                              </a:lnTo>
                              <a:lnTo>
                                <a:pt x="617728" y="3625151"/>
                              </a:lnTo>
                              <a:lnTo>
                                <a:pt x="602234" y="3642741"/>
                              </a:lnTo>
                              <a:lnTo>
                                <a:pt x="572008" y="3672967"/>
                              </a:lnTo>
                              <a:lnTo>
                                <a:pt x="448564" y="3549523"/>
                              </a:lnTo>
                              <a:lnTo>
                                <a:pt x="483743" y="3514344"/>
                              </a:lnTo>
                              <a:lnTo>
                                <a:pt x="500862" y="3499459"/>
                              </a:lnTo>
                              <a:lnTo>
                                <a:pt x="517423" y="3489668"/>
                              </a:lnTo>
                              <a:lnTo>
                                <a:pt x="533463" y="3484930"/>
                              </a:lnTo>
                              <a:lnTo>
                                <a:pt x="549021" y="3485261"/>
                              </a:lnTo>
                              <a:lnTo>
                                <a:pt x="592467" y="3505149"/>
                              </a:lnTo>
                              <a:lnTo>
                                <a:pt x="626402" y="3544824"/>
                              </a:lnTo>
                              <a:lnTo>
                                <a:pt x="635127" y="3575050"/>
                              </a:lnTo>
                              <a:lnTo>
                                <a:pt x="635127" y="3325444"/>
                              </a:lnTo>
                              <a:lnTo>
                                <a:pt x="601179" y="3309391"/>
                              </a:lnTo>
                              <a:lnTo>
                                <a:pt x="562229" y="3299206"/>
                              </a:lnTo>
                              <a:lnTo>
                                <a:pt x="524078" y="3298609"/>
                              </a:lnTo>
                              <a:lnTo>
                                <a:pt x="487210" y="3307956"/>
                              </a:lnTo>
                              <a:lnTo>
                                <a:pt x="451650" y="3327095"/>
                              </a:lnTo>
                              <a:lnTo>
                                <a:pt x="417449" y="3355848"/>
                              </a:lnTo>
                              <a:lnTo>
                                <a:pt x="211963" y="3561207"/>
                              </a:lnTo>
                              <a:lnTo>
                                <a:pt x="765175" y="4114419"/>
                              </a:lnTo>
                              <a:lnTo>
                                <a:pt x="889254" y="3990340"/>
                              </a:lnTo>
                              <a:close/>
                            </a:path>
                            <a:path w="4171315" h="4403725">
                              <a:moveTo>
                                <a:pt x="1390777" y="3488817"/>
                              </a:moveTo>
                              <a:lnTo>
                                <a:pt x="974077" y="3072257"/>
                              </a:lnTo>
                              <a:lnTo>
                                <a:pt x="1100201" y="2946146"/>
                              </a:lnTo>
                              <a:lnTo>
                                <a:pt x="963676" y="2809621"/>
                              </a:lnTo>
                              <a:lnTo>
                                <a:pt x="588010" y="3185287"/>
                              </a:lnTo>
                              <a:lnTo>
                                <a:pt x="724535" y="3321812"/>
                              </a:lnTo>
                              <a:lnTo>
                                <a:pt x="850519" y="3195828"/>
                              </a:lnTo>
                              <a:lnTo>
                                <a:pt x="1267206" y="3612388"/>
                              </a:lnTo>
                              <a:lnTo>
                                <a:pt x="1390777" y="3488817"/>
                              </a:lnTo>
                              <a:close/>
                            </a:path>
                            <a:path w="4171315" h="4403725">
                              <a:moveTo>
                                <a:pt x="1794256" y="3085338"/>
                              </a:moveTo>
                              <a:lnTo>
                                <a:pt x="1377696" y="2668651"/>
                              </a:lnTo>
                              <a:lnTo>
                                <a:pt x="1503680" y="2542667"/>
                              </a:lnTo>
                              <a:lnTo>
                                <a:pt x="1367155" y="2406142"/>
                              </a:lnTo>
                              <a:lnTo>
                                <a:pt x="991489" y="2781808"/>
                              </a:lnTo>
                              <a:lnTo>
                                <a:pt x="1128141" y="2918333"/>
                              </a:lnTo>
                              <a:lnTo>
                                <a:pt x="1254125" y="2792349"/>
                              </a:lnTo>
                              <a:lnTo>
                                <a:pt x="1670685" y="3208909"/>
                              </a:lnTo>
                              <a:lnTo>
                                <a:pt x="1794256" y="3085338"/>
                              </a:lnTo>
                              <a:close/>
                            </a:path>
                            <a:path w="4171315" h="4403725">
                              <a:moveTo>
                                <a:pt x="2260041" y="2530856"/>
                              </a:moveTo>
                              <a:lnTo>
                                <a:pt x="2256117" y="2490063"/>
                              </a:lnTo>
                              <a:lnTo>
                                <a:pt x="2246147" y="2448458"/>
                              </a:lnTo>
                              <a:lnTo>
                                <a:pt x="2229866" y="2406015"/>
                              </a:lnTo>
                              <a:lnTo>
                                <a:pt x="2211971" y="2371560"/>
                              </a:lnTo>
                              <a:lnTo>
                                <a:pt x="2189530" y="2336038"/>
                              </a:lnTo>
                              <a:lnTo>
                                <a:pt x="2162416" y="2299449"/>
                              </a:lnTo>
                              <a:lnTo>
                                <a:pt x="2130768" y="2262073"/>
                              </a:lnTo>
                              <a:lnTo>
                                <a:pt x="2119376" y="2250097"/>
                              </a:lnTo>
                              <a:lnTo>
                                <a:pt x="2094357" y="2223770"/>
                              </a:lnTo>
                              <a:lnTo>
                                <a:pt x="2079180" y="2209635"/>
                              </a:lnTo>
                              <a:lnTo>
                                <a:pt x="2079180" y="2523134"/>
                              </a:lnTo>
                              <a:lnTo>
                                <a:pt x="2076043" y="2548661"/>
                              </a:lnTo>
                              <a:lnTo>
                                <a:pt x="2049526" y="2593086"/>
                              </a:lnTo>
                              <a:lnTo>
                                <a:pt x="2005787" y="2618714"/>
                              </a:lnTo>
                              <a:lnTo>
                                <a:pt x="1980133" y="2621483"/>
                              </a:lnTo>
                              <a:lnTo>
                                <a:pt x="1951863" y="2617470"/>
                              </a:lnTo>
                              <a:lnTo>
                                <a:pt x="1886546" y="2585936"/>
                              </a:lnTo>
                              <a:lnTo>
                                <a:pt x="1849234" y="2557272"/>
                              </a:lnTo>
                              <a:lnTo>
                                <a:pt x="1808861" y="2519807"/>
                              </a:lnTo>
                              <a:lnTo>
                                <a:pt x="1771116" y="2479154"/>
                              </a:lnTo>
                              <a:lnTo>
                                <a:pt x="1742211" y="2441600"/>
                              </a:lnTo>
                              <a:lnTo>
                                <a:pt x="1722018" y="2407208"/>
                              </a:lnTo>
                              <a:lnTo>
                                <a:pt x="1706397" y="2347785"/>
                              </a:lnTo>
                              <a:lnTo>
                                <a:pt x="1709064" y="2322245"/>
                              </a:lnTo>
                              <a:lnTo>
                                <a:pt x="1733804" y="2279396"/>
                              </a:lnTo>
                              <a:lnTo>
                                <a:pt x="1777784" y="2253386"/>
                              </a:lnTo>
                              <a:lnTo>
                                <a:pt x="1803501" y="2250097"/>
                              </a:lnTo>
                              <a:lnTo>
                                <a:pt x="1831632" y="2253386"/>
                              </a:lnTo>
                              <a:lnTo>
                                <a:pt x="1895132" y="2283256"/>
                              </a:lnTo>
                              <a:lnTo>
                                <a:pt x="1930615" y="2310104"/>
                              </a:lnTo>
                              <a:lnTo>
                                <a:pt x="1968500" y="2345055"/>
                              </a:lnTo>
                              <a:lnTo>
                                <a:pt x="2009940" y="2389289"/>
                              </a:lnTo>
                              <a:lnTo>
                                <a:pt x="2041537" y="2429167"/>
                              </a:lnTo>
                              <a:lnTo>
                                <a:pt x="2063343" y="2464612"/>
                              </a:lnTo>
                              <a:lnTo>
                                <a:pt x="2079180" y="2523134"/>
                              </a:lnTo>
                              <a:lnTo>
                                <a:pt x="2079180" y="2209635"/>
                              </a:lnTo>
                              <a:lnTo>
                                <a:pt x="2049970" y="2182406"/>
                              </a:lnTo>
                              <a:lnTo>
                                <a:pt x="2005850" y="2147405"/>
                              </a:lnTo>
                              <a:lnTo>
                                <a:pt x="1962035" y="2118715"/>
                              </a:lnTo>
                              <a:lnTo>
                                <a:pt x="1918512" y="2096274"/>
                              </a:lnTo>
                              <a:lnTo>
                                <a:pt x="1875320" y="2080006"/>
                              </a:lnTo>
                              <a:lnTo>
                                <a:pt x="1832483" y="2069846"/>
                              </a:lnTo>
                              <a:lnTo>
                                <a:pt x="1782445" y="2066315"/>
                              </a:lnTo>
                              <a:lnTo>
                                <a:pt x="1734629" y="2072665"/>
                              </a:lnTo>
                              <a:lnTo>
                                <a:pt x="1689049" y="2088769"/>
                              </a:lnTo>
                              <a:lnTo>
                                <a:pt x="1645704" y="2114512"/>
                              </a:lnTo>
                              <a:lnTo>
                                <a:pt x="1604645" y="2149729"/>
                              </a:lnTo>
                              <a:lnTo>
                                <a:pt x="1570355" y="2190026"/>
                              </a:lnTo>
                              <a:lnTo>
                                <a:pt x="1545450" y="2232964"/>
                              </a:lnTo>
                              <a:lnTo>
                                <a:pt x="1530045" y="2278507"/>
                              </a:lnTo>
                              <a:lnTo>
                                <a:pt x="1524254" y="2326602"/>
                              </a:lnTo>
                              <a:lnTo>
                                <a:pt x="1528191" y="2377186"/>
                              </a:lnTo>
                              <a:lnTo>
                                <a:pt x="1538617" y="2420582"/>
                              </a:lnTo>
                              <a:lnTo>
                                <a:pt x="1555229" y="2464346"/>
                              </a:lnTo>
                              <a:lnTo>
                                <a:pt x="1578063" y="2508478"/>
                              </a:lnTo>
                              <a:lnTo>
                                <a:pt x="1607185" y="2552928"/>
                              </a:lnTo>
                              <a:lnTo>
                                <a:pt x="1642656" y="2597645"/>
                              </a:lnTo>
                              <a:lnTo>
                                <a:pt x="1684528" y="2642616"/>
                              </a:lnTo>
                              <a:lnTo>
                                <a:pt x="1723085" y="2678912"/>
                              </a:lnTo>
                              <a:lnTo>
                                <a:pt x="1761324" y="2710408"/>
                              </a:lnTo>
                              <a:lnTo>
                                <a:pt x="1799170" y="2737167"/>
                              </a:lnTo>
                              <a:lnTo>
                                <a:pt x="1836585" y="2759214"/>
                              </a:lnTo>
                              <a:lnTo>
                                <a:pt x="1873504" y="2776601"/>
                              </a:lnTo>
                              <a:lnTo>
                                <a:pt x="1918322" y="2792006"/>
                              </a:lnTo>
                              <a:lnTo>
                                <a:pt x="1960968" y="2800693"/>
                              </a:lnTo>
                              <a:lnTo>
                                <a:pt x="2001481" y="2802915"/>
                              </a:lnTo>
                              <a:lnTo>
                                <a:pt x="2039874" y="2798953"/>
                              </a:lnTo>
                              <a:lnTo>
                                <a:pt x="2076589" y="2788602"/>
                              </a:lnTo>
                              <a:lnTo>
                                <a:pt x="2112454" y="2771368"/>
                              </a:lnTo>
                              <a:lnTo>
                                <a:pt x="2147455" y="2747416"/>
                              </a:lnTo>
                              <a:lnTo>
                                <a:pt x="2181606" y="2716911"/>
                              </a:lnTo>
                              <a:lnTo>
                                <a:pt x="2211463" y="2682722"/>
                              </a:lnTo>
                              <a:lnTo>
                                <a:pt x="2234273" y="2646984"/>
                              </a:lnTo>
                              <a:lnTo>
                                <a:pt x="2244953" y="2621483"/>
                              </a:lnTo>
                              <a:lnTo>
                                <a:pt x="2249894" y="2609710"/>
                              </a:lnTo>
                              <a:lnTo>
                                <a:pt x="2258187" y="2570861"/>
                              </a:lnTo>
                              <a:lnTo>
                                <a:pt x="2260041" y="2530856"/>
                              </a:lnTo>
                              <a:close/>
                            </a:path>
                            <a:path w="4171315" h="4403725">
                              <a:moveTo>
                                <a:pt x="2903410" y="1898713"/>
                              </a:moveTo>
                              <a:lnTo>
                                <a:pt x="2892425" y="1835531"/>
                              </a:lnTo>
                              <a:lnTo>
                                <a:pt x="2865031" y="1767636"/>
                              </a:lnTo>
                              <a:lnTo>
                                <a:pt x="2845397" y="1732191"/>
                              </a:lnTo>
                              <a:lnTo>
                                <a:pt x="2821559" y="1695831"/>
                              </a:lnTo>
                              <a:lnTo>
                                <a:pt x="2783128" y="1711452"/>
                              </a:lnTo>
                              <a:lnTo>
                                <a:pt x="2667889" y="1758823"/>
                              </a:lnTo>
                              <a:lnTo>
                                <a:pt x="2687942" y="1788236"/>
                              </a:lnTo>
                              <a:lnTo>
                                <a:pt x="2703474" y="1815719"/>
                              </a:lnTo>
                              <a:lnTo>
                                <a:pt x="2714675" y="1841309"/>
                              </a:lnTo>
                              <a:lnTo>
                                <a:pt x="2721737" y="1864995"/>
                              </a:lnTo>
                              <a:lnTo>
                                <a:pt x="2723718" y="1887347"/>
                              </a:lnTo>
                              <a:lnTo>
                                <a:pt x="2719984" y="1908327"/>
                              </a:lnTo>
                              <a:lnTo>
                                <a:pt x="2695575" y="1946402"/>
                              </a:lnTo>
                              <a:lnTo>
                                <a:pt x="2654503" y="1970443"/>
                              </a:lnTo>
                              <a:lnTo>
                                <a:pt x="2630690" y="1973021"/>
                              </a:lnTo>
                              <a:lnTo>
                                <a:pt x="2604770" y="1969135"/>
                              </a:lnTo>
                              <a:lnTo>
                                <a:pt x="2541295" y="1935657"/>
                              </a:lnTo>
                              <a:lnTo>
                                <a:pt x="2502319" y="1904365"/>
                              </a:lnTo>
                              <a:lnTo>
                                <a:pt x="2458593" y="1863217"/>
                              </a:lnTo>
                              <a:lnTo>
                                <a:pt x="2425052" y="1827504"/>
                              </a:lnTo>
                              <a:lnTo>
                                <a:pt x="2398547" y="1794510"/>
                              </a:lnTo>
                              <a:lnTo>
                                <a:pt x="2366518" y="1737233"/>
                              </a:lnTo>
                              <a:lnTo>
                                <a:pt x="2358237" y="1704390"/>
                              </a:lnTo>
                              <a:lnTo>
                                <a:pt x="2358479" y="1674964"/>
                              </a:lnTo>
                              <a:lnTo>
                                <a:pt x="2384171" y="1626108"/>
                              </a:lnTo>
                              <a:lnTo>
                                <a:pt x="2428240" y="1603121"/>
                              </a:lnTo>
                              <a:lnTo>
                                <a:pt x="2441384" y="1601851"/>
                              </a:lnTo>
                              <a:lnTo>
                                <a:pt x="2454986" y="1602105"/>
                              </a:lnTo>
                              <a:lnTo>
                                <a:pt x="2493505" y="1611642"/>
                              </a:lnTo>
                              <a:lnTo>
                                <a:pt x="2532761" y="1632966"/>
                              </a:lnTo>
                              <a:lnTo>
                                <a:pt x="2608199" y="1490218"/>
                              </a:lnTo>
                              <a:lnTo>
                                <a:pt x="2555481" y="1461084"/>
                              </a:lnTo>
                              <a:lnTo>
                                <a:pt x="2505570" y="1440662"/>
                              </a:lnTo>
                              <a:lnTo>
                                <a:pt x="2458529" y="1428572"/>
                              </a:lnTo>
                              <a:lnTo>
                                <a:pt x="2414397" y="1424432"/>
                              </a:lnTo>
                              <a:lnTo>
                                <a:pt x="2372131" y="1429385"/>
                              </a:lnTo>
                              <a:lnTo>
                                <a:pt x="2331237" y="1443939"/>
                              </a:lnTo>
                              <a:lnTo>
                                <a:pt x="2291626" y="1467904"/>
                              </a:lnTo>
                              <a:lnTo>
                                <a:pt x="2253234" y="1501140"/>
                              </a:lnTo>
                              <a:lnTo>
                                <a:pt x="2219223" y="1540979"/>
                              </a:lnTo>
                              <a:lnTo>
                                <a:pt x="2194560" y="1583207"/>
                              </a:lnTo>
                              <a:lnTo>
                                <a:pt x="2179320" y="1627797"/>
                              </a:lnTo>
                              <a:lnTo>
                                <a:pt x="2173617" y="1674749"/>
                              </a:lnTo>
                              <a:lnTo>
                                <a:pt x="2177542" y="1724025"/>
                              </a:lnTo>
                              <a:lnTo>
                                <a:pt x="2188146" y="1766570"/>
                              </a:lnTo>
                              <a:lnTo>
                                <a:pt x="2204936" y="1809699"/>
                              </a:lnTo>
                              <a:lnTo>
                                <a:pt x="2227986" y="1853438"/>
                              </a:lnTo>
                              <a:lnTo>
                                <a:pt x="2257412" y="1897773"/>
                              </a:lnTo>
                              <a:lnTo>
                                <a:pt x="2293315" y="1942693"/>
                              </a:lnTo>
                              <a:lnTo>
                                <a:pt x="2335784" y="1988185"/>
                              </a:lnTo>
                              <a:lnTo>
                                <a:pt x="2376741" y="2026716"/>
                              </a:lnTo>
                              <a:lnTo>
                                <a:pt x="2417153" y="2059787"/>
                              </a:lnTo>
                              <a:lnTo>
                                <a:pt x="2457005" y="2087511"/>
                              </a:lnTo>
                              <a:lnTo>
                                <a:pt x="2496274" y="2110003"/>
                              </a:lnTo>
                              <a:lnTo>
                                <a:pt x="2534920" y="2127377"/>
                              </a:lnTo>
                              <a:lnTo>
                                <a:pt x="2581097" y="2142363"/>
                              </a:lnTo>
                              <a:lnTo>
                                <a:pt x="2623794" y="2150580"/>
                              </a:lnTo>
                              <a:lnTo>
                                <a:pt x="2662948" y="2152332"/>
                              </a:lnTo>
                              <a:lnTo>
                                <a:pt x="2698496" y="2147951"/>
                              </a:lnTo>
                              <a:lnTo>
                                <a:pt x="2765336" y="2120328"/>
                              </a:lnTo>
                              <a:lnTo>
                                <a:pt x="2798305" y="2097024"/>
                              </a:lnTo>
                              <a:lnTo>
                                <a:pt x="2830957" y="2067560"/>
                              </a:lnTo>
                              <a:lnTo>
                                <a:pt x="2874670" y="2013115"/>
                              </a:lnTo>
                              <a:lnTo>
                                <a:pt x="2898013" y="1957324"/>
                              </a:lnTo>
                              <a:lnTo>
                                <a:pt x="2902635" y="1928583"/>
                              </a:lnTo>
                              <a:lnTo>
                                <a:pt x="2903410" y="1898713"/>
                              </a:lnTo>
                              <a:close/>
                            </a:path>
                            <a:path w="4171315" h="4403725">
                              <a:moveTo>
                                <a:pt x="3346399" y="1444447"/>
                              </a:moveTo>
                              <a:lnTo>
                                <a:pt x="3342475" y="1403692"/>
                              </a:lnTo>
                              <a:lnTo>
                                <a:pt x="3332505" y="1362100"/>
                              </a:lnTo>
                              <a:lnTo>
                                <a:pt x="3316224" y="1319657"/>
                              </a:lnTo>
                              <a:lnTo>
                                <a:pt x="3298380" y="1285138"/>
                              </a:lnTo>
                              <a:lnTo>
                                <a:pt x="3275952" y="1249578"/>
                              </a:lnTo>
                              <a:lnTo>
                                <a:pt x="3248901" y="1213040"/>
                              </a:lnTo>
                              <a:lnTo>
                                <a:pt x="3217202" y="1175588"/>
                              </a:lnTo>
                              <a:lnTo>
                                <a:pt x="3180842" y="1137285"/>
                              </a:lnTo>
                              <a:lnTo>
                                <a:pt x="3165538" y="1123035"/>
                              </a:lnTo>
                              <a:lnTo>
                                <a:pt x="3165538" y="1436776"/>
                              </a:lnTo>
                              <a:lnTo>
                                <a:pt x="3162427" y="1462278"/>
                              </a:lnTo>
                              <a:lnTo>
                                <a:pt x="3136011" y="1506601"/>
                              </a:lnTo>
                              <a:lnTo>
                                <a:pt x="3092208" y="1532293"/>
                              </a:lnTo>
                              <a:lnTo>
                                <a:pt x="3066516" y="1535112"/>
                              </a:lnTo>
                              <a:lnTo>
                                <a:pt x="3038221" y="1531112"/>
                              </a:lnTo>
                              <a:lnTo>
                                <a:pt x="2972905" y="1499577"/>
                              </a:lnTo>
                              <a:lnTo>
                                <a:pt x="2935592" y="1470914"/>
                              </a:lnTo>
                              <a:lnTo>
                                <a:pt x="2895219" y="1433449"/>
                              </a:lnTo>
                              <a:lnTo>
                                <a:pt x="2857474" y="1392796"/>
                              </a:lnTo>
                              <a:lnTo>
                                <a:pt x="2828569" y="1355242"/>
                              </a:lnTo>
                              <a:lnTo>
                                <a:pt x="2808376" y="1320850"/>
                              </a:lnTo>
                              <a:lnTo>
                                <a:pt x="2792780" y="1261414"/>
                              </a:lnTo>
                              <a:lnTo>
                                <a:pt x="2795473" y="1235837"/>
                              </a:lnTo>
                              <a:lnTo>
                                <a:pt x="2820162" y="1193038"/>
                              </a:lnTo>
                              <a:lnTo>
                                <a:pt x="2864167" y="1166964"/>
                              </a:lnTo>
                              <a:lnTo>
                                <a:pt x="2889910" y="1163624"/>
                              </a:lnTo>
                              <a:lnTo>
                                <a:pt x="2918079" y="1166876"/>
                              </a:lnTo>
                              <a:lnTo>
                                <a:pt x="2981617" y="1196771"/>
                              </a:lnTo>
                              <a:lnTo>
                                <a:pt x="3017101" y="1223619"/>
                              </a:lnTo>
                              <a:lnTo>
                                <a:pt x="3054985" y="1258570"/>
                              </a:lnTo>
                              <a:lnTo>
                                <a:pt x="3096399" y="1302829"/>
                              </a:lnTo>
                              <a:lnTo>
                                <a:pt x="3127959" y="1342745"/>
                              </a:lnTo>
                              <a:lnTo>
                                <a:pt x="3149727" y="1378229"/>
                              </a:lnTo>
                              <a:lnTo>
                                <a:pt x="3165538" y="1436776"/>
                              </a:lnTo>
                              <a:lnTo>
                                <a:pt x="3165538" y="1123035"/>
                              </a:lnTo>
                              <a:lnTo>
                                <a:pt x="3136455" y="1095921"/>
                              </a:lnTo>
                              <a:lnTo>
                                <a:pt x="3092335" y="1060919"/>
                              </a:lnTo>
                              <a:lnTo>
                                <a:pt x="3048520" y="1032230"/>
                              </a:lnTo>
                              <a:lnTo>
                                <a:pt x="3004997" y="1009789"/>
                              </a:lnTo>
                              <a:lnTo>
                                <a:pt x="2961805" y="993521"/>
                              </a:lnTo>
                              <a:lnTo>
                                <a:pt x="2918968" y="983361"/>
                              </a:lnTo>
                              <a:lnTo>
                                <a:pt x="2868879" y="979881"/>
                              </a:lnTo>
                              <a:lnTo>
                                <a:pt x="2821051" y="986269"/>
                              </a:lnTo>
                              <a:lnTo>
                                <a:pt x="2775470" y="1002411"/>
                              </a:lnTo>
                              <a:lnTo>
                                <a:pt x="2732113" y="1028153"/>
                              </a:lnTo>
                              <a:lnTo>
                                <a:pt x="2691003" y="1063371"/>
                              </a:lnTo>
                              <a:lnTo>
                                <a:pt x="2656713" y="1103668"/>
                              </a:lnTo>
                              <a:lnTo>
                                <a:pt x="2631808" y="1146606"/>
                              </a:lnTo>
                              <a:lnTo>
                                <a:pt x="2616403" y="1192149"/>
                              </a:lnTo>
                              <a:lnTo>
                                <a:pt x="2610612" y="1240243"/>
                              </a:lnTo>
                              <a:lnTo>
                                <a:pt x="2614549" y="1290828"/>
                              </a:lnTo>
                              <a:lnTo>
                                <a:pt x="2624975" y="1334223"/>
                              </a:lnTo>
                              <a:lnTo>
                                <a:pt x="2641587" y="1377988"/>
                              </a:lnTo>
                              <a:lnTo>
                                <a:pt x="2664422" y="1422120"/>
                              </a:lnTo>
                              <a:lnTo>
                                <a:pt x="2693543" y="1466570"/>
                              </a:lnTo>
                              <a:lnTo>
                                <a:pt x="2729014" y="1511287"/>
                              </a:lnTo>
                              <a:lnTo>
                                <a:pt x="2770886" y="1556258"/>
                              </a:lnTo>
                              <a:lnTo>
                                <a:pt x="2809443" y="1592554"/>
                              </a:lnTo>
                              <a:lnTo>
                                <a:pt x="2847683" y="1624050"/>
                              </a:lnTo>
                              <a:lnTo>
                                <a:pt x="2885554" y="1650809"/>
                              </a:lnTo>
                              <a:lnTo>
                                <a:pt x="2923006" y="1672856"/>
                              </a:lnTo>
                              <a:lnTo>
                                <a:pt x="2959989" y="1690243"/>
                              </a:lnTo>
                              <a:lnTo>
                                <a:pt x="3004743" y="1705635"/>
                              </a:lnTo>
                              <a:lnTo>
                                <a:pt x="3047403" y="1714271"/>
                              </a:lnTo>
                              <a:lnTo>
                                <a:pt x="3087941" y="1716443"/>
                              </a:lnTo>
                              <a:lnTo>
                                <a:pt x="3126359" y="1712468"/>
                              </a:lnTo>
                              <a:lnTo>
                                <a:pt x="3198838" y="1684972"/>
                              </a:lnTo>
                              <a:lnTo>
                                <a:pt x="3233864" y="1661007"/>
                              </a:lnTo>
                              <a:lnTo>
                                <a:pt x="3268091" y="1630426"/>
                              </a:lnTo>
                              <a:lnTo>
                                <a:pt x="3297872" y="1596301"/>
                              </a:lnTo>
                              <a:lnTo>
                                <a:pt x="3320643" y="1560601"/>
                              </a:lnTo>
                              <a:lnTo>
                                <a:pt x="3336252" y="1523288"/>
                              </a:lnTo>
                              <a:lnTo>
                                <a:pt x="3344545" y="1484376"/>
                              </a:lnTo>
                              <a:lnTo>
                                <a:pt x="3346399" y="1444447"/>
                              </a:lnTo>
                              <a:close/>
                            </a:path>
                            <a:path w="4171315" h="4403725">
                              <a:moveTo>
                                <a:pt x="3651758" y="1227975"/>
                              </a:moveTo>
                              <a:lnTo>
                                <a:pt x="3446399" y="1022604"/>
                              </a:lnTo>
                              <a:lnTo>
                                <a:pt x="3514090" y="954913"/>
                              </a:lnTo>
                              <a:lnTo>
                                <a:pt x="3546233" y="916901"/>
                              </a:lnTo>
                              <a:lnTo>
                                <a:pt x="3549700" y="910590"/>
                              </a:lnTo>
                              <a:lnTo>
                                <a:pt x="3567722" y="877760"/>
                              </a:lnTo>
                              <a:lnTo>
                                <a:pt x="3578428" y="837577"/>
                              </a:lnTo>
                              <a:lnTo>
                                <a:pt x="3578225" y="796417"/>
                              </a:lnTo>
                              <a:lnTo>
                                <a:pt x="3568128" y="754748"/>
                              </a:lnTo>
                              <a:lnTo>
                                <a:pt x="3549053" y="713003"/>
                              </a:lnTo>
                              <a:lnTo>
                                <a:pt x="3520910" y="671169"/>
                              </a:lnTo>
                              <a:lnTo>
                                <a:pt x="3483610" y="629285"/>
                              </a:lnTo>
                              <a:lnTo>
                                <a:pt x="3443084" y="593026"/>
                              </a:lnTo>
                              <a:lnTo>
                                <a:pt x="3403054" y="565632"/>
                              </a:lnTo>
                              <a:lnTo>
                                <a:pt x="3397504" y="563016"/>
                              </a:lnTo>
                              <a:lnTo>
                                <a:pt x="3397504" y="812673"/>
                              </a:lnTo>
                              <a:lnTo>
                                <a:pt x="3396742" y="828903"/>
                              </a:lnTo>
                              <a:lnTo>
                                <a:pt x="3390925" y="845553"/>
                              </a:lnTo>
                              <a:lnTo>
                                <a:pt x="3380206" y="862672"/>
                              </a:lnTo>
                              <a:lnTo>
                                <a:pt x="3364738" y="880237"/>
                              </a:lnTo>
                              <a:lnTo>
                                <a:pt x="3334385" y="910590"/>
                              </a:lnTo>
                              <a:lnTo>
                                <a:pt x="3210941" y="787146"/>
                              </a:lnTo>
                              <a:lnTo>
                                <a:pt x="3246120" y="751967"/>
                              </a:lnTo>
                              <a:lnTo>
                                <a:pt x="3263239" y="737082"/>
                              </a:lnTo>
                              <a:lnTo>
                                <a:pt x="3279800" y="727290"/>
                              </a:lnTo>
                              <a:lnTo>
                                <a:pt x="3295840" y="722553"/>
                              </a:lnTo>
                              <a:lnTo>
                                <a:pt x="3311398" y="722884"/>
                              </a:lnTo>
                              <a:lnTo>
                                <a:pt x="3354844" y="742772"/>
                              </a:lnTo>
                              <a:lnTo>
                                <a:pt x="3388779" y="782459"/>
                              </a:lnTo>
                              <a:lnTo>
                                <a:pt x="3397504" y="812673"/>
                              </a:lnTo>
                              <a:lnTo>
                                <a:pt x="3397504" y="563016"/>
                              </a:lnTo>
                              <a:lnTo>
                                <a:pt x="3363557" y="546963"/>
                              </a:lnTo>
                              <a:lnTo>
                                <a:pt x="3324606" y="536829"/>
                              </a:lnTo>
                              <a:lnTo>
                                <a:pt x="3286480" y="536219"/>
                              </a:lnTo>
                              <a:lnTo>
                                <a:pt x="3249650" y="545515"/>
                              </a:lnTo>
                              <a:lnTo>
                                <a:pt x="3214141" y="564603"/>
                              </a:lnTo>
                              <a:lnTo>
                                <a:pt x="3179953" y="593344"/>
                              </a:lnTo>
                              <a:lnTo>
                                <a:pt x="2974340" y="798830"/>
                              </a:lnTo>
                              <a:lnTo>
                                <a:pt x="3527552" y="1352042"/>
                              </a:lnTo>
                              <a:lnTo>
                                <a:pt x="3651758" y="1227975"/>
                              </a:lnTo>
                              <a:close/>
                            </a:path>
                            <a:path w="4171315" h="4403725">
                              <a:moveTo>
                                <a:pt x="4170934" y="708660"/>
                              </a:moveTo>
                              <a:lnTo>
                                <a:pt x="3939159" y="477012"/>
                              </a:lnTo>
                              <a:lnTo>
                                <a:pt x="3905631" y="381711"/>
                              </a:lnTo>
                              <a:lnTo>
                                <a:pt x="3806812" y="95250"/>
                              </a:lnTo>
                              <a:lnTo>
                                <a:pt x="3773297" y="0"/>
                              </a:lnTo>
                              <a:lnTo>
                                <a:pt x="3636645" y="136652"/>
                              </a:lnTo>
                              <a:lnTo>
                                <a:pt x="3654463" y="181178"/>
                              </a:lnTo>
                              <a:lnTo>
                                <a:pt x="3707142" y="315112"/>
                              </a:lnTo>
                              <a:lnTo>
                                <a:pt x="3742690" y="404241"/>
                              </a:lnTo>
                              <a:lnTo>
                                <a:pt x="3698176" y="386359"/>
                              </a:lnTo>
                              <a:lnTo>
                                <a:pt x="3564356" y="333527"/>
                              </a:lnTo>
                              <a:lnTo>
                                <a:pt x="3475355" y="297942"/>
                              </a:lnTo>
                              <a:lnTo>
                                <a:pt x="3338068" y="435229"/>
                              </a:lnTo>
                              <a:lnTo>
                                <a:pt x="3433381" y="468693"/>
                              </a:lnTo>
                              <a:lnTo>
                                <a:pt x="3720007" y="567385"/>
                              </a:lnTo>
                              <a:lnTo>
                                <a:pt x="3815334" y="600837"/>
                              </a:lnTo>
                              <a:lnTo>
                                <a:pt x="4047109" y="832485"/>
                              </a:lnTo>
                              <a:lnTo>
                                <a:pt x="417093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79.880005pt;margin-top:104.019974pt;width:328.45pt;height:346.75pt;mso-position-horizontal-relative:page;mso-position-vertical-relative:paragraph;z-index:-25169408" id="docshape301" coordorigin="3598,2080" coordsize="6569,6935" path="m4153,8761l3966,8574,3712,8828,3899,9015,4153,8761xm4664,8699l3793,7827,3598,8022,4469,8894,4664,8699xm4998,8364l4675,8041,4781,7934,4832,7875,4837,7865,4866,7813,4883,7750,4882,7685,4866,7619,4843,7568,4836,7554,4792,7488,4733,7422,4670,7365,4607,7321,4598,7317,4598,7710,4597,7736,4587,7762,4570,7789,4546,7817,4498,7865,4304,7670,4359,7615,4386,7591,4412,7576,4438,7568,4462,7569,4486,7575,4509,7586,4531,7600,4552,7619,4570,7640,4584,7663,4593,7686,4598,7710,4598,7317,4544,7292,4483,7276,4423,7275,4365,7290,4309,7320,4255,7365,3931,7689,4803,8560,4998,8364xm5788,7575l5132,6919,5330,6720,5115,6505,4524,7097,4739,7312,4937,7113,5593,7769,5788,7575xm6423,6939l5767,6283,5966,6085,5751,5870,5159,6461,5374,6676,5573,6478,6229,7134,6423,6939xm7157,6066l7151,6002,7135,5936,7109,5869,7081,5815,7046,5759,7003,5702,6953,5643,6935,5624,6896,5582,6872,5560,6872,6054,6867,6094,6851,6131,6825,6164,6793,6189,6756,6204,6716,6209,6671,6202,6622,6184,6569,6153,6510,6108,6446,6049,6387,5985,6341,5925,6309,5871,6291,5822,6285,5778,6289,5737,6304,5702,6328,5670,6361,5644,6397,5629,6438,5624,6482,5629,6530,5646,6582,5676,6638,5718,6698,5773,6763,5843,6813,5906,6847,5962,6866,6010,6872,6054,6872,5560,6826,5517,6756,5462,6687,5417,6619,5382,6551,5356,6483,5340,6405,5334,6329,5344,6258,5370,6189,5410,6125,5466,6071,5529,6031,5597,6007,5669,5998,5744,6004,5824,6021,5892,6047,5961,6083,6031,6129,6101,6184,6171,6250,6242,6311,6299,6371,6349,6431,6391,6490,6426,6548,6453,6619,6477,6686,6491,6750,6494,6810,6488,6868,6472,6924,6445,6979,6407,7033,6359,7080,6305,7116,6249,7133,6209,7141,6190,7154,6129,7157,6066xm8170,5070l8165,5022,8153,4971,8134,4918,8109,4864,8079,4808,8041,4751,7980,4776,7799,4850,7831,4897,7855,4940,7873,4980,7884,5017,7887,5053,7881,5086,7866,5117,7843,5146,7812,5169,7778,5183,7740,5188,7700,5181,7653,5163,7600,5129,7538,5079,7469,5015,7417,4958,7375,4906,7344,4859,7324,4816,7311,4764,7312,4718,7325,4677,7352,4641,7367,4628,7384,4618,7402,4610,7422,4605,7442,4603,7464,4603,7486,4607,7509,4613,7524,4618,7542,4627,7563,4638,7586,4652,7705,4427,7622,4381,7543,4349,7469,4330,7400,4324,7333,4331,7269,4354,7206,4392,7146,4444,7092,4507,7054,4574,7030,4644,7021,4718,7027,4795,7044,4862,7070,4930,7106,4999,7153,5069,7209,5140,7276,5211,7341,5272,7404,5324,7467,5368,7529,5403,7590,5431,7662,5454,7730,5467,7791,5470,7847,5463,7900,5446,7952,5419,8004,5383,8056,5336,8094,5294,8125,5251,8147,5207,8161,5163,8169,5118,8170,5070xm8868,4355l8861,4291,8846,4225,8820,4159,8792,4104,8757,4048,8714,3991,8664,3932,8646,3913,8607,3871,8583,3849,8583,4343,8578,4383,8562,4420,8536,4453,8504,4478,8467,4493,8427,4498,8382,4492,8333,4473,8279,4442,8221,4397,8157,4338,8098,4274,8052,4215,8020,4160,8002,4111,7996,4067,8000,4027,8014,3991,8039,3959,8071,3934,8108,3918,8149,3913,8193,3918,8241,3935,8293,3965,8349,4007,8409,4062,8474,4132,8524,4195,8558,4251,8577,4300,8583,4343,8583,3849,8537,3806,8467,3751,8398,3706,8330,3671,8262,3645,8194,3629,8116,3624,8040,3634,7968,3659,7900,3700,7835,3755,7781,3818,7742,3886,7718,3958,7709,4034,7715,4113,7731,4182,7758,4250,7794,4320,7839,4390,7895,4460,7961,4531,8022,4588,8082,4638,8142,4680,8201,4715,8259,4742,8329,4766,8397,4780,8461,4783,8521,4777,8579,4761,8635,4734,8690,4696,8744,4648,8791,4594,8827,4538,8844,4498,8852,4479,8865,4418,8868,4355xm9348,4014l9025,3691,9132,3584,9182,3524,9188,3514,9216,3463,9233,3399,9233,3335,9217,3269,9194,3218,9187,3203,9142,3137,9084,3071,9020,3014,8957,2971,8948,2967,8948,3360,8947,3386,8938,3412,8921,3439,8896,3467,8849,3514,8654,3320,8710,3265,8737,3241,8763,3226,8788,3218,8812,3219,8836,3225,8859,3236,8881,3250,8902,3269,8920,3290,8934,3313,8943,3336,8948,3360,8948,2967,8895,2942,8833,2926,8773,2925,8715,2939,8659,2970,8605,3015,8282,3338,9153,4210,9348,4014xm10166,3196l9801,2832,9748,2682,9593,2230,9540,2080,9325,2296,9353,2366,9436,2577,9492,2717,9422,2689,9211,2606,9071,2550,8854,2766,9005,2818,9456,2974,9606,3027,9971,3391,10166,3196xe" filled="true" fillcolor="#c0c0c0" stroked="false">
                <v:path arrowok="t"/>
                <v:fill opacity="32896f" type="solid"/>
                <w10:wrap type="none"/>
              </v:shape>
            </w:pict>
          </mc:Fallback>
        </mc:AlternateContent>
      </w:r>
      <w:r>
        <w:rPr>
          <w:b/>
          <w:sz w:val="25"/>
        </w:rPr>
        <w:t>DIAGNOSTIC</w:t>
      </w:r>
      <w:r>
        <w:rPr>
          <w:b/>
          <w:spacing w:val="-13"/>
          <w:sz w:val="25"/>
        </w:rPr>
        <w:t> </w:t>
      </w:r>
      <w:r>
        <w:rPr>
          <w:b/>
          <w:sz w:val="25"/>
        </w:rPr>
        <w:t>TEST</w:t>
      </w:r>
      <w:r>
        <w:rPr>
          <w:b/>
          <w:spacing w:val="-10"/>
          <w:sz w:val="25"/>
        </w:rPr>
        <w:t> </w:t>
      </w:r>
      <w:r>
        <w:rPr>
          <w:b/>
          <w:spacing w:val="-2"/>
          <w:sz w:val="25"/>
        </w:rPr>
        <w:t>RESULTS</w:t>
      </w:r>
    </w:p>
    <w:p>
      <w:pPr>
        <w:pStyle w:val="BodyText"/>
        <w:ind w:left="0"/>
        <w:rPr>
          <w:b/>
          <w:sz w:val="20"/>
        </w:rPr>
      </w:pPr>
    </w:p>
    <w:p>
      <w:pPr>
        <w:pStyle w:val="BodyText"/>
        <w:ind w:left="0"/>
        <w:rPr>
          <w:b/>
          <w:sz w:val="20"/>
        </w:rPr>
      </w:pPr>
    </w:p>
    <w:p>
      <w:pPr>
        <w:pStyle w:val="BodyText"/>
        <w:spacing w:before="189"/>
        <w:ind w:left="0"/>
        <w:rPr>
          <w:b/>
          <w:sz w:val="20"/>
        </w:r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1"/>
        <w:gridCol w:w="1491"/>
        <w:gridCol w:w="940"/>
        <w:gridCol w:w="884"/>
      </w:tblGrid>
      <w:tr>
        <w:trPr>
          <w:trHeight w:val="289" w:hRule="atLeast"/>
        </w:trPr>
        <w:tc>
          <w:tcPr>
            <w:tcW w:w="6531" w:type="dxa"/>
            <w:gridSpan w:val="5"/>
            <w:tcBorders>
              <w:bottom w:val="double" w:sz="6" w:space="0" w:color="000000"/>
            </w:tcBorders>
          </w:tcPr>
          <w:p>
            <w:pPr>
              <w:pStyle w:val="TableParagraph"/>
              <w:spacing w:line="201" w:lineRule="exact" w:before="0"/>
              <w:rPr>
                <w:sz w:val="18"/>
              </w:rPr>
            </w:pPr>
            <w:r>
              <w:rPr>
                <w:sz w:val="18"/>
              </w:rPr>
              <w:t>Breusch-Godfrey</w:t>
            </w:r>
            <w:r>
              <w:rPr>
                <w:spacing w:val="-4"/>
                <w:sz w:val="18"/>
              </w:rPr>
              <w:t> </w:t>
            </w:r>
            <w:r>
              <w:rPr>
                <w:sz w:val="18"/>
              </w:rPr>
              <w:t>Serial</w:t>
            </w:r>
            <w:r>
              <w:rPr>
                <w:spacing w:val="-7"/>
                <w:sz w:val="18"/>
              </w:rPr>
              <w:t> </w:t>
            </w:r>
            <w:r>
              <w:rPr>
                <w:sz w:val="18"/>
              </w:rPr>
              <w:t>Correlation</w:t>
            </w:r>
            <w:r>
              <w:rPr>
                <w:spacing w:val="-7"/>
                <w:sz w:val="18"/>
              </w:rPr>
              <w:t> </w:t>
            </w:r>
            <w:r>
              <w:rPr>
                <w:sz w:val="18"/>
              </w:rPr>
              <w:t>LM</w:t>
            </w:r>
            <w:r>
              <w:rPr>
                <w:spacing w:val="-6"/>
                <w:sz w:val="18"/>
              </w:rPr>
              <w:t> </w:t>
            </w:r>
            <w:r>
              <w:rPr>
                <w:spacing w:val="-4"/>
                <w:sz w:val="18"/>
              </w:rPr>
              <w:t>Test:</w:t>
            </w:r>
          </w:p>
        </w:tc>
      </w:tr>
      <w:tr>
        <w:trPr>
          <w:trHeight w:val="327" w:hRule="atLeast"/>
        </w:trPr>
        <w:tc>
          <w:tcPr>
            <w:tcW w:w="1925" w:type="dxa"/>
            <w:tcBorders>
              <w:top w:val="double" w:sz="6" w:space="0" w:color="000000"/>
            </w:tcBorders>
          </w:tcPr>
          <w:p>
            <w:pPr>
              <w:pStyle w:val="TableParagraph"/>
              <w:spacing w:before="108"/>
              <w:rPr>
                <w:sz w:val="18"/>
              </w:rPr>
            </w:pPr>
            <w:r>
              <w:rPr>
                <w:spacing w:val="-2"/>
                <w:sz w:val="18"/>
              </w:rPr>
              <w:t>F-statistic</w:t>
            </w:r>
          </w:p>
        </w:tc>
        <w:tc>
          <w:tcPr>
            <w:tcW w:w="1291" w:type="dxa"/>
            <w:tcBorders>
              <w:top w:val="double" w:sz="6" w:space="0" w:color="000000"/>
            </w:tcBorders>
          </w:tcPr>
          <w:p>
            <w:pPr>
              <w:pStyle w:val="TableParagraph"/>
              <w:spacing w:before="108"/>
              <w:ind w:right="104"/>
              <w:jc w:val="right"/>
              <w:rPr>
                <w:sz w:val="18"/>
              </w:rPr>
            </w:pPr>
            <w:r>
              <w:rPr>
                <w:spacing w:val="-2"/>
                <w:sz w:val="18"/>
              </w:rPr>
              <w:t>4.507049</w:t>
            </w:r>
          </w:p>
        </w:tc>
        <w:tc>
          <w:tcPr>
            <w:tcW w:w="1491" w:type="dxa"/>
            <w:tcBorders>
              <w:top w:val="double" w:sz="6" w:space="0" w:color="000000"/>
            </w:tcBorders>
          </w:tcPr>
          <w:p>
            <w:pPr>
              <w:pStyle w:val="TableParagraph"/>
              <w:spacing w:before="108"/>
              <w:ind w:left="106"/>
              <w:rPr>
                <w:sz w:val="18"/>
              </w:rPr>
            </w:pPr>
            <w:r>
              <w:rPr>
                <w:sz w:val="18"/>
              </w:rPr>
              <w:t>Prob.</w:t>
            </w:r>
            <w:r>
              <w:rPr>
                <w:spacing w:val="-4"/>
                <w:sz w:val="18"/>
              </w:rPr>
              <w:t> </w:t>
            </w:r>
            <w:r>
              <w:rPr>
                <w:spacing w:val="-2"/>
                <w:sz w:val="18"/>
              </w:rPr>
              <w:t>F(2,24)</w:t>
            </w:r>
          </w:p>
        </w:tc>
        <w:tc>
          <w:tcPr>
            <w:tcW w:w="940" w:type="dxa"/>
            <w:tcBorders>
              <w:top w:val="double" w:sz="6" w:space="0" w:color="000000"/>
            </w:tcBorders>
          </w:tcPr>
          <w:p>
            <w:pPr>
              <w:pStyle w:val="TableParagraph"/>
              <w:spacing w:line="240" w:lineRule="auto" w:before="0"/>
              <w:rPr>
                <w:rFonts w:ascii="Times New Roman"/>
                <w:sz w:val="18"/>
              </w:rPr>
            </w:pPr>
          </w:p>
        </w:tc>
        <w:tc>
          <w:tcPr>
            <w:tcW w:w="884" w:type="dxa"/>
            <w:tcBorders>
              <w:top w:val="double" w:sz="6" w:space="0" w:color="000000"/>
            </w:tcBorders>
          </w:tcPr>
          <w:p>
            <w:pPr>
              <w:pStyle w:val="TableParagraph"/>
              <w:spacing w:before="108"/>
              <w:ind w:right="5"/>
              <w:jc w:val="right"/>
              <w:rPr>
                <w:sz w:val="18"/>
              </w:rPr>
            </w:pPr>
            <w:r>
              <w:rPr>
                <w:spacing w:val="-2"/>
                <w:sz w:val="18"/>
              </w:rPr>
              <w:t>0.1218</w:t>
            </w:r>
          </w:p>
        </w:tc>
      </w:tr>
      <w:tr>
        <w:trPr>
          <w:trHeight w:val="303" w:hRule="atLeast"/>
        </w:trPr>
        <w:tc>
          <w:tcPr>
            <w:tcW w:w="1925" w:type="dxa"/>
            <w:tcBorders>
              <w:bottom w:val="double" w:sz="6" w:space="0" w:color="000000"/>
            </w:tcBorders>
          </w:tcPr>
          <w:p>
            <w:pPr>
              <w:pStyle w:val="TableParagraph"/>
              <w:spacing w:line="240" w:lineRule="auto"/>
              <w:rPr>
                <w:sz w:val="18"/>
              </w:rPr>
            </w:pPr>
            <w:r>
              <w:rPr>
                <w:spacing w:val="-2"/>
                <w:sz w:val="18"/>
              </w:rPr>
              <w:t>Obs*R-squared</w:t>
            </w:r>
          </w:p>
        </w:tc>
        <w:tc>
          <w:tcPr>
            <w:tcW w:w="1291" w:type="dxa"/>
            <w:tcBorders>
              <w:bottom w:val="double" w:sz="6" w:space="0" w:color="000000"/>
            </w:tcBorders>
          </w:tcPr>
          <w:p>
            <w:pPr>
              <w:pStyle w:val="TableParagraph"/>
              <w:spacing w:line="240" w:lineRule="auto"/>
              <w:ind w:right="104"/>
              <w:jc w:val="right"/>
              <w:rPr>
                <w:sz w:val="18"/>
              </w:rPr>
            </w:pPr>
            <w:r>
              <w:rPr>
                <w:spacing w:val="-2"/>
                <w:sz w:val="18"/>
              </w:rPr>
              <w:t>9.556325</w:t>
            </w:r>
          </w:p>
        </w:tc>
        <w:tc>
          <w:tcPr>
            <w:tcW w:w="2431" w:type="dxa"/>
            <w:gridSpan w:val="2"/>
            <w:tcBorders>
              <w:bottom w:val="double" w:sz="6" w:space="0" w:color="000000"/>
            </w:tcBorders>
          </w:tcPr>
          <w:p>
            <w:pPr>
              <w:pStyle w:val="TableParagraph"/>
              <w:spacing w:line="240" w:lineRule="auto"/>
              <w:ind w:left="106"/>
              <w:rPr>
                <w:sz w:val="18"/>
              </w:rPr>
            </w:pPr>
            <w:r>
              <w:rPr>
                <w:sz w:val="18"/>
              </w:rPr>
              <w:t>Prob.</w:t>
            </w:r>
            <w:r>
              <w:rPr>
                <w:spacing w:val="-7"/>
                <w:sz w:val="18"/>
              </w:rPr>
              <w:t> </w:t>
            </w:r>
            <w:r>
              <w:rPr>
                <w:sz w:val="18"/>
              </w:rPr>
              <w:t>Chi-</w:t>
            </w:r>
            <w:r>
              <w:rPr>
                <w:spacing w:val="-2"/>
                <w:sz w:val="18"/>
              </w:rPr>
              <w:t>Square(2)</w:t>
            </w:r>
          </w:p>
        </w:tc>
        <w:tc>
          <w:tcPr>
            <w:tcW w:w="884" w:type="dxa"/>
            <w:tcBorders>
              <w:bottom w:val="double" w:sz="6" w:space="0" w:color="000000"/>
            </w:tcBorders>
          </w:tcPr>
          <w:p>
            <w:pPr>
              <w:pStyle w:val="TableParagraph"/>
              <w:spacing w:line="240" w:lineRule="auto"/>
              <w:ind w:right="7"/>
              <w:jc w:val="right"/>
              <w:rPr>
                <w:sz w:val="18"/>
              </w:rPr>
            </w:pPr>
            <w:r>
              <w:rPr>
                <w:spacing w:val="-2"/>
                <w:sz w:val="18"/>
              </w:rPr>
              <w:t>0.1084</w:t>
            </w:r>
          </w:p>
        </w:tc>
      </w:tr>
      <w:tr>
        <w:trPr>
          <w:trHeight w:val="551" w:hRule="atLeast"/>
        </w:trPr>
        <w:tc>
          <w:tcPr>
            <w:tcW w:w="1925" w:type="dxa"/>
            <w:tcBorders>
              <w:top w:val="double" w:sz="6" w:space="0" w:color="000000"/>
            </w:tcBorders>
          </w:tcPr>
          <w:p>
            <w:pPr>
              <w:pStyle w:val="TableParagraph"/>
              <w:spacing w:line="240" w:lineRule="auto" w:before="124"/>
              <w:rPr>
                <w:rFonts w:ascii="Times New Roman"/>
                <w:b/>
                <w:sz w:val="18"/>
              </w:rPr>
            </w:pPr>
          </w:p>
          <w:p>
            <w:pPr>
              <w:pStyle w:val="TableParagraph"/>
              <w:spacing w:before="1"/>
              <w:rPr>
                <w:sz w:val="18"/>
              </w:rPr>
            </w:pPr>
            <w:r>
              <w:rPr>
                <w:sz w:val="18"/>
              </w:rPr>
              <w:t>Test </w:t>
            </w:r>
            <w:r>
              <w:rPr>
                <w:spacing w:val="-2"/>
                <w:sz w:val="18"/>
              </w:rPr>
              <w:t>Equation:</w:t>
            </w:r>
          </w:p>
        </w:tc>
        <w:tc>
          <w:tcPr>
            <w:tcW w:w="1291" w:type="dxa"/>
            <w:tcBorders>
              <w:top w:val="double" w:sz="6" w:space="0" w:color="000000"/>
            </w:tcBorders>
          </w:tcPr>
          <w:p>
            <w:pPr>
              <w:pStyle w:val="TableParagraph"/>
              <w:spacing w:line="240" w:lineRule="auto" w:before="0"/>
              <w:rPr>
                <w:rFonts w:ascii="Times New Roman"/>
                <w:sz w:val="18"/>
              </w:rPr>
            </w:pPr>
          </w:p>
        </w:tc>
        <w:tc>
          <w:tcPr>
            <w:tcW w:w="1491" w:type="dxa"/>
            <w:tcBorders>
              <w:top w:val="double" w:sz="6" w:space="0" w:color="000000"/>
            </w:tcBorders>
          </w:tcPr>
          <w:p>
            <w:pPr>
              <w:pStyle w:val="TableParagraph"/>
              <w:spacing w:line="240" w:lineRule="auto" w:before="0"/>
              <w:rPr>
                <w:rFonts w:ascii="Times New Roman"/>
                <w:sz w:val="18"/>
              </w:rPr>
            </w:pPr>
          </w:p>
        </w:tc>
        <w:tc>
          <w:tcPr>
            <w:tcW w:w="940" w:type="dxa"/>
            <w:tcBorders>
              <w:top w:val="double" w:sz="6" w:space="0" w:color="000000"/>
            </w:tcBorders>
          </w:tcPr>
          <w:p>
            <w:pPr>
              <w:pStyle w:val="TableParagraph"/>
              <w:spacing w:line="240" w:lineRule="auto" w:before="0"/>
              <w:rPr>
                <w:rFonts w:ascii="Times New Roman"/>
                <w:sz w:val="18"/>
              </w:rPr>
            </w:pPr>
          </w:p>
        </w:tc>
        <w:tc>
          <w:tcPr>
            <w:tcW w:w="884" w:type="dxa"/>
            <w:tcBorders>
              <w:top w:val="double" w:sz="6" w:space="0" w:color="000000"/>
            </w:tcBorders>
          </w:tcPr>
          <w:p>
            <w:pPr>
              <w:pStyle w:val="TableParagraph"/>
              <w:spacing w:line="240" w:lineRule="auto" w:before="0"/>
              <w:rPr>
                <w:rFonts w:ascii="Times New Roman"/>
                <w:sz w:val="18"/>
              </w:rPr>
            </w:pPr>
          </w:p>
        </w:tc>
      </w:tr>
      <w:tr>
        <w:trPr>
          <w:trHeight w:val="225" w:hRule="atLeast"/>
        </w:trPr>
        <w:tc>
          <w:tcPr>
            <w:tcW w:w="6531" w:type="dxa"/>
            <w:gridSpan w:val="5"/>
          </w:tcPr>
          <w:p>
            <w:pPr>
              <w:pStyle w:val="TableParagraph"/>
              <w:rPr>
                <w:sz w:val="18"/>
              </w:rPr>
            </w:pPr>
            <w:r>
              <w:rPr>
                <w:spacing w:val="-2"/>
                <w:sz w:val="18"/>
              </w:rPr>
              <w:t>Dependent</w:t>
            </w:r>
            <w:r>
              <w:rPr>
                <w:spacing w:val="4"/>
                <w:sz w:val="18"/>
              </w:rPr>
              <w:t> </w:t>
            </w:r>
            <w:r>
              <w:rPr>
                <w:spacing w:val="-2"/>
                <w:sz w:val="18"/>
              </w:rPr>
              <w:t>Variable:</w:t>
            </w:r>
            <w:r>
              <w:rPr>
                <w:spacing w:val="6"/>
                <w:sz w:val="18"/>
              </w:rPr>
              <w:t> </w:t>
            </w:r>
            <w:r>
              <w:rPr>
                <w:spacing w:val="-2"/>
                <w:sz w:val="18"/>
              </w:rPr>
              <w:t>RESID</w:t>
            </w:r>
          </w:p>
        </w:tc>
      </w:tr>
      <w:tr>
        <w:trPr>
          <w:trHeight w:val="224" w:hRule="atLeast"/>
        </w:trPr>
        <w:tc>
          <w:tcPr>
            <w:tcW w:w="1925" w:type="dxa"/>
          </w:tcPr>
          <w:p>
            <w:pPr>
              <w:pStyle w:val="TableParagraph"/>
              <w:spacing w:line="198" w:lineRule="exact"/>
              <w:rPr>
                <w:sz w:val="18"/>
              </w:rPr>
            </w:pPr>
            <w:r>
              <w:rPr>
                <w:sz w:val="18"/>
              </w:rPr>
              <w:t>Method:</w:t>
            </w:r>
            <w:r>
              <w:rPr>
                <w:spacing w:val="-9"/>
                <w:sz w:val="18"/>
              </w:rPr>
              <w:t> </w:t>
            </w:r>
            <w:r>
              <w:rPr>
                <w:sz w:val="18"/>
              </w:rPr>
              <w:t>Least</w:t>
            </w:r>
            <w:r>
              <w:rPr>
                <w:spacing w:val="-6"/>
                <w:sz w:val="18"/>
              </w:rPr>
              <w:t> </w:t>
            </w:r>
            <w:r>
              <w:rPr>
                <w:spacing w:val="-2"/>
                <w:sz w:val="18"/>
              </w:rPr>
              <w:t>Squares</w:t>
            </w:r>
          </w:p>
        </w:tc>
        <w:tc>
          <w:tcPr>
            <w:tcW w:w="1291"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224" w:hRule="atLeast"/>
        </w:trPr>
        <w:tc>
          <w:tcPr>
            <w:tcW w:w="6531" w:type="dxa"/>
            <w:gridSpan w:val="5"/>
          </w:tcPr>
          <w:p>
            <w:pPr>
              <w:pStyle w:val="TableParagraph"/>
              <w:spacing w:line="200" w:lineRule="exact" w:before="5"/>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07:43</w:t>
            </w:r>
          </w:p>
        </w:tc>
      </w:tr>
      <w:tr>
        <w:trPr>
          <w:trHeight w:val="225" w:hRule="atLeast"/>
        </w:trPr>
        <w:tc>
          <w:tcPr>
            <w:tcW w:w="1925" w:type="dxa"/>
          </w:tcPr>
          <w:p>
            <w:pPr>
              <w:pStyle w:val="TableParagraph"/>
              <w:rPr>
                <w:sz w:val="18"/>
              </w:rPr>
            </w:pPr>
            <w:r>
              <w:rPr>
                <w:sz w:val="18"/>
              </w:rPr>
              <w:t>Sample:</w:t>
            </w:r>
            <w:r>
              <w:rPr>
                <w:spacing w:val="-7"/>
                <w:sz w:val="18"/>
              </w:rPr>
              <w:t> </w:t>
            </w:r>
            <w:r>
              <w:rPr>
                <w:sz w:val="18"/>
              </w:rPr>
              <w:t>1986</w:t>
            </w:r>
            <w:r>
              <w:rPr>
                <w:spacing w:val="-5"/>
                <w:sz w:val="18"/>
              </w:rPr>
              <w:t> </w:t>
            </w:r>
            <w:r>
              <w:rPr>
                <w:spacing w:val="-4"/>
                <w:sz w:val="18"/>
              </w:rPr>
              <w:t>2020</w:t>
            </w:r>
          </w:p>
        </w:tc>
        <w:tc>
          <w:tcPr>
            <w:tcW w:w="1291"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225" w:hRule="atLeast"/>
        </w:trPr>
        <w:tc>
          <w:tcPr>
            <w:tcW w:w="6531" w:type="dxa"/>
            <w:gridSpan w:val="5"/>
          </w:tcPr>
          <w:p>
            <w:pPr>
              <w:pStyle w:val="TableParagraph"/>
              <w:rPr>
                <w:sz w:val="18"/>
              </w:rPr>
            </w:pPr>
            <w:r>
              <w:rPr>
                <w:sz w:val="18"/>
              </w:rPr>
              <w:t>Included</w:t>
            </w:r>
            <w:r>
              <w:rPr>
                <w:spacing w:val="-6"/>
                <w:sz w:val="18"/>
              </w:rPr>
              <w:t> </w:t>
            </w:r>
            <w:r>
              <w:rPr>
                <w:sz w:val="18"/>
              </w:rPr>
              <w:t>observations:</w:t>
            </w:r>
            <w:r>
              <w:rPr>
                <w:spacing w:val="-5"/>
                <w:sz w:val="18"/>
              </w:rPr>
              <w:t> 35</w:t>
            </w:r>
          </w:p>
        </w:tc>
      </w:tr>
      <w:tr>
        <w:trPr>
          <w:trHeight w:val="301" w:hRule="atLeast"/>
        </w:trPr>
        <w:tc>
          <w:tcPr>
            <w:tcW w:w="6531" w:type="dxa"/>
            <w:gridSpan w:val="5"/>
            <w:tcBorders>
              <w:bottom w:val="double" w:sz="6" w:space="0" w:color="000000"/>
            </w:tcBorders>
          </w:tcPr>
          <w:p>
            <w:pPr>
              <w:pStyle w:val="TableParagraph"/>
              <w:spacing w:line="240" w:lineRule="auto"/>
              <w:rPr>
                <w:sz w:val="18"/>
              </w:rPr>
            </w:pPr>
            <w:r>
              <w:rPr>
                <w:sz w:val="18"/>
              </w:rPr>
              <w:t>Presample</w:t>
            </w:r>
            <w:r>
              <w:rPr>
                <w:spacing w:val="-5"/>
                <w:sz w:val="18"/>
              </w:rPr>
              <w:t> </w:t>
            </w:r>
            <w:r>
              <w:rPr>
                <w:sz w:val="18"/>
              </w:rPr>
              <w:t>missing</w:t>
            </w:r>
            <w:r>
              <w:rPr>
                <w:spacing w:val="-4"/>
                <w:sz w:val="18"/>
              </w:rPr>
              <w:t> </w:t>
            </w:r>
            <w:r>
              <w:rPr>
                <w:sz w:val="18"/>
              </w:rPr>
              <w:t>value</w:t>
            </w:r>
            <w:r>
              <w:rPr>
                <w:spacing w:val="-5"/>
                <w:sz w:val="18"/>
              </w:rPr>
              <w:t> </w:t>
            </w:r>
            <w:r>
              <w:rPr>
                <w:sz w:val="18"/>
              </w:rPr>
              <w:t>lagged</w:t>
            </w:r>
            <w:r>
              <w:rPr>
                <w:spacing w:val="-2"/>
                <w:sz w:val="18"/>
              </w:rPr>
              <w:t> </w:t>
            </w:r>
            <w:r>
              <w:rPr>
                <w:sz w:val="18"/>
              </w:rPr>
              <w:t>residuals</w:t>
            </w:r>
            <w:r>
              <w:rPr>
                <w:spacing w:val="-1"/>
                <w:sz w:val="18"/>
              </w:rPr>
              <w:t> </w:t>
            </w:r>
            <w:r>
              <w:rPr>
                <w:sz w:val="18"/>
              </w:rPr>
              <w:t>set</w:t>
            </w:r>
            <w:r>
              <w:rPr>
                <w:spacing w:val="-3"/>
                <w:sz w:val="18"/>
              </w:rPr>
              <w:t> </w:t>
            </w:r>
            <w:r>
              <w:rPr>
                <w:sz w:val="18"/>
              </w:rPr>
              <w:t>to</w:t>
            </w:r>
            <w:r>
              <w:rPr>
                <w:spacing w:val="1"/>
                <w:sz w:val="18"/>
              </w:rPr>
              <w:t> </w:t>
            </w:r>
            <w:r>
              <w:rPr>
                <w:spacing w:val="-4"/>
                <w:sz w:val="18"/>
              </w:rPr>
              <w:t>zero.</w:t>
            </w:r>
          </w:p>
        </w:tc>
      </w:tr>
      <w:tr>
        <w:trPr>
          <w:trHeight w:val="406" w:hRule="atLeast"/>
        </w:trPr>
        <w:tc>
          <w:tcPr>
            <w:tcW w:w="1925"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291" w:type="dxa"/>
            <w:tcBorders>
              <w:top w:val="double" w:sz="6" w:space="0" w:color="000000"/>
              <w:bottom w:val="double" w:sz="6" w:space="0" w:color="000000"/>
            </w:tcBorders>
          </w:tcPr>
          <w:p>
            <w:pPr>
              <w:pStyle w:val="TableParagraph"/>
              <w:spacing w:line="240" w:lineRule="auto" w:before="108"/>
              <w:ind w:right="104"/>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8"/>
              <w:ind w:left="331"/>
              <w:rPr>
                <w:sz w:val="18"/>
              </w:rPr>
            </w:pPr>
            <w:r>
              <w:rPr>
                <w:sz w:val="18"/>
              </w:rPr>
              <w:t>Std.</w:t>
            </w:r>
            <w:r>
              <w:rPr>
                <w:spacing w:val="-2"/>
                <w:sz w:val="18"/>
              </w:rPr>
              <w:t> Error</w:t>
            </w:r>
          </w:p>
        </w:tc>
        <w:tc>
          <w:tcPr>
            <w:tcW w:w="940" w:type="dxa"/>
            <w:tcBorders>
              <w:top w:val="double" w:sz="6" w:space="0" w:color="000000"/>
              <w:bottom w:val="double" w:sz="6" w:space="0" w:color="000000"/>
            </w:tcBorders>
          </w:tcPr>
          <w:p>
            <w:pPr>
              <w:pStyle w:val="TableParagraph"/>
              <w:spacing w:line="240" w:lineRule="auto" w:before="108"/>
              <w:ind w:right="121"/>
              <w:jc w:val="right"/>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8"/>
              <w:ind w:left="344"/>
              <w:rPr>
                <w:sz w:val="18"/>
              </w:rPr>
            </w:pPr>
            <w:r>
              <w:rPr>
                <w:spacing w:val="-2"/>
                <w:sz w:val="18"/>
              </w:rPr>
              <w:t>Prob.</w:t>
            </w:r>
          </w:p>
        </w:tc>
      </w:tr>
      <w:tr>
        <w:trPr>
          <w:trHeight w:val="326" w:hRule="atLeast"/>
        </w:trPr>
        <w:tc>
          <w:tcPr>
            <w:tcW w:w="1925" w:type="dxa"/>
            <w:tcBorders>
              <w:top w:val="double" w:sz="6" w:space="0" w:color="000000"/>
            </w:tcBorders>
          </w:tcPr>
          <w:p>
            <w:pPr>
              <w:pStyle w:val="TableParagraph"/>
              <w:spacing w:line="198" w:lineRule="exact" w:before="108"/>
              <w:ind w:left="92" w:right="4"/>
              <w:jc w:val="center"/>
              <w:rPr>
                <w:sz w:val="18"/>
              </w:rPr>
            </w:pPr>
            <w:r>
              <w:rPr>
                <w:spacing w:val="-4"/>
                <w:sz w:val="18"/>
              </w:rPr>
              <w:t>LFDI</w:t>
            </w:r>
          </w:p>
        </w:tc>
        <w:tc>
          <w:tcPr>
            <w:tcW w:w="1291" w:type="dxa"/>
            <w:tcBorders>
              <w:top w:val="double" w:sz="6" w:space="0" w:color="000000"/>
            </w:tcBorders>
          </w:tcPr>
          <w:p>
            <w:pPr>
              <w:pStyle w:val="TableParagraph"/>
              <w:spacing w:line="198" w:lineRule="exact" w:before="108"/>
              <w:ind w:right="104"/>
              <w:jc w:val="right"/>
              <w:rPr>
                <w:sz w:val="18"/>
              </w:rPr>
            </w:pPr>
            <w:r>
              <w:rPr>
                <w:spacing w:val="-2"/>
                <w:sz w:val="18"/>
              </w:rPr>
              <w:t>-0.063859</w:t>
            </w:r>
          </w:p>
        </w:tc>
        <w:tc>
          <w:tcPr>
            <w:tcW w:w="1491" w:type="dxa"/>
            <w:tcBorders>
              <w:top w:val="double" w:sz="6" w:space="0" w:color="000000"/>
            </w:tcBorders>
          </w:tcPr>
          <w:p>
            <w:pPr>
              <w:pStyle w:val="TableParagraph"/>
              <w:spacing w:line="198" w:lineRule="exact" w:before="108"/>
              <w:ind w:left="350"/>
              <w:rPr>
                <w:sz w:val="18"/>
              </w:rPr>
            </w:pPr>
            <w:r>
              <w:rPr>
                <w:spacing w:val="-2"/>
                <w:sz w:val="18"/>
              </w:rPr>
              <w:t>1.133810</w:t>
            </w:r>
          </w:p>
        </w:tc>
        <w:tc>
          <w:tcPr>
            <w:tcW w:w="940" w:type="dxa"/>
            <w:tcBorders>
              <w:top w:val="double" w:sz="6" w:space="0" w:color="000000"/>
            </w:tcBorders>
          </w:tcPr>
          <w:p>
            <w:pPr>
              <w:pStyle w:val="TableParagraph"/>
              <w:spacing w:line="198" w:lineRule="exact" w:before="108"/>
              <w:ind w:right="121"/>
              <w:jc w:val="right"/>
              <w:rPr>
                <w:sz w:val="18"/>
              </w:rPr>
            </w:pPr>
            <w:r>
              <w:rPr>
                <w:spacing w:val="-2"/>
                <w:sz w:val="18"/>
              </w:rPr>
              <w:t>-0.056322</w:t>
            </w:r>
          </w:p>
        </w:tc>
        <w:tc>
          <w:tcPr>
            <w:tcW w:w="884" w:type="dxa"/>
            <w:tcBorders>
              <w:top w:val="double" w:sz="6" w:space="0" w:color="000000"/>
            </w:tcBorders>
          </w:tcPr>
          <w:p>
            <w:pPr>
              <w:pStyle w:val="TableParagraph"/>
              <w:spacing w:line="198" w:lineRule="exact" w:before="108"/>
              <w:ind w:right="6"/>
              <w:jc w:val="right"/>
              <w:rPr>
                <w:sz w:val="18"/>
              </w:rPr>
            </w:pPr>
            <w:r>
              <w:rPr>
                <w:spacing w:val="-2"/>
                <w:sz w:val="18"/>
              </w:rPr>
              <w:t>0.9556</w:t>
            </w:r>
          </w:p>
        </w:tc>
      </w:tr>
      <w:tr>
        <w:trPr>
          <w:trHeight w:val="224" w:hRule="atLeast"/>
        </w:trPr>
        <w:tc>
          <w:tcPr>
            <w:tcW w:w="1925" w:type="dxa"/>
          </w:tcPr>
          <w:p>
            <w:pPr>
              <w:pStyle w:val="TableParagraph"/>
              <w:spacing w:before="5"/>
              <w:ind w:left="92"/>
              <w:jc w:val="center"/>
              <w:rPr>
                <w:sz w:val="18"/>
              </w:rPr>
            </w:pPr>
            <w:r>
              <w:rPr>
                <w:spacing w:val="-4"/>
                <w:sz w:val="18"/>
              </w:rPr>
              <w:t>LFPI</w:t>
            </w:r>
          </w:p>
        </w:tc>
        <w:tc>
          <w:tcPr>
            <w:tcW w:w="1291" w:type="dxa"/>
          </w:tcPr>
          <w:p>
            <w:pPr>
              <w:pStyle w:val="TableParagraph"/>
              <w:spacing w:before="5"/>
              <w:ind w:right="104"/>
              <w:jc w:val="right"/>
              <w:rPr>
                <w:sz w:val="18"/>
              </w:rPr>
            </w:pPr>
            <w:r>
              <w:rPr>
                <w:spacing w:val="-2"/>
                <w:sz w:val="18"/>
              </w:rPr>
              <w:t>-22.18940</w:t>
            </w:r>
          </w:p>
        </w:tc>
        <w:tc>
          <w:tcPr>
            <w:tcW w:w="1491" w:type="dxa"/>
          </w:tcPr>
          <w:p>
            <w:pPr>
              <w:pStyle w:val="TableParagraph"/>
              <w:spacing w:before="5"/>
              <w:ind w:left="350"/>
              <w:rPr>
                <w:sz w:val="18"/>
              </w:rPr>
            </w:pPr>
            <w:r>
              <w:rPr>
                <w:spacing w:val="-2"/>
                <w:sz w:val="18"/>
              </w:rPr>
              <w:t>27.54622</w:t>
            </w:r>
          </w:p>
        </w:tc>
        <w:tc>
          <w:tcPr>
            <w:tcW w:w="940" w:type="dxa"/>
          </w:tcPr>
          <w:p>
            <w:pPr>
              <w:pStyle w:val="TableParagraph"/>
              <w:spacing w:before="5"/>
              <w:ind w:right="121"/>
              <w:jc w:val="right"/>
              <w:rPr>
                <w:sz w:val="18"/>
              </w:rPr>
            </w:pPr>
            <w:r>
              <w:rPr>
                <w:spacing w:val="-2"/>
                <w:sz w:val="18"/>
              </w:rPr>
              <w:t>-0.805533</w:t>
            </w:r>
          </w:p>
        </w:tc>
        <w:tc>
          <w:tcPr>
            <w:tcW w:w="884" w:type="dxa"/>
          </w:tcPr>
          <w:p>
            <w:pPr>
              <w:pStyle w:val="TableParagraph"/>
              <w:spacing w:before="5"/>
              <w:ind w:right="6"/>
              <w:jc w:val="right"/>
              <w:rPr>
                <w:sz w:val="18"/>
              </w:rPr>
            </w:pPr>
            <w:r>
              <w:rPr>
                <w:spacing w:val="-2"/>
                <w:sz w:val="18"/>
              </w:rPr>
              <w:t>0.4284</w:t>
            </w:r>
          </w:p>
        </w:tc>
      </w:tr>
      <w:tr>
        <w:trPr>
          <w:trHeight w:val="225" w:hRule="atLeast"/>
        </w:trPr>
        <w:tc>
          <w:tcPr>
            <w:tcW w:w="1925" w:type="dxa"/>
          </w:tcPr>
          <w:p>
            <w:pPr>
              <w:pStyle w:val="TableParagraph"/>
              <w:ind w:left="92"/>
              <w:jc w:val="center"/>
              <w:rPr>
                <w:sz w:val="18"/>
              </w:rPr>
            </w:pPr>
            <w:r>
              <w:rPr>
                <w:spacing w:val="-4"/>
                <w:sz w:val="18"/>
              </w:rPr>
              <w:t>LREM</w:t>
            </w:r>
          </w:p>
        </w:tc>
        <w:tc>
          <w:tcPr>
            <w:tcW w:w="1291" w:type="dxa"/>
          </w:tcPr>
          <w:p>
            <w:pPr>
              <w:pStyle w:val="TableParagraph"/>
              <w:ind w:right="104"/>
              <w:jc w:val="right"/>
              <w:rPr>
                <w:sz w:val="18"/>
              </w:rPr>
            </w:pPr>
            <w:r>
              <w:rPr>
                <w:spacing w:val="-2"/>
                <w:sz w:val="18"/>
              </w:rPr>
              <w:t>0.890107</w:t>
            </w:r>
          </w:p>
        </w:tc>
        <w:tc>
          <w:tcPr>
            <w:tcW w:w="1491" w:type="dxa"/>
          </w:tcPr>
          <w:p>
            <w:pPr>
              <w:pStyle w:val="TableParagraph"/>
              <w:ind w:left="350"/>
              <w:rPr>
                <w:sz w:val="18"/>
              </w:rPr>
            </w:pPr>
            <w:r>
              <w:rPr>
                <w:spacing w:val="-2"/>
                <w:sz w:val="18"/>
              </w:rPr>
              <w:t>2.652049</w:t>
            </w:r>
          </w:p>
        </w:tc>
        <w:tc>
          <w:tcPr>
            <w:tcW w:w="940" w:type="dxa"/>
          </w:tcPr>
          <w:p>
            <w:pPr>
              <w:pStyle w:val="TableParagraph"/>
              <w:ind w:right="121"/>
              <w:jc w:val="right"/>
              <w:rPr>
                <w:sz w:val="18"/>
              </w:rPr>
            </w:pPr>
            <w:r>
              <w:rPr>
                <w:spacing w:val="-2"/>
                <w:sz w:val="18"/>
              </w:rPr>
              <w:t>0.335630</w:t>
            </w:r>
          </w:p>
        </w:tc>
        <w:tc>
          <w:tcPr>
            <w:tcW w:w="884" w:type="dxa"/>
          </w:tcPr>
          <w:p>
            <w:pPr>
              <w:pStyle w:val="TableParagraph"/>
              <w:ind w:right="6"/>
              <w:jc w:val="right"/>
              <w:rPr>
                <w:sz w:val="18"/>
              </w:rPr>
            </w:pPr>
            <w:r>
              <w:rPr>
                <w:spacing w:val="-2"/>
                <w:sz w:val="18"/>
              </w:rPr>
              <w:t>0.7401</w:t>
            </w:r>
          </w:p>
        </w:tc>
      </w:tr>
      <w:tr>
        <w:trPr>
          <w:trHeight w:val="225" w:hRule="atLeast"/>
        </w:trPr>
        <w:tc>
          <w:tcPr>
            <w:tcW w:w="1925" w:type="dxa"/>
          </w:tcPr>
          <w:p>
            <w:pPr>
              <w:pStyle w:val="TableParagraph"/>
              <w:ind w:left="92" w:right="1"/>
              <w:jc w:val="center"/>
              <w:rPr>
                <w:sz w:val="18"/>
              </w:rPr>
            </w:pPr>
            <w:r>
              <w:rPr>
                <w:spacing w:val="-4"/>
                <w:sz w:val="18"/>
              </w:rPr>
              <w:t>LODA</w:t>
            </w:r>
          </w:p>
        </w:tc>
        <w:tc>
          <w:tcPr>
            <w:tcW w:w="1291" w:type="dxa"/>
          </w:tcPr>
          <w:p>
            <w:pPr>
              <w:pStyle w:val="TableParagraph"/>
              <w:ind w:right="104"/>
              <w:jc w:val="right"/>
              <w:rPr>
                <w:sz w:val="18"/>
              </w:rPr>
            </w:pPr>
            <w:r>
              <w:rPr>
                <w:spacing w:val="-2"/>
                <w:sz w:val="18"/>
              </w:rPr>
              <w:t>0.017732</w:t>
            </w:r>
          </w:p>
        </w:tc>
        <w:tc>
          <w:tcPr>
            <w:tcW w:w="1491" w:type="dxa"/>
          </w:tcPr>
          <w:p>
            <w:pPr>
              <w:pStyle w:val="TableParagraph"/>
              <w:ind w:left="350"/>
              <w:rPr>
                <w:sz w:val="18"/>
              </w:rPr>
            </w:pPr>
            <w:r>
              <w:rPr>
                <w:spacing w:val="-2"/>
                <w:sz w:val="18"/>
              </w:rPr>
              <w:t>0.198536</w:t>
            </w:r>
          </w:p>
        </w:tc>
        <w:tc>
          <w:tcPr>
            <w:tcW w:w="940" w:type="dxa"/>
          </w:tcPr>
          <w:p>
            <w:pPr>
              <w:pStyle w:val="TableParagraph"/>
              <w:ind w:right="121"/>
              <w:jc w:val="right"/>
              <w:rPr>
                <w:sz w:val="18"/>
              </w:rPr>
            </w:pPr>
            <w:r>
              <w:rPr>
                <w:spacing w:val="-2"/>
                <w:sz w:val="18"/>
              </w:rPr>
              <w:t>0.089312</w:t>
            </w:r>
          </w:p>
        </w:tc>
        <w:tc>
          <w:tcPr>
            <w:tcW w:w="884" w:type="dxa"/>
          </w:tcPr>
          <w:p>
            <w:pPr>
              <w:pStyle w:val="TableParagraph"/>
              <w:ind w:right="6"/>
              <w:jc w:val="right"/>
              <w:rPr>
                <w:sz w:val="18"/>
              </w:rPr>
            </w:pPr>
            <w:r>
              <w:rPr>
                <w:spacing w:val="-2"/>
                <w:sz w:val="18"/>
              </w:rPr>
              <w:t>0.9296</w:t>
            </w:r>
          </w:p>
        </w:tc>
      </w:tr>
      <w:tr>
        <w:trPr>
          <w:trHeight w:val="224" w:hRule="atLeast"/>
        </w:trPr>
        <w:tc>
          <w:tcPr>
            <w:tcW w:w="1925" w:type="dxa"/>
          </w:tcPr>
          <w:p>
            <w:pPr>
              <w:pStyle w:val="TableParagraph"/>
              <w:spacing w:line="198" w:lineRule="exact"/>
              <w:ind w:left="92" w:right="1"/>
              <w:jc w:val="center"/>
              <w:rPr>
                <w:sz w:val="18"/>
              </w:rPr>
            </w:pPr>
            <w:r>
              <w:rPr>
                <w:spacing w:val="-4"/>
                <w:sz w:val="18"/>
              </w:rPr>
              <w:t>LTOP</w:t>
            </w:r>
          </w:p>
        </w:tc>
        <w:tc>
          <w:tcPr>
            <w:tcW w:w="1291" w:type="dxa"/>
          </w:tcPr>
          <w:p>
            <w:pPr>
              <w:pStyle w:val="TableParagraph"/>
              <w:spacing w:line="198" w:lineRule="exact"/>
              <w:ind w:right="104"/>
              <w:jc w:val="right"/>
              <w:rPr>
                <w:sz w:val="18"/>
              </w:rPr>
            </w:pPr>
            <w:r>
              <w:rPr>
                <w:spacing w:val="-2"/>
                <w:sz w:val="18"/>
              </w:rPr>
              <w:t>-22.89159</w:t>
            </w:r>
          </w:p>
        </w:tc>
        <w:tc>
          <w:tcPr>
            <w:tcW w:w="1491" w:type="dxa"/>
          </w:tcPr>
          <w:p>
            <w:pPr>
              <w:pStyle w:val="TableParagraph"/>
              <w:spacing w:line="198" w:lineRule="exact"/>
              <w:ind w:left="350"/>
              <w:rPr>
                <w:sz w:val="18"/>
              </w:rPr>
            </w:pPr>
            <w:r>
              <w:rPr>
                <w:spacing w:val="-2"/>
                <w:sz w:val="18"/>
              </w:rPr>
              <w:t>45.56410</w:t>
            </w:r>
          </w:p>
        </w:tc>
        <w:tc>
          <w:tcPr>
            <w:tcW w:w="940" w:type="dxa"/>
          </w:tcPr>
          <w:p>
            <w:pPr>
              <w:pStyle w:val="TableParagraph"/>
              <w:spacing w:line="198" w:lineRule="exact"/>
              <w:ind w:right="121"/>
              <w:jc w:val="right"/>
              <w:rPr>
                <w:sz w:val="18"/>
              </w:rPr>
            </w:pPr>
            <w:r>
              <w:rPr>
                <w:spacing w:val="-2"/>
                <w:sz w:val="18"/>
              </w:rPr>
              <w:t>-0.502404</w:t>
            </w:r>
          </w:p>
        </w:tc>
        <w:tc>
          <w:tcPr>
            <w:tcW w:w="884" w:type="dxa"/>
          </w:tcPr>
          <w:p>
            <w:pPr>
              <w:pStyle w:val="TableParagraph"/>
              <w:spacing w:line="198" w:lineRule="exact"/>
              <w:ind w:right="6"/>
              <w:jc w:val="right"/>
              <w:rPr>
                <w:sz w:val="18"/>
              </w:rPr>
            </w:pPr>
            <w:r>
              <w:rPr>
                <w:spacing w:val="-2"/>
                <w:sz w:val="18"/>
              </w:rPr>
              <w:t>0.6200</w:t>
            </w:r>
          </w:p>
        </w:tc>
      </w:tr>
      <w:tr>
        <w:trPr>
          <w:trHeight w:val="224" w:hRule="atLeast"/>
        </w:trPr>
        <w:tc>
          <w:tcPr>
            <w:tcW w:w="1925" w:type="dxa"/>
          </w:tcPr>
          <w:p>
            <w:pPr>
              <w:pStyle w:val="TableParagraph"/>
              <w:spacing w:before="5"/>
              <w:ind w:left="92" w:right="4"/>
              <w:jc w:val="center"/>
              <w:rPr>
                <w:sz w:val="18"/>
              </w:rPr>
            </w:pPr>
            <w:r>
              <w:rPr>
                <w:spacing w:val="-4"/>
                <w:sz w:val="18"/>
              </w:rPr>
              <w:t>LINT</w:t>
            </w:r>
          </w:p>
        </w:tc>
        <w:tc>
          <w:tcPr>
            <w:tcW w:w="1291" w:type="dxa"/>
          </w:tcPr>
          <w:p>
            <w:pPr>
              <w:pStyle w:val="TableParagraph"/>
              <w:spacing w:before="5"/>
              <w:ind w:right="104"/>
              <w:jc w:val="right"/>
              <w:rPr>
                <w:sz w:val="18"/>
              </w:rPr>
            </w:pPr>
            <w:r>
              <w:rPr>
                <w:spacing w:val="-2"/>
                <w:sz w:val="18"/>
              </w:rPr>
              <w:t>-43.95977</w:t>
            </w:r>
          </w:p>
        </w:tc>
        <w:tc>
          <w:tcPr>
            <w:tcW w:w="1491" w:type="dxa"/>
          </w:tcPr>
          <w:p>
            <w:pPr>
              <w:pStyle w:val="TableParagraph"/>
              <w:spacing w:before="5"/>
              <w:ind w:left="350"/>
              <w:rPr>
                <w:sz w:val="18"/>
              </w:rPr>
            </w:pPr>
            <w:r>
              <w:rPr>
                <w:spacing w:val="-2"/>
                <w:sz w:val="18"/>
              </w:rPr>
              <w:t>108.5262</w:t>
            </w:r>
          </w:p>
        </w:tc>
        <w:tc>
          <w:tcPr>
            <w:tcW w:w="940" w:type="dxa"/>
          </w:tcPr>
          <w:p>
            <w:pPr>
              <w:pStyle w:val="TableParagraph"/>
              <w:spacing w:before="5"/>
              <w:ind w:right="121"/>
              <w:jc w:val="right"/>
              <w:rPr>
                <w:sz w:val="18"/>
              </w:rPr>
            </w:pPr>
            <w:r>
              <w:rPr>
                <w:spacing w:val="-2"/>
                <w:sz w:val="18"/>
              </w:rPr>
              <w:t>-0.405061</w:t>
            </w:r>
          </w:p>
        </w:tc>
        <w:tc>
          <w:tcPr>
            <w:tcW w:w="884" w:type="dxa"/>
          </w:tcPr>
          <w:p>
            <w:pPr>
              <w:pStyle w:val="TableParagraph"/>
              <w:spacing w:before="5"/>
              <w:ind w:right="6"/>
              <w:jc w:val="right"/>
              <w:rPr>
                <w:sz w:val="18"/>
              </w:rPr>
            </w:pPr>
            <w:r>
              <w:rPr>
                <w:spacing w:val="-2"/>
                <w:sz w:val="18"/>
              </w:rPr>
              <w:t>0.6890</w:t>
            </w:r>
          </w:p>
        </w:tc>
      </w:tr>
      <w:tr>
        <w:trPr>
          <w:trHeight w:val="225" w:hRule="atLeast"/>
        </w:trPr>
        <w:tc>
          <w:tcPr>
            <w:tcW w:w="1925" w:type="dxa"/>
          </w:tcPr>
          <w:p>
            <w:pPr>
              <w:pStyle w:val="TableParagraph"/>
              <w:ind w:left="707"/>
              <w:rPr>
                <w:sz w:val="18"/>
              </w:rPr>
            </w:pPr>
            <w:r>
              <w:rPr>
                <w:spacing w:val="-2"/>
                <w:sz w:val="18"/>
              </w:rPr>
              <w:t>LEXCH</w:t>
            </w:r>
          </w:p>
        </w:tc>
        <w:tc>
          <w:tcPr>
            <w:tcW w:w="1291" w:type="dxa"/>
          </w:tcPr>
          <w:p>
            <w:pPr>
              <w:pStyle w:val="TableParagraph"/>
              <w:ind w:right="104"/>
              <w:jc w:val="right"/>
              <w:rPr>
                <w:sz w:val="18"/>
              </w:rPr>
            </w:pPr>
            <w:r>
              <w:rPr>
                <w:spacing w:val="-2"/>
                <w:sz w:val="18"/>
              </w:rPr>
              <w:t>15.44652</w:t>
            </w:r>
          </w:p>
        </w:tc>
        <w:tc>
          <w:tcPr>
            <w:tcW w:w="1491" w:type="dxa"/>
          </w:tcPr>
          <w:p>
            <w:pPr>
              <w:pStyle w:val="TableParagraph"/>
              <w:ind w:left="350"/>
              <w:rPr>
                <w:sz w:val="18"/>
              </w:rPr>
            </w:pPr>
            <w:r>
              <w:rPr>
                <w:spacing w:val="-2"/>
                <w:sz w:val="18"/>
              </w:rPr>
              <w:t>23.94470</w:t>
            </w:r>
          </w:p>
        </w:tc>
        <w:tc>
          <w:tcPr>
            <w:tcW w:w="940" w:type="dxa"/>
          </w:tcPr>
          <w:p>
            <w:pPr>
              <w:pStyle w:val="TableParagraph"/>
              <w:ind w:right="121"/>
              <w:jc w:val="right"/>
              <w:rPr>
                <w:sz w:val="18"/>
              </w:rPr>
            </w:pPr>
            <w:r>
              <w:rPr>
                <w:spacing w:val="-2"/>
                <w:sz w:val="18"/>
              </w:rPr>
              <w:t>0.645091</w:t>
            </w:r>
          </w:p>
        </w:tc>
        <w:tc>
          <w:tcPr>
            <w:tcW w:w="884" w:type="dxa"/>
          </w:tcPr>
          <w:p>
            <w:pPr>
              <w:pStyle w:val="TableParagraph"/>
              <w:ind w:right="6"/>
              <w:jc w:val="right"/>
              <w:rPr>
                <w:sz w:val="18"/>
              </w:rPr>
            </w:pPr>
            <w:r>
              <w:rPr>
                <w:spacing w:val="-2"/>
                <w:sz w:val="18"/>
              </w:rPr>
              <w:t>0.5250</w:t>
            </w:r>
          </w:p>
        </w:tc>
      </w:tr>
      <w:tr>
        <w:trPr>
          <w:trHeight w:val="225" w:hRule="atLeast"/>
        </w:trPr>
        <w:tc>
          <w:tcPr>
            <w:tcW w:w="1925" w:type="dxa"/>
          </w:tcPr>
          <w:p>
            <w:pPr>
              <w:pStyle w:val="TableParagraph"/>
              <w:ind w:left="527"/>
              <w:rPr>
                <w:sz w:val="18"/>
              </w:rPr>
            </w:pPr>
            <w:r>
              <w:rPr>
                <w:spacing w:val="-2"/>
                <w:sz w:val="18"/>
              </w:rPr>
              <w:t>LCPS_GDP</w:t>
            </w:r>
          </w:p>
        </w:tc>
        <w:tc>
          <w:tcPr>
            <w:tcW w:w="1291" w:type="dxa"/>
          </w:tcPr>
          <w:p>
            <w:pPr>
              <w:pStyle w:val="TableParagraph"/>
              <w:ind w:right="104"/>
              <w:jc w:val="right"/>
              <w:rPr>
                <w:sz w:val="18"/>
              </w:rPr>
            </w:pPr>
            <w:r>
              <w:rPr>
                <w:spacing w:val="-2"/>
                <w:sz w:val="18"/>
              </w:rPr>
              <w:t>83.26385</w:t>
            </w:r>
          </w:p>
        </w:tc>
        <w:tc>
          <w:tcPr>
            <w:tcW w:w="1491" w:type="dxa"/>
          </w:tcPr>
          <w:p>
            <w:pPr>
              <w:pStyle w:val="TableParagraph"/>
              <w:ind w:left="350"/>
              <w:rPr>
                <w:sz w:val="18"/>
              </w:rPr>
            </w:pPr>
            <w:r>
              <w:rPr>
                <w:spacing w:val="-2"/>
                <w:sz w:val="18"/>
              </w:rPr>
              <w:t>199.3122</w:t>
            </w:r>
          </w:p>
        </w:tc>
        <w:tc>
          <w:tcPr>
            <w:tcW w:w="940" w:type="dxa"/>
          </w:tcPr>
          <w:p>
            <w:pPr>
              <w:pStyle w:val="TableParagraph"/>
              <w:ind w:right="121"/>
              <w:jc w:val="right"/>
              <w:rPr>
                <w:sz w:val="18"/>
              </w:rPr>
            </w:pPr>
            <w:r>
              <w:rPr>
                <w:spacing w:val="-2"/>
                <w:sz w:val="18"/>
              </w:rPr>
              <w:t>0.417756</w:t>
            </w:r>
          </w:p>
        </w:tc>
        <w:tc>
          <w:tcPr>
            <w:tcW w:w="884" w:type="dxa"/>
          </w:tcPr>
          <w:p>
            <w:pPr>
              <w:pStyle w:val="TableParagraph"/>
              <w:ind w:right="6"/>
              <w:jc w:val="right"/>
              <w:rPr>
                <w:sz w:val="18"/>
              </w:rPr>
            </w:pPr>
            <w:r>
              <w:rPr>
                <w:spacing w:val="-2"/>
                <w:sz w:val="18"/>
              </w:rPr>
              <w:t>0.6798</w:t>
            </w:r>
          </w:p>
        </w:tc>
      </w:tr>
      <w:tr>
        <w:trPr>
          <w:trHeight w:val="224" w:hRule="atLeast"/>
        </w:trPr>
        <w:tc>
          <w:tcPr>
            <w:tcW w:w="1925" w:type="dxa"/>
          </w:tcPr>
          <w:p>
            <w:pPr>
              <w:pStyle w:val="TableParagraph"/>
              <w:spacing w:line="198" w:lineRule="exact"/>
              <w:ind w:left="92" w:right="1"/>
              <w:jc w:val="center"/>
              <w:rPr>
                <w:sz w:val="18"/>
              </w:rPr>
            </w:pPr>
            <w:r>
              <w:rPr>
                <w:spacing w:val="-10"/>
                <w:sz w:val="18"/>
              </w:rPr>
              <w:t>C</w:t>
            </w:r>
          </w:p>
        </w:tc>
        <w:tc>
          <w:tcPr>
            <w:tcW w:w="1291" w:type="dxa"/>
          </w:tcPr>
          <w:p>
            <w:pPr>
              <w:pStyle w:val="TableParagraph"/>
              <w:spacing w:line="198" w:lineRule="exact"/>
              <w:ind w:right="104"/>
              <w:jc w:val="right"/>
              <w:rPr>
                <w:sz w:val="18"/>
              </w:rPr>
            </w:pPr>
            <w:r>
              <w:rPr>
                <w:spacing w:val="-2"/>
                <w:sz w:val="18"/>
              </w:rPr>
              <w:t>1760.357</w:t>
            </w:r>
          </w:p>
        </w:tc>
        <w:tc>
          <w:tcPr>
            <w:tcW w:w="1491" w:type="dxa"/>
          </w:tcPr>
          <w:p>
            <w:pPr>
              <w:pStyle w:val="TableParagraph"/>
              <w:spacing w:line="198" w:lineRule="exact"/>
              <w:ind w:left="350"/>
              <w:rPr>
                <w:sz w:val="18"/>
              </w:rPr>
            </w:pPr>
            <w:r>
              <w:rPr>
                <w:spacing w:val="-2"/>
                <w:sz w:val="18"/>
              </w:rPr>
              <w:t>4432.226</w:t>
            </w:r>
          </w:p>
        </w:tc>
        <w:tc>
          <w:tcPr>
            <w:tcW w:w="940" w:type="dxa"/>
          </w:tcPr>
          <w:p>
            <w:pPr>
              <w:pStyle w:val="TableParagraph"/>
              <w:spacing w:line="198" w:lineRule="exact"/>
              <w:ind w:right="121"/>
              <w:jc w:val="right"/>
              <w:rPr>
                <w:sz w:val="18"/>
              </w:rPr>
            </w:pPr>
            <w:r>
              <w:rPr>
                <w:spacing w:val="-2"/>
                <w:sz w:val="18"/>
              </w:rPr>
              <w:t>0.397172</w:t>
            </w:r>
          </w:p>
        </w:tc>
        <w:tc>
          <w:tcPr>
            <w:tcW w:w="884" w:type="dxa"/>
          </w:tcPr>
          <w:p>
            <w:pPr>
              <w:pStyle w:val="TableParagraph"/>
              <w:spacing w:line="198" w:lineRule="exact"/>
              <w:ind w:right="6"/>
              <w:jc w:val="right"/>
              <w:rPr>
                <w:sz w:val="18"/>
              </w:rPr>
            </w:pPr>
            <w:r>
              <w:rPr>
                <w:spacing w:val="-2"/>
                <w:sz w:val="18"/>
              </w:rPr>
              <w:t>0.6948</w:t>
            </w:r>
          </w:p>
        </w:tc>
      </w:tr>
      <w:tr>
        <w:trPr>
          <w:trHeight w:val="224" w:hRule="atLeast"/>
        </w:trPr>
        <w:tc>
          <w:tcPr>
            <w:tcW w:w="1925" w:type="dxa"/>
          </w:tcPr>
          <w:p>
            <w:pPr>
              <w:pStyle w:val="TableParagraph"/>
              <w:spacing w:before="5"/>
              <w:ind w:left="592"/>
              <w:rPr>
                <w:sz w:val="18"/>
              </w:rPr>
            </w:pPr>
            <w:r>
              <w:rPr>
                <w:spacing w:val="-2"/>
                <w:sz w:val="18"/>
              </w:rPr>
              <w:t>RESID(-</w:t>
            </w:r>
            <w:r>
              <w:rPr>
                <w:spacing w:val="-5"/>
                <w:sz w:val="18"/>
              </w:rPr>
              <w:t>1)</w:t>
            </w:r>
          </w:p>
        </w:tc>
        <w:tc>
          <w:tcPr>
            <w:tcW w:w="1291" w:type="dxa"/>
          </w:tcPr>
          <w:p>
            <w:pPr>
              <w:pStyle w:val="TableParagraph"/>
              <w:spacing w:before="5"/>
              <w:ind w:right="104"/>
              <w:jc w:val="right"/>
              <w:rPr>
                <w:sz w:val="18"/>
              </w:rPr>
            </w:pPr>
            <w:r>
              <w:rPr>
                <w:spacing w:val="-2"/>
                <w:sz w:val="18"/>
              </w:rPr>
              <w:t>0.507183</w:t>
            </w:r>
          </w:p>
        </w:tc>
        <w:tc>
          <w:tcPr>
            <w:tcW w:w="1491" w:type="dxa"/>
          </w:tcPr>
          <w:p>
            <w:pPr>
              <w:pStyle w:val="TableParagraph"/>
              <w:spacing w:before="5"/>
              <w:ind w:left="350"/>
              <w:rPr>
                <w:sz w:val="18"/>
              </w:rPr>
            </w:pPr>
            <w:r>
              <w:rPr>
                <w:spacing w:val="-2"/>
                <w:sz w:val="18"/>
              </w:rPr>
              <w:t>0.198512</w:t>
            </w:r>
          </w:p>
        </w:tc>
        <w:tc>
          <w:tcPr>
            <w:tcW w:w="940" w:type="dxa"/>
          </w:tcPr>
          <w:p>
            <w:pPr>
              <w:pStyle w:val="TableParagraph"/>
              <w:spacing w:before="5"/>
              <w:ind w:right="121"/>
              <w:jc w:val="right"/>
              <w:rPr>
                <w:sz w:val="18"/>
              </w:rPr>
            </w:pPr>
            <w:r>
              <w:rPr>
                <w:spacing w:val="-2"/>
                <w:sz w:val="18"/>
              </w:rPr>
              <w:t>2.554919</w:t>
            </w:r>
          </w:p>
        </w:tc>
        <w:tc>
          <w:tcPr>
            <w:tcW w:w="884" w:type="dxa"/>
          </w:tcPr>
          <w:p>
            <w:pPr>
              <w:pStyle w:val="TableParagraph"/>
              <w:spacing w:before="5"/>
              <w:ind w:right="6"/>
              <w:jc w:val="right"/>
              <w:rPr>
                <w:sz w:val="18"/>
              </w:rPr>
            </w:pPr>
            <w:r>
              <w:rPr>
                <w:spacing w:val="-2"/>
                <w:sz w:val="18"/>
              </w:rPr>
              <w:t>0.0174</w:t>
            </w:r>
          </w:p>
        </w:tc>
      </w:tr>
      <w:tr>
        <w:trPr>
          <w:trHeight w:val="303" w:hRule="atLeast"/>
        </w:trPr>
        <w:tc>
          <w:tcPr>
            <w:tcW w:w="1925" w:type="dxa"/>
            <w:tcBorders>
              <w:bottom w:val="double" w:sz="6" w:space="0" w:color="000000"/>
            </w:tcBorders>
          </w:tcPr>
          <w:p>
            <w:pPr>
              <w:pStyle w:val="TableParagraph"/>
              <w:spacing w:line="240" w:lineRule="auto"/>
              <w:ind w:left="592"/>
              <w:rPr>
                <w:sz w:val="18"/>
              </w:rPr>
            </w:pPr>
            <w:r>
              <w:rPr>
                <w:spacing w:val="-2"/>
                <w:sz w:val="18"/>
              </w:rPr>
              <w:t>RESID(-</w:t>
            </w:r>
            <w:r>
              <w:rPr>
                <w:spacing w:val="-5"/>
                <w:sz w:val="18"/>
              </w:rPr>
              <w:t>2)</w:t>
            </w:r>
          </w:p>
        </w:tc>
        <w:tc>
          <w:tcPr>
            <w:tcW w:w="1291" w:type="dxa"/>
            <w:tcBorders>
              <w:bottom w:val="double" w:sz="6" w:space="0" w:color="000000"/>
            </w:tcBorders>
          </w:tcPr>
          <w:p>
            <w:pPr>
              <w:pStyle w:val="TableParagraph"/>
              <w:spacing w:line="240" w:lineRule="auto"/>
              <w:ind w:right="104"/>
              <w:jc w:val="right"/>
              <w:rPr>
                <w:sz w:val="18"/>
              </w:rPr>
            </w:pPr>
            <w:r>
              <w:rPr>
                <w:spacing w:val="-2"/>
                <w:sz w:val="18"/>
              </w:rPr>
              <w:t>-0.468294</w:t>
            </w:r>
          </w:p>
        </w:tc>
        <w:tc>
          <w:tcPr>
            <w:tcW w:w="1491" w:type="dxa"/>
            <w:tcBorders>
              <w:bottom w:val="double" w:sz="6" w:space="0" w:color="000000"/>
            </w:tcBorders>
          </w:tcPr>
          <w:p>
            <w:pPr>
              <w:pStyle w:val="TableParagraph"/>
              <w:spacing w:line="240" w:lineRule="auto"/>
              <w:ind w:left="350"/>
              <w:rPr>
                <w:sz w:val="18"/>
              </w:rPr>
            </w:pPr>
            <w:r>
              <w:rPr>
                <w:spacing w:val="-2"/>
                <w:sz w:val="18"/>
              </w:rPr>
              <w:t>0.232636</w:t>
            </w:r>
          </w:p>
        </w:tc>
        <w:tc>
          <w:tcPr>
            <w:tcW w:w="940" w:type="dxa"/>
            <w:tcBorders>
              <w:bottom w:val="double" w:sz="6" w:space="0" w:color="000000"/>
            </w:tcBorders>
          </w:tcPr>
          <w:p>
            <w:pPr>
              <w:pStyle w:val="TableParagraph"/>
              <w:spacing w:line="240" w:lineRule="auto"/>
              <w:ind w:right="121"/>
              <w:jc w:val="right"/>
              <w:rPr>
                <w:sz w:val="18"/>
              </w:rPr>
            </w:pPr>
            <w:r>
              <w:rPr>
                <w:spacing w:val="-2"/>
                <w:sz w:val="18"/>
              </w:rPr>
              <w:t>-2.012994</w:t>
            </w:r>
          </w:p>
        </w:tc>
        <w:tc>
          <w:tcPr>
            <w:tcW w:w="884" w:type="dxa"/>
            <w:tcBorders>
              <w:bottom w:val="double" w:sz="6" w:space="0" w:color="000000"/>
            </w:tcBorders>
          </w:tcPr>
          <w:p>
            <w:pPr>
              <w:pStyle w:val="TableParagraph"/>
              <w:spacing w:line="240" w:lineRule="auto"/>
              <w:ind w:right="6"/>
              <w:jc w:val="right"/>
              <w:rPr>
                <w:sz w:val="18"/>
              </w:rPr>
            </w:pPr>
            <w:r>
              <w:rPr>
                <w:spacing w:val="-2"/>
                <w:sz w:val="18"/>
              </w:rPr>
              <w:t>0.0555</w:t>
            </w:r>
          </w:p>
        </w:tc>
      </w:tr>
      <w:tr>
        <w:trPr>
          <w:trHeight w:val="326" w:hRule="atLeast"/>
        </w:trPr>
        <w:tc>
          <w:tcPr>
            <w:tcW w:w="1925" w:type="dxa"/>
            <w:tcBorders>
              <w:top w:val="double" w:sz="6" w:space="0" w:color="000000"/>
            </w:tcBorders>
          </w:tcPr>
          <w:p>
            <w:pPr>
              <w:pStyle w:val="TableParagraph"/>
              <w:spacing w:line="198" w:lineRule="exact" w:before="108"/>
              <w:rPr>
                <w:sz w:val="18"/>
              </w:rPr>
            </w:pPr>
            <w:r>
              <w:rPr>
                <w:spacing w:val="-2"/>
                <w:sz w:val="18"/>
              </w:rPr>
              <w:t>R-squared</w:t>
            </w:r>
          </w:p>
        </w:tc>
        <w:tc>
          <w:tcPr>
            <w:tcW w:w="1291" w:type="dxa"/>
            <w:tcBorders>
              <w:top w:val="double" w:sz="6" w:space="0" w:color="000000"/>
            </w:tcBorders>
          </w:tcPr>
          <w:p>
            <w:pPr>
              <w:pStyle w:val="TableParagraph"/>
              <w:spacing w:line="198" w:lineRule="exact" w:before="108"/>
              <w:ind w:right="104"/>
              <w:jc w:val="right"/>
              <w:rPr>
                <w:sz w:val="18"/>
              </w:rPr>
            </w:pPr>
            <w:r>
              <w:rPr>
                <w:spacing w:val="-2"/>
                <w:sz w:val="18"/>
              </w:rPr>
              <w:t>0.273038</w:t>
            </w:r>
          </w:p>
        </w:tc>
        <w:tc>
          <w:tcPr>
            <w:tcW w:w="2431" w:type="dxa"/>
            <w:gridSpan w:val="2"/>
            <w:tcBorders>
              <w:top w:val="double" w:sz="6" w:space="0" w:color="000000"/>
            </w:tcBorders>
          </w:tcPr>
          <w:p>
            <w:pPr>
              <w:pStyle w:val="TableParagraph"/>
              <w:spacing w:line="198" w:lineRule="exact" w:before="108"/>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8" w:lineRule="exact" w:before="108"/>
              <w:ind w:right="7"/>
              <w:jc w:val="right"/>
              <w:rPr>
                <w:sz w:val="18"/>
              </w:rPr>
            </w:pPr>
            <w:r>
              <w:rPr>
                <w:spacing w:val="-2"/>
                <w:sz w:val="18"/>
              </w:rPr>
              <w:t>2.48E-</w:t>
            </w:r>
            <w:r>
              <w:rPr>
                <w:spacing w:val="-5"/>
                <w:sz w:val="18"/>
              </w:rPr>
              <w:t>12</w:t>
            </w:r>
          </w:p>
        </w:tc>
      </w:tr>
      <w:tr>
        <w:trPr>
          <w:trHeight w:val="224" w:hRule="atLeast"/>
        </w:trPr>
        <w:tc>
          <w:tcPr>
            <w:tcW w:w="1925"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291" w:type="dxa"/>
          </w:tcPr>
          <w:p>
            <w:pPr>
              <w:pStyle w:val="TableParagraph"/>
              <w:spacing w:before="5"/>
              <w:ind w:right="104"/>
              <w:jc w:val="right"/>
              <w:rPr>
                <w:sz w:val="18"/>
              </w:rPr>
            </w:pPr>
            <w:r>
              <w:rPr>
                <w:spacing w:val="-2"/>
                <w:sz w:val="18"/>
              </w:rPr>
              <w:t>-0.029863</w:t>
            </w:r>
          </w:p>
        </w:tc>
        <w:tc>
          <w:tcPr>
            <w:tcW w:w="2431" w:type="dxa"/>
            <w:gridSpan w:val="2"/>
          </w:tcPr>
          <w:p>
            <w:pPr>
              <w:pStyle w:val="TableParagraph"/>
              <w:spacing w:before="5"/>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spacing w:before="5"/>
              <w:ind w:right="6"/>
              <w:jc w:val="right"/>
              <w:rPr>
                <w:sz w:val="18"/>
              </w:rPr>
            </w:pPr>
            <w:r>
              <w:rPr>
                <w:spacing w:val="-2"/>
                <w:sz w:val="18"/>
              </w:rPr>
              <w:t>2537.703</w:t>
            </w:r>
          </w:p>
        </w:tc>
      </w:tr>
      <w:tr>
        <w:trPr>
          <w:trHeight w:val="225" w:hRule="atLeast"/>
        </w:trPr>
        <w:tc>
          <w:tcPr>
            <w:tcW w:w="1925" w:type="dxa"/>
          </w:tcPr>
          <w:p>
            <w:pPr>
              <w:pStyle w:val="TableParagraph"/>
              <w:rPr>
                <w:sz w:val="18"/>
              </w:rPr>
            </w:pPr>
            <w:r>
              <w:rPr>
                <w:sz w:val="18"/>
              </w:rPr>
              <w:t>S.E.</w:t>
            </w:r>
            <w:r>
              <w:rPr>
                <w:spacing w:val="-2"/>
                <w:sz w:val="18"/>
              </w:rPr>
              <w:t> </w:t>
            </w:r>
            <w:r>
              <w:rPr>
                <w:sz w:val="18"/>
              </w:rPr>
              <w:t>of </w:t>
            </w:r>
            <w:r>
              <w:rPr>
                <w:spacing w:val="-2"/>
                <w:sz w:val="18"/>
              </w:rPr>
              <w:t>regression</w:t>
            </w:r>
          </w:p>
        </w:tc>
        <w:tc>
          <w:tcPr>
            <w:tcW w:w="1291" w:type="dxa"/>
          </w:tcPr>
          <w:p>
            <w:pPr>
              <w:pStyle w:val="TableParagraph"/>
              <w:ind w:right="104"/>
              <w:jc w:val="right"/>
              <w:rPr>
                <w:sz w:val="18"/>
              </w:rPr>
            </w:pPr>
            <w:r>
              <w:rPr>
                <w:spacing w:val="-2"/>
                <w:sz w:val="18"/>
              </w:rPr>
              <w:t>2575.316</w:t>
            </w:r>
          </w:p>
        </w:tc>
        <w:tc>
          <w:tcPr>
            <w:tcW w:w="2431" w:type="dxa"/>
            <w:gridSpan w:val="2"/>
          </w:tcPr>
          <w:p>
            <w:pPr>
              <w:pStyle w:val="TableParagraph"/>
              <w:ind w:left="106"/>
              <w:rPr>
                <w:sz w:val="18"/>
              </w:rPr>
            </w:pPr>
            <w:r>
              <w:rPr>
                <w:sz w:val="18"/>
              </w:rPr>
              <w:t>Akaike</w:t>
            </w:r>
            <w:r>
              <w:rPr>
                <w:spacing w:val="-3"/>
                <w:sz w:val="18"/>
              </w:rPr>
              <w:t> </w:t>
            </w:r>
            <w:r>
              <w:rPr>
                <w:sz w:val="18"/>
              </w:rPr>
              <w:t>info</w:t>
            </w:r>
            <w:r>
              <w:rPr>
                <w:spacing w:val="-2"/>
                <w:sz w:val="18"/>
              </w:rPr>
              <w:t> criterion</w:t>
            </w:r>
          </w:p>
        </w:tc>
        <w:tc>
          <w:tcPr>
            <w:tcW w:w="884" w:type="dxa"/>
          </w:tcPr>
          <w:p>
            <w:pPr>
              <w:pStyle w:val="TableParagraph"/>
              <w:ind w:right="6"/>
              <w:jc w:val="right"/>
              <w:rPr>
                <w:sz w:val="18"/>
              </w:rPr>
            </w:pPr>
            <w:r>
              <w:rPr>
                <w:spacing w:val="-2"/>
                <w:sz w:val="18"/>
              </w:rPr>
              <w:t>18.79661</w:t>
            </w:r>
          </w:p>
        </w:tc>
      </w:tr>
      <w:tr>
        <w:trPr>
          <w:trHeight w:val="225" w:hRule="atLeast"/>
        </w:trPr>
        <w:tc>
          <w:tcPr>
            <w:tcW w:w="1925" w:type="dxa"/>
          </w:tcPr>
          <w:p>
            <w:pPr>
              <w:pStyle w:val="TableParagraph"/>
              <w:rPr>
                <w:sz w:val="18"/>
              </w:rPr>
            </w:pPr>
            <w:r>
              <w:rPr>
                <w:sz w:val="18"/>
              </w:rPr>
              <w:t>Sum</w:t>
            </w:r>
            <w:r>
              <w:rPr>
                <w:spacing w:val="-2"/>
                <w:sz w:val="18"/>
              </w:rPr>
              <w:t> </w:t>
            </w:r>
            <w:r>
              <w:rPr>
                <w:sz w:val="18"/>
              </w:rPr>
              <w:t>squared </w:t>
            </w:r>
            <w:r>
              <w:rPr>
                <w:spacing w:val="-2"/>
                <w:sz w:val="18"/>
              </w:rPr>
              <w:t>resid</w:t>
            </w:r>
          </w:p>
        </w:tc>
        <w:tc>
          <w:tcPr>
            <w:tcW w:w="1291" w:type="dxa"/>
          </w:tcPr>
          <w:p>
            <w:pPr>
              <w:pStyle w:val="TableParagraph"/>
              <w:ind w:right="104"/>
              <w:jc w:val="right"/>
              <w:rPr>
                <w:sz w:val="18"/>
              </w:rPr>
            </w:pPr>
            <w:r>
              <w:rPr>
                <w:spacing w:val="-2"/>
                <w:sz w:val="18"/>
              </w:rPr>
              <w:t>1.59E+08</w:t>
            </w:r>
          </w:p>
        </w:tc>
        <w:tc>
          <w:tcPr>
            <w:tcW w:w="1491" w:type="dxa"/>
          </w:tcPr>
          <w:p>
            <w:pPr>
              <w:pStyle w:val="TableParagraph"/>
              <w:ind w:left="106"/>
              <w:rPr>
                <w:sz w:val="18"/>
              </w:rPr>
            </w:pPr>
            <w:r>
              <w:rPr>
                <w:sz w:val="18"/>
              </w:rPr>
              <w:t>Schwarz</w:t>
            </w:r>
            <w:r>
              <w:rPr>
                <w:spacing w:val="-4"/>
                <w:sz w:val="18"/>
              </w:rPr>
              <w:t> </w:t>
            </w:r>
            <w:r>
              <w:rPr>
                <w:spacing w:val="-2"/>
                <w:sz w:val="18"/>
              </w:rPr>
              <w:t>criterion</w:t>
            </w:r>
          </w:p>
        </w:tc>
        <w:tc>
          <w:tcPr>
            <w:tcW w:w="940" w:type="dxa"/>
          </w:tcPr>
          <w:p>
            <w:pPr>
              <w:pStyle w:val="TableParagraph"/>
              <w:spacing w:line="240" w:lineRule="auto" w:before="0"/>
              <w:rPr>
                <w:rFonts w:ascii="Times New Roman"/>
                <w:sz w:val="16"/>
              </w:rPr>
            </w:pPr>
          </w:p>
        </w:tc>
        <w:tc>
          <w:tcPr>
            <w:tcW w:w="884" w:type="dxa"/>
          </w:tcPr>
          <w:p>
            <w:pPr>
              <w:pStyle w:val="TableParagraph"/>
              <w:ind w:right="6"/>
              <w:jc w:val="right"/>
              <w:rPr>
                <w:sz w:val="18"/>
              </w:rPr>
            </w:pPr>
            <w:r>
              <w:rPr>
                <w:spacing w:val="-2"/>
                <w:sz w:val="18"/>
              </w:rPr>
              <w:t>19.28543</w:t>
            </w:r>
          </w:p>
        </w:tc>
      </w:tr>
      <w:tr>
        <w:trPr>
          <w:trHeight w:val="224" w:hRule="atLeast"/>
        </w:trPr>
        <w:tc>
          <w:tcPr>
            <w:tcW w:w="1925" w:type="dxa"/>
          </w:tcPr>
          <w:p>
            <w:pPr>
              <w:pStyle w:val="TableParagraph"/>
              <w:spacing w:line="198" w:lineRule="exact"/>
              <w:rPr>
                <w:sz w:val="18"/>
              </w:rPr>
            </w:pPr>
            <w:r>
              <w:rPr>
                <w:sz w:val="18"/>
              </w:rPr>
              <w:t>Log</w:t>
            </w:r>
            <w:r>
              <w:rPr>
                <w:spacing w:val="-3"/>
                <w:sz w:val="18"/>
              </w:rPr>
              <w:t> </w:t>
            </w:r>
            <w:r>
              <w:rPr>
                <w:spacing w:val="-2"/>
                <w:sz w:val="18"/>
              </w:rPr>
              <w:t>likelihood</w:t>
            </w:r>
          </w:p>
        </w:tc>
        <w:tc>
          <w:tcPr>
            <w:tcW w:w="1291" w:type="dxa"/>
          </w:tcPr>
          <w:p>
            <w:pPr>
              <w:pStyle w:val="TableParagraph"/>
              <w:spacing w:line="198" w:lineRule="exact"/>
              <w:ind w:right="104"/>
              <w:jc w:val="right"/>
              <w:rPr>
                <w:sz w:val="18"/>
              </w:rPr>
            </w:pPr>
            <w:r>
              <w:rPr>
                <w:spacing w:val="-2"/>
                <w:sz w:val="18"/>
              </w:rPr>
              <w:t>-317.9407</w:t>
            </w:r>
          </w:p>
        </w:tc>
        <w:tc>
          <w:tcPr>
            <w:tcW w:w="2431" w:type="dxa"/>
            <w:gridSpan w:val="2"/>
          </w:tcPr>
          <w:p>
            <w:pPr>
              <w:pStyle w:val="TableParagraph"/>
              <w:spacing w:line="198" w:lineRule="exact"/>
              <w:ind w:left="106"/>
              <w:rPr>
                <w:sz w:val="18"/>
              </w:rPr>
            </w:pPr>
            <w:r>
              <w:rPr>
                <w:spacing w:val="-2"/>
                <w:sz w:val="18"/>
              </w:rPr>
              <w:t>Hannan-Quinn</w:t>
            </w:r>
            <w:r>
              <w:rPr>
                <w:spacing w:val="11"/>
                <w:sz w:val="18"/>
              </w:rPr>
              <w:t> </w:t>
            </w:r>
            <w:r>
              <w:rPr>
                <w:spacing w:val="-2"/>
                <w:sz w:val="18"/>
              </w:rPr>
              <w:t>criter.</w:t>
            </w:r>
          </w:p>
        </w:tc>
        <w:tc>
          <w:tcPr>
            <w:tcW w:w="884" w:type="dxa"/>
          </w:tcPr>
          <w:p>
            <w:pPr>
              <w:pStyle w:val="TableParagraph"/>
              <w:spacing w:line="198" w:lineRule="exact"/>
              <w:ind w:right="6"/>
              <w:jc w:val="right"/>
              <w:rPr>
                <w:sz w:val="18"/>
              </w:rPr>
            </w:pPr>
            <w:r>
              <w:rPr>
                <w:spacing w:val="-2"/>
                <w:sz w:val="18"/>
              </w:rPr>
              <w:t>18.96535</w:t>
            </w:r>
          </w:p>
        </w:tc>
      </w:tr>
      <w:tr>
        <w:trPr>
          <w:trHeight w:val="224" w:hRule="atLeast"/>
        </w:trPr>
        <w:tc>
          <w:tcPr>
            <w:tcW w:w="1925" w:type="dxa"/>
          </w:tcPr>
          <w:p>
            <w:pPr>
              <w:pStyle w:val="TableParagraph"/>
              <w:spacing w:before="5"/>
              <w:rPr>
                <w:sz w:val="18"/>
              </w:rPr>
            </w:pPr>
            <w:r>
              <w:rPr>
                <w:spacing w:val="-2"/>
                <w:sz w:val="18"/>
              </w:rPr>
              <w:t>F-statistic</w:t>
            </w:r>
          </w:p>
        </w:tc>
        <w:tc>
          <w:tcPr>
            <w:tcW w:w="1291" w:type="dxa"/>
          </w:tcPr>
          <w:p>
            <w:pPr>
              <w:pStyle w:val="TableParagraph"/>
              <w:spacing w:before="5"/>
              <w:ind w:right="104"/>
              <w:jc w:val="right"/>
              <w:rPr>
                <w:sz w:val="18"/>
              </w:rPr>
            </w:pPr>
            <w:r>
              <w:rPr>
                <w:spacing w:val="-2"/>
                <w:sz w:val="18"/>
              </w:rPr>
              <w:t>0.901410</w:t>
            </w:r>
          </w:p>
        </w:tc>
        <w:tc>
          <w:tcPr>
            <w:tcW w:w="2431" w:type="dxa"/>
            <w:gridSpan w:val="2"/>
          </w:tcPr>
          <w:p>
            <w:pPr>
              <w:pStyle w:val="TableParagraph"/>
              <w:spacing w:before="5"/>
              <w:ind w:left="106"/>
              <w:rPr>
                <w:sz w:val="18"/>
              </w:rPr>
            </w:pPr>
            <w:r>
              <w:rPr>
                <w:spacing w:val="-2"/>
                <w:sz w:val="18"/>
              </w:rPr>
              <w:t>Durbin-Watson</w:t>
            </w:r>
            <w:r>
              <w:rPr>
                <w:spacing w:val="13"/>
                <w:sz w:val="18"/>
              </w:rPr>
              <w:t> </w:t>
            </w:r>
            <w:r>
              <w:rPr>
                <w:spacing w:val="-4"/>
                <w:sz w:val="18"/>
              </w:rPr>
              <w:t>stat</w:t>
            </w:r>
          </w:p>
        </w:tc>
        <w:tc>
          <w:tcPr>
            <w:tcW w:w="884" w:type="dxa"/>
          </w:tcPr>
          <w:p>
            <w:pPr>
              <w:pStyle w:val="TableParagraph"/>
              <w:spacing w:before="5"/>
              <w:ind w:right="6"/>
              <w:jc w:val="right"/>
              <w:rPr>
                <w:sz w:val="18"/>
              </w:rPr>
            </w:pPr>
            <w:r>
              <w:rPr>
                <w:spacing w:val="-2"/>
                <w:sz w:val="18"/>
              </w:rPr>
              <w:t>1.836884</w:t>
            </w:r>
          </w:p>
        </w:tc>
      </w:tr>
      <w:tr>
        <w:trPr>
          <w:trHeight w:val="303" w:hRule="atLeast"/>
        </w:trPr>
        <w:tc>
          <w:tcPr>
            <w:tcW w:w="1925" w:type="dxa"/>
            <w:tcBorders>
              <w:bottom w:val="double" w:sz="6" w:space="0" w:color="000000"/>
            </w:tcBorders>
          </w:tcPr>
          <w:p>
            <w:pPr>
              <w:pStyle w:val="TableParagraph"/>
              <w:spacing w:line="240" w:lineRule="auto"/>
              <w:rPr>
                <w:sz w:val="18"/>
              </w:rPr>
            </w:pPr>
            <w:r>
              <w:rPr>
                <w:spacing w:val="-2"/>
                <w:sz w:val="18"/>
              </w:rPr>
              <w:t>Prob(F-statistic)</w:t>
            </w:r>
          </w:p>
        </w:tc>
        <w:tc>
          <w:tcPr>
            <w:tcW w:w="1291" w:type="dxa"/>
            <w:tcBorders>
              <w:bottom w:val="double" w:sz="6" w:space="0" w:color="000000"/>
            </w:tcBorders>
          </w:tcPr>
          <w:p>
            <w:pPr>
              <w:pStyle w:val="TableParagraph"/>
              <w:spacing w:line="240" w:lineRule="auto"/>
              <w:ind w:right="104"/>
              <w:jc w:val="right"/>
              <w:rPr>
                <w:sz w:val="18"/>
              </w:rPr>
            </w:pPr>
            <w:r>
              <w:rPr>
                <w:spacing w:val="-2"/>
                <w:sz w:val="18"/>
              </w:rPr>
              <w:t>0.546494</w:t>
            </w:r>
          </w:p>
        </w:tc>
        <w:tc>
          <w:tcPr>
            <w:tcW w:w="2431" w:type="dxa"/>
            <w:gridSpan w:val="2"/>
            <w:tcBorders>
              <w:bottom w:val="double" w:sz="6" w:space="0" w:color="000000"/>
            </w:tcBorders>
          </w:tcPr>
          <w:p>
            <w:pPr>
              <w:pStyle w:val="TableParagraph"/>
              <w:spacing w:line="240" w:lineRule="auto" w:before="0"/>
              <w:rPr>
                <w:rFonts w:ascii="Times New Roman"/>
                <w:sz w:val="18"/>
              </w:rPr>
            </w:pPr>
          </w:p>
        </w:tc>
        <w:tc>
          <w:tcPr>
            <w:tcW w:w="884" w:type="dxa"/>
            <w:tcBorders>
              <w:bottom w:val="double" w:sz="6" w:space="0" w:color="000000"/>
            </w:tcBorders>
          </w:tcPr>
          <w:p>
            <w:pPr>
              <w:pStyle w:val="TableParagraph"/>
              <w:spacing w:line="240" w:lineRule="auto" w:before="0"/>
              <w:rPr>
                <w:rFonts w:ascii="Times New Roman"/>
                <w:sz w:val="18"/>
              </w:rPr>
            </w:pPr>
          </w:p>
        </w:tc>
      </w:tr>
    </w:tbl>
    <w:p>
      <w:pPr>
        <w:spacing w:after="0" w:line="240" w:lineRule="auto"/>
        <w:rPr>
          <w:rFonts w:ascii="Times New Roman"/>
          <w:sz w:val="18"/>
        </w:rPr>
        <w:sectPr>
          <w:pgSz w:w="12240" w:h="15840"/>
          <w:pgMar w:header="0" w:footer="1012" w:top="1380" w:bottom="1200" w:left="1340" w:right="1720"/>
        </w:sectPr>
      </w:pPr>
    </w:p>
    <w:p>
      <w:pPr>
        <w:pStyle w:val="BodyText"/>
        <w:spacing w:before="4"/>
        <w:ind w:left="0"/>
        <w:rPr>
          <w:b/>
          <w:sz w:val="18"/>
        </w:rPr>
      </w:pPr>
      <w:r>
        <w:rPr/>
        <mc:AlternateContent>
          <mc:Choice Requires="wps">
            <w:drawing>
              <wp:anchor distT="0" distB="0" distL="0" distR="0" allowOverlap="1" layoutInCell="1" locked="0" behindDoc="1" simplePos="0" relativeHeight="478147584">
                <wp:simplePos x="0" y="0"/>
                <wp:positionH relativeFrom="page">
                  <wp:posOffset>950112</wp:posOffset>
                </wp:positionH>
                <wp:positionV relativeFrom="page">
                  <wp:posOffset>5495962</wp:posOffset>
                </wp:positionV>
                <wp:extent cx="2223770" cy="2362200"/>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40" y="1846249"/>
                              </a:lnTo>
                              <a:lnTo>
                                <a:pt x="673709" y="1810600"/>
                              </a:lnTo>
                              <a:lnTo>
                                <a:pt x="336143" y="1472907"/>
                              </a:lnTo>
                              <a:lnTo>
                                <a:pt x="212750" y="1596224"/>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601"/>
                              </a:lnTo>
                              <a:lnTo>
                                <a:pt x="1304518" y="1373974"/>
                              </a:lnTo>
                              <a:lnTo>
                                <a:pt x="1260602" y="1399667"/>
                              </a:lnTo>
                              <a:lnTo>
                                <a:pt x="1234897" y="1402486"/>
                              </a:lnTo>
                              <a:lnTo>
                                <a:pt x="1206601" y="1398485"/>
                              </a:lnTo>
                              <a:lnTo>
                                <a:pt x="1141285" y="1366926"/>
                              </a:lnTo>
                              <a:lnTo>
                                <a:pt x="1103972" y="1338237"/>
                              </a:lnTo>
                              <a:lnTo>
                                <a:pt x="1063599" y="1300708"/>
                              </a:lnTo>
                              <a:lnTo>
                                <a:pt x="1025931" y="1260119"/>
                              </a:lnTo>
                              <a:lnTo>
                                <a:pt x="997051" y="1222603"/>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489"/>
                              </a:lnTo>
                              <a:lnTo>
                                <a:pt x="1173124" y="1572958"/>
                              </a:lnTo>
                              <a:lnTo>
                                <a:pt x="1215783" y="1581632"/>
                              </a:lnTo>
                              <a:lnTo>
                                <a:pt x="1256322" y="1583817"/>
                              </a:lnTo>
                              <a:lnTo>
                                <a:pt x="1294739" y="1579841"/>
                              </a:lnTo>
                              <a:lnTo>
                                <a:pt x="1331429" y="1569542"/>
                              </a:lnTo>
                              <a:lnTo>
                                <a:pt x="1367269" y="1552308"/>
                              </a:lnTo>
                              <a:lnTo>
                                <a:pt x="1402270" y="1528318"/>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812004pt;margin-top:432.752991pt;width:175.1pt;height:186pt;mso-position-horizontal-relative:page;mso-position-vertical-relative:page;z-index:-25168896" id="docshape302" coordorigin="1496,8655" coordsize="3502,3720" path="m2562,12180l1691,11309,1496,11504,2367,12375,2562,12180xm3154,11504l3153,11465,3148,11422,3139,11378,3125,11334,3106,11290,3083,11247,3055,11205,3025,11164,2991,11124,2954,11085,2435,10565,2241,10759,2772,11291,2805,11327,2829,11362,2846,11397,2856,11431,2858,11464,2851,11495,2837,11523,2816,11549,2790,11571,2761,11585,2730,11591,2697,11589,2663,11579,2628,11563,2593,11538,2557,11506,2026,10975,1831,11169,2351,11688,2385,11720,2424,11753,2468,11785,2516,11818,2548,11836,2583,11852,2620,11865,2658,11876,2697,11884,2733,11888,2767,11888,2800,11885,2831,11878,2863,11866,2895,11850,2926,11829,2957,11806,2985,11783,3011,11760,3035,11737,3071,11697,3102,11656,3125,11615,3142,11573,3150,11540,3154,11504xm3882,10721l3876,10657,3860,10591,3834,10524,3806,10470,3771,10414,3728,10356,3678,10297,3661,10279,3621,10237,3597,10215,3597,10709,3592,10749,3577,10786,3551,10819,3518,10844,3481,10859,3441,10864,3396,10857,3347,10839,3294,10808,3235,10763,3171,10703,3112,10639,3066,10580,3035,10526,3016,10477,3010,10433,3014,10392,3029,10356,3053,10325,3086,10299,3122,10284,3163,10279,3207,10284,3255,10301,3307,10331,3363,10373,3423,10428,3488,10498,3538,10561,3572,10617,3591,10665,3597,10709,3597,10215,3551,10172,3482,10117,3413,10072,3344,10036,3276,10011,3209,9995,3130,9989,3055,9999,2983,10025,2914,10065,2850,10121,2796,10184,2756,10252,2732,10323,2723,10399,2729,10479,2746,10547,2772,10616,2808,10686,2854,10756,2910,10826,2976,10897,3036,10954,3096,11004,3156,11046,3215,11080,3273,11108,3344,11132,3411,11146,3475,11149,3535,11143,3593,11127,3649,11100,3705,11062,3758,11014,3805,10960,3841,10904,3858,10864,3866,10845,3879,10784,3882,10721xm4153,10141l3966,9954,3712,10208,3899,10395,4153,10141xm4664,10079l3793,9207,3598,9402,4469,10274,4664,10079xm4998,9744l4675,9421,4781,9314,4832,9255,4837,9245,4866,9193,4883,9130,4882,9065,4866,8999,4843,8948,4836,8934,4792,8868,4733,8802,4670,8745,4607,8701,4598,8697,4598,9090,4597,9116,4587,9142,4570,9169,4546,9197,4498,9245,4304,9050,4359,8995,4386,8971,4412,8956,4438,8948,4462,8949,4486,8955,4509,8966,4531,8980,4552,8999,4570,9020,4584,9043,4593,9066,4598,9090,4598,8697,4544,8672,4483,8656,4423,8655,4365,8670,4309,8700,4255,8745,3931,9069,4803,9940,4998,974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8148096">
                <wp:simplePos x="0" y="0"/>
                <wp:positionH relativeFrom="page">
                  <wp:posOffset>2872486</wp:posOffset>
                </wp:positionH>
                <wp:positionV relativeFrom="page">
                  <wp:posOffset>2197353</wp:posOffset>
                </wp:positionV>
                <wp:extent cx="3583304" cy="3612515"/>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3583304" cy="3612515"/>
                        </a:xfrm>
                        <a:custGeom>
                          <a:avLst/>
                          <a:gdLst/>
                          <a:ahLst/>
                          <a:cxnLst/>
                          <a:rect l="l" t="t" r="r" b="b"/>
                          <a:pathLst>
                            <a:path w="3583304" h="3612515">
                              <a:moveTo>
                                <a:pt x="802767" y="3488817"/>
                              </a:moveTo>
                              <a:lnTo>
                                <a:pt x="386067"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74"/>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19"/>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08"/>
                              </a:lnTo>
                              <a:lnTo>
                                <a:pt x="1840230" y="1603121"/>
                              </a:lnTo>
                              <a:lnTo>
                                <a:pt x="1853374" y="1601851"/>
                              </a:lnTo>
                              <a:lnTo>
                                <a:pt x="1866976" y="1602105"/>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39"/>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58"/>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75"/>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75"/>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6.180008pt;margin-top:173.019974pt;width:282.150pt;height:284.45pt;mso-position-horizontal-relative:page;mso-position-vertical-relative:page;z-index:-25168384" id="docshape303" coordorigin="4524,3460" coordsize="5643,5689" path="m5788,8955l5132,8299,5330,8100,5115,7885,4524,8477,4739,8692,4937,8493,5593,9149,5788,8955xm6423,8319l5767,7663,5966,7465,5751,7250,5159,7841,5374,8056,5573,7858,6229,8514,6423,8319xm7157,7446l7151,7382,7135,7316,7109,7249,7081,7195,7046,7139,7003,7082,6953,7023,6935,7004,6896,6962,6872,6940,6872,7434,6867,7474,6851,7511,6825,7544,6793,7569,6756,7584,6716,7589,6671,7582,6622,7564,6569,7533,6510,7488,6446,7429,6387,7365,6341,7305,6309,7251,6291,7202,6285,7158,6289,7117,6304,7082,6328,7050,6361,7024,6397,7009,6438,7004,6482,7009,6530,7026,6582,7056,6638,7098,6698,7153,6763,7223,6813,7286,6847,7342,6866,7390,6872,7434,6872,6940,6826,6897,6756,6842,6687,6797,6619,6762,6551,6736,6483,6720,6405,6714,6329,6724,6258,6750,6189,6790,6125,6846,6071,6909,6031,6977,6007,7049,5998,7124,6004,7204,6021,7272,6047,7341,6083,7411,6129,7481,6184,7551,6250,7622,6311,7679,6371,7729,6431,7771,6490,7806,6548,7833,6619,7857,6686,7871,6750,7874,6810,7868,6868,7852,6924,7825,6979,7787,7033,7739,7080,7685,7116,7629,7133,7589,7141,7570,7154,7509,7157,7446xm8170,6450l8165,6402,8153,6351,8134,6298,8109,6244,8079,6188,8041,6131,7980,6156,7799,6230,7831,6277,7855,6320,7873,6360,7884,6397,7887,6433,7881,6466,7866,6497,7843,6526,7812,6549,7778,6563,7740,6568,7700,6561,7653,6543,7600,6509,7538,6459,7469,6395,7417,6338,7375,6286,7344,6239,7324,6196,7311,6144,7312,6098,7325,6057,7352,6021,7367,6008,7384,5998,7402,5990,7422,5985,7442,5983,7464,5983,7486,5987,7509,5993,7524,5998,7542,6007,7563,6018,7586,6032,7705,5807,7622,5761,7543,5729,7469,5710,7400,5704,7333,5711,7269,5734,7206,5772,7146,5824,7092,5887,7054,5954,7030,6024,7021,6098,7027,6175,7044,6242,7070,6310,7106,6379,7153,6449,7209,6520,7276,6591,7341,6652,7404,6704,7467,6748,7529,6783,7590,6811,7662,6834,7730,6847,7791,6850,7847,6843,7900,6826,7952,6799,8004,6763,8056,6716,8094,6674,8125,6631,8147,6587,8161,6543,8169,6498,8170,6450xm8868,5735l8861,5671,8846,5605,8820,5539,8792,5484,8757,5428,8714,5371,8664,5312,8646,5293,8607,5251,8583,5229,8583,5723,8578,5763,8562,5800,8536,5833,8504,5858,8467,5873,8427,5878,8382,5872,8333,5853,8279,5822,8221,5777,8157,5718,8098,5654,8052,5595,8020,5540,8002,5491,7996,5447,8000,5407,8014,5371,8039,5339,8071,5314,8108,5298,8149,5293,8193,5298,8241,5315,8293,5345,8349,5387,8409,5442,8474,5512,8524,5575,8558,5631,8577,5680,8583,5723,8583,5229,8537,5186,8467,5131,8398,5086,8330,5051,8262,5025,8194,5009,8116,5004,8040,5014,7968,5039,7900,5080,7835,5135,7781,5198,7742,5266,7718,5338,7709,5414,7715,5493,7731,5562,7758,5630,7794,5700,7839,5770,7895,5840,7961,5911,8022,5968,8082,6018,8142,6060,8201,6095,8259,6122,8329,6146,8397,6160,8461,6163,8521,6157,8579,6141,8635,6114,8690,6076,8744,6028,8791,5974,8827,5918,8844,5878,8852,5859,8865,5798,8868,5735xm9348,5394l9025,5071,9132,4964,9182,4904,9188,4894,9216,4843,9233,4779,9233,4715,9217,4649,9194,4598,9187,4583,9142,4517,9084,4451,9020,4394,8957,4351,8948,4347,8948,4740,8947,4766,8938,4792,8921,4819,8896,4847,8849,4894,8654,4700,8710,4645,8737,4621,8763,4606,8788,4598,8812,4599,8836,4605,8859,4616,8881,4630,8902,4649,8920,4670,8934,4693,8943,4716,8948,4740,8948,4347,8895,4322,8833,4306,8773,4305,8715,4319,8659,4350,8605,4395,8282,4718,9153,5590,9348,5394xm10166,4576l9801,4212,9748,4062,9593,3610,9540,3460,9325,3676,9353,3746,9436,3957,9492,4097,9422,4069,9211,3986,9071,3930,8854,4146,9005,4198,9456,4354,9606,4407,9971,4771,10166,4576xe" filled="true" fillcolor="#c0c0c0" stroked="false">
                <v:path arrowok="t"/>
                <v:fill opacity="32896f" type="solid"/>
                <w10:wrap type="none"/>
              </v:shape>
            </w:pict>
          </mc:Fallback>
        </mc:AlternateContent>
      </w: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0"/>
        <w:gridCol w:w="1256"/>
        <w:gridCol w:w="1491"/>
        <w:gridCol w:w="940"/>
        <w:gridCol w:w="884"/>
      </w:tblGrid>
      <w:tr>
        <w:trPr>
          <w:trHeight w:val="291" w:hRule="atLeast"/>
        </w:trPr>
        <w:tc>
          <w:tcPr>
            <w:tcW w:w="6531" w:type="dxa"/>
            <w:gridSpan w:val="5"/>
            <w:tcBorders>
              <w:bottom w:val="double" w:sz="6" w:space="0" w:color="000000"/>
            </w:tcBorders>
          </w:tcPr>
          <w:p>
            <w:pPr>
              <w:pStyle w:val="TableParagraph"/>
              <w:spacing w:line="201" w:lineRule="exact" w:before="0"/>
              <w:rPr>
                <w:sz w:val="18"/>
              </w:rPr>
            </w:pPr>
            <w:r>
              <w:rPr>
                <w:sz w:val="18"/>
              </w:rPr>
              <w:t>Heteroskedasticity</w:t>
            </w:r>
            <w:r>
              <w:rPr>
                <w:spacing w:val="-11"/>
                <w:sz w:val="18"/>
              </w:rPr>
              <w:t> </w:t>
            </w:r>
            <w:r>
              <w:rPr>
                <w:sz w:val="18"/>
              </w:rPr>
              <w:t>Test:</w:t>
            </w:r>
            <w:r>
              <w:rPr>
                <w:spacing w:val="-7"/>
                <w:sz w:val="18"/>
              </w:rPr>
              <w:t> </w:t>
            </w:r>
            <w:r>
              <w:rPr>
                <w:sz w:val="18"/>
              </w:rPr>
              <w:t>Breusch-Pagan-</w:t>
            </w:r>
            <w:r>
              <w:rPr>
                <w:spacing w:val="-2"/>
                <w:sz w:val="18"/>
              </w:rPr>
              <w:t>Godfrey</w:t>
            </w:r>
          </w:p>
        </w:tc>
      </w:tr>
      <w:tr>
        <w:trPr>
          <w:trHeight w:val="326" w:hRule="atLeast"/>
        </w:trPr>
        <w:tc>
          <w:tcPr>
            <w:tcW w:w="1960" w:type="dxa"/>
            <w:tcBorders>
              <w:top w:val="double" w:sz="6" w:space="0" w:color="000000"/>
            </w:tcBorders>
          </w:tcPr>
          <w:p>
            <w:pPr>
              <w:pStyle w:val="TableParagraph"/>
              <w:spacing w:line="198" w:lineRule="exact" w:before="108"/>
              <w:rPr>
                <w:sz w:val="18"/>
              </w:rPr>
            </w:pPr>
            <w:r>
              <w:rPr>
                <w:spacing w:val="-2"/>
                <w:sz w:val="18"/>
              </w:rPr>
              <w:t>F-statistic</w:t>
            </w:r>
          </w:p>
        </w:tc>
        <w:tc>
          <w:tcPr>
            <w:tcW w:w="1256" w:type="dxa"/>
            <w:tcBorders>
              <w:top w:val="double" w:sz="6" w:space="0" w:color="000000"/>
            </w:tcBorders>
          </w:tcPr>
          <w:p>
            <w:pPr>
              <w:pStyle w:val="TableParagraph"/>
              <w:spacing w:line="198" w:lineRule="exact" w:before="108"/>
              <w:ind w:right="104"/>
              <w:jc w:val="right"/>
              <w:rPr>
                <w:sz w:val="18"/>
              </w:rPr>
            </w:pPr>
            <w:r>
              <w:rPr>
                <w:spacing w:val="-2"/>
                <w:sz w:val="18"/>
              </w:rPr>
              <w:t>0.905751</w:t>
            </w:r>
          </w:p>
        </w:tc>
        <w:tc>
          <w:tcPr>
            <w:tcW w:w="1491" w:type="dxa"/>
            <w:tcBorders>
              <w:top w:val="double" w:sz="6" w:space="0" w:color="000000"/>
            </w:tcBorders>
          </w:tcPr>
          <w:p>
            <w:pPr>
              <w:pStyle w:val="TableParagraph"/>
              <w:spacing w:line="198" w:lineRule="exact" w:before="108"/>
              <w:ind w:left="106"/>
              <w:rPr>
                <w:sz w:val="18"/>
              </w:rPr>
            </w:pPr>
            <w:r>
              <w:rPr>
                <w:sz w:val="18"/>
              </w:rPr>
              <w:t>Prob.</w:t>
            </w:r>
            <w:r>
              <w:rPr>
                <w:spacing w:val="-4"/>
                <w:sz w:val="18"/>
              </w:rPr>
              <w:t> </w:t>
            </w:r>
            <w:r>
              <w:rPr>
                <w:spacing w:val="-2"/>
                <w:sz w:val="18"/>
              </w:rPr>
              <w:t>F(8,26)</w:t>
            </w:r>
          </w:p>
        </w:tc>
        <w:tc>
          <w:tcPr>
            <w:tcW w:w="940" w:type="dxa"/>
            <w:tcBorders>
              <w:top w:val="double" w:sz="6" w:space="0" w:color="000000"/>
            </w:tcBorders>
          </w:tcPr>
          <w:p>
            <w:pPr>
              <w:pStyle w:val="TableParagraph"/>
              <w:spacing w:line="240" w:lineRule="auto" w:before="0"/>
              <w:rPr>
                <w:rFonts w:ascii="Times New Roman"/>
                <w:sz w:val="18"/>
              </w:rPr>
            </w:pPr>
          </w:p>
        </w:tc>
        <w:tc>
          <w:tcPr>
            <w:tcW w:w="884" w:type="dxa"/>
            <w:tcBorders>
              <w:top w:val="double" w:sz="6" w:space="0" w:color="000000"/>
            </w:tcBorders>
          </w:tcPr>
          <w:p>
            <w:pPr>
              <w:pStyle w:val="TableParagraph"/>
              <w:spacing w:line="198" w:lineRule="exact" w:before="108"/>
              <w:ind w:right="6"/>
              <w:jc w:val="right"/>
              <w:rPr>
                <w:sz w:val="18"/>
              </w:rPr>
            </w:pPr>
            <w:r>
              <w:rPr>
                <w:spacing w:val="-2"/>
                <w:sz w:val="18"/>
              </w:rPr>
              <w:t>0.5266</w:t>
            </w:r>
          </w:p>
        </w:tc>
      </w:tr>
      <w:tr>
        <w:trPr>
          <w:trHeight w:val="224" w:hRule="atLeast"/>
        </w:trPr>
        <w:tc>
          <w:tcPr>
            <w:tcW w:w="1960" w:type="dxa"/>
          </w:tcPr>
          <w:p>
            <w:pPr>
              <w:pStyle w:val="TableParagraph"/>
              <w:spacing w:before="5"/>
              <w:rPr>
                <w:sz w:val="18"/>
              </w:rPr>
            </w:pPr>
            <w:r>
              <w:rPr>
                <w:spacing w:val="-2"/>
                <w:sz w:val="18"/>
              </w:rPr>
              <w:t>Obs*R-squared</w:t>
            </w:r>
          </w:p>
        </w:tc>
        <w:tc>
          <w:tcPr>
            <w:tcW w:w="1256" w:type="dxa"/>
          </w:tcPr>
          <w:p>
            <w:pPr>
              <w:pStyle w:val="TableParagraph"/>
              <w:spacing w:before="5"/>
              <w:ind w:right="104"/>
              <w:jc w:val="right"/>
              <w:rPr>
                <w:sz w:val="18"/>
              </w:rPr>
            </w:pPr>
            <w:r>
              <w:rPr>
                <w:spacing w:val="-2"/>
                <w:sz w:val="18"/>
              </w:rPr>
              <w:t>7.628290</w:t>
            </w:r>
          </w:p>
        </w:tc>
        <w:tc>
          <w:tcPr>
            <w:tcW w:w="2431" w:type="dxa"/>
            <w:gridSpan w:val="2"/>
          </w:tcPr>
          <w:p>
            <w:pPr>
              <w:pStyle w:val="TableParagraph"/>
              <w:spacing w:before="5"/>
              <w:ind w:left="106"/>
              <w:rPr>
                <w:sz w:val="18"/>
              </w:rPr>
            </w:pPr>
            <w:r>
              <w:rPr>
                <w:sz w:val="18"/>
              </w:rPr>
              <w:t>Prob.</w:t>
            </w:r>
            <w:r>
              <w:rPr>
                <w:spacing w:val="-7"/>
                <w:sz w:val="18"/>
              </w:rPr>
              <w:t> </w:t>
            </w:r>
            <w:r>
              <w:rPr>
                <w:sz w:val="18"/>
              </w:rPr>
              <w:t>Chi-</w:t>
            </w:r>
            <w:r>
              <w:rPr>
                <w:spacing w:val="-2"/>
                <w:sz w:val="18"/>
              </w:rPr>
              <w:t>Square(8)</w:t>
            </w:r>
          </w:p>
        </w:tc>
        <w:tc>
          <w:tcPr>
            <w:tcW w:w="884" w:type="dxa"/>
          </w:tcPr>
          <w:p>
            <w:pPr>
              <w:pStyle w:val="TableParagraph"/>
              <w:spacing w:before="5"/>
              <w:ind w:right="6"/>
              <w:jc w:val="right"/>
              <w:rPr>
                <w:sz w:val="18"/>
              </w:rPr>
            </w:pPr>
            <w:r>
              <w:rPr>
                <w:spacing w:val="-2"/>
                <w:sz w:val="18"/>
              </w:rPr>
              <w:t>0.4706</w:t>
            </w:r>
          </w:p>
        </w:tc>
      </w:tr>
      <w:tr>
        <w:trPr>
          <w:trHeight w:val="303" w:hRule="atLeast"/>
        </w:trPr>
        <w:tc>
          <w:tcPr>
            <w:tcW w:w="1960" w:type="dxa"/>
            <w:tcBorders>
              <w:bottom w:val="double" w:sz="6" w:space="0" w:color="000000"/>
            </w:tcBorders>
          </w:tcPr>
          <w:p>
            <w:pPr>
              <w:pStyle w:val="TableParagraph"/>
              <w:spacing w:line="240" w:lineRule="auto"/>
              <w:rPr>
                <w:sz w:val="18"/>
              </w:rPr>
            </w:pPr>
            <w:r>
              <w:rPr>
                <w:sz w:val="18"/>
              </w:rPr>
              <w:t>Scaled</w:t>
            </w:r>
            <w:r>
              <w:rPr>
                <w:spacing w:val="-4"/>
                <w:sz w:val="18"/>
              </w:rPr>
              <w:t> </w:t>
            </w:r>
            <w:r>
              <w:rPr>
                <w:sz w:val="18"/>
              </w:rPr>
              <w:t>explained</w:t>
            </w:r>
            <w:r>
              <w:rPr>
                <w:spacing w:val="-3"/>
                <w:sz w:val="18"/>
              </w:rPr>
              <w:t> </w:t>
            </w:r>
            <w:r>
              <w:rPr>
                <w:spacing w:val="-5"/>
                <w:sz w:val="18"/>
              </w:rPr>
              <w:t>SS</w:t>
            </w:r>
          </w:p>
        </w:tc>
        <w:tc>
          <w:tcPr>
            <w:tcW w:w="1256" w:type="dxa"/>
            <w:tcBorders>
              <w:bottom w:val="double" w:sz="6" w:space="0" w:color="000000"/>
            </w:tcBorders>
          </w:tcPr>
          <w:p>
            <w:pPr>
              <w:pStyle w:val="TableParagraph"/>
              <w:spacing w:line="240" w:lineRule="auto"/>
              <w:ind w:right="104"/>
              <w:jc w:val="right"/>
              <w:rPr>
                <w:sz w:val="18"/>
              </w:rPr>
            </w:pPr>
            <w:r>
              <w:rPr>
                <w:spacing w:val="-2"/>
                <w:sz w:val="18"/>
              </w:rPr>
              <w:t>4.676163</w:t>
            </w:r>
          </w:p>
        </w:tc>
        <w:tc>
          <w:tcPr>
            <w:tcW w:w="2431" w:type="dxa"/>
            <w:gridSpan w:val="2"/>
            <w:tcBorders>
              <w:bottom w:val="double" w:sz="6" w:space="0" w:color="000000"/>
            </w:tcBorders>
          </w:tcPr>
          <w:p>
            <w:pPr>
              <w:pStyle w:val="TableParagraph"/>
              <w:spacing w:line="240" w:lineRule="auto"/>
              <w:ind w:left="106"/>
              <w:rPr>
                <w:sz w:val="18"/>
              </w:rPr>
            </w:pPr>
            <w:r>
              <w:rPr>
                <w:sz w:val="18"/>
              </w:rPr>
              <w:t>Prob.</w:t>
            </w:r>
            <w:r>
              <w:rPr>
                <w:spacing w:val="-7"/>
                <w:sz w:val="18"/>
              </w:rPr>
              <w:t> </w:t>
            </w:r>
            <w:r>
              <w:rPr>
                <w:sz w:val="18"/>
              </w:rPr>
              <w:t>Chi-</w:t>
            </w:r>
            <w:r>
              <w:rPr>
                <w:spacing w:val="-2"/>
                <w:sz w:val="18"/>
              </w:rPr>
              <w:t>Square(8)</w:t>
            </w:r>
          </w:p>
        </w:tc>
        <w:tc>
          <w:tcPr>
            <w:tcW w:w="884" w:type="dxa"/>
            <w:tcBorders>
              <w:bottom w:val="double" w:sz="6" w:space="0" w:color="000000"/>
            </w:tcBorders>
          </w:tcPr>
          <w:p>
            <w:pPr>
              <w:pStyle w:val="TableParagraph"/>
              <w:spacing w:line="240" w:lineRule="auto"/>
              <w:ind w:right="6"/>
              <w:jc w:val="right"/>
              <w:rPr>
                <w:sz w:val="18"/>
              </w:rPr>
            </w:pPr>
            <w:r>
              <w:rPr>
                <w:spacing w:val="-2"/>
                <w:sz w:val="18"/>
              </w:rPr>
              <w:t>0.7916</w:t>
            </w:r>
          </w:p>
        </w:tc>
      </w:tr>
      <w:tr>
        <w:trPr>
          <w:trHeight w:val="551" w:hRule="atLeast"/>
        </w:trPr>
        <w:tc>
          <w:tcPr>
            <w:tcW w:w="1960" w:type="dxa"/>
            <w:tcBorders>
              <w:top w:val="double" w:sz="6" w:space="0" w:color="000000"/>
            </w:tcBorders>
          </w:tcPr>
          <w:p>
            <w:pPr>
              <w:pStyle w:val="TableParagraph"/>
              <w:spacing w:line="240" w:lineRule="auto" w:before="124"/>
              <w:rPr>
                <w:rFonts w:ascii="Times New Roman"/>
                <w:b/>
                <w:sz w:val="18"/>
              </w:rPr>
            </w:pPr>
          </w:p>
          <w:p>
            <w:pPr>
              <w:pStyle w:val="TableParagraph"/>
              <w:spacing w:before="1"/>
              <w:rPr>
                <w:sz w:val="18"/>
              </w:rPr>
            </w:pPr>
            <w:r>
              <w:rPr>
                <w:sz w:val="18"/>
              </w:rPr>
              <w:t>Test </w:t>
            </w:r>
            <w:r>
              <w:rPr>
                <w:spacing w:val="-2"/>
                <w:sz w:val="18"/>
              </w:rPr>
              <w:t>Equation:</w:t>
            </w:r>
          </w:p>
        </w:tc>
        <w:tc>
          <w:tcPr>
            <w:tcW w:w="1256" w:type="dxa"/>
            <w:tcBorders>
              <w:top w:val="double" w:sz="6" w:space="0" w:color="000000"/>
            </w:tcBorders>
          </w:tcPr>
          <w:p>
            <w:pPr>
              <w:pStyle w:val="TableParagraph"/>
              <w:spacing w:line="240" w:lineRule="auto" w:before="0"/>
              <w:rPr>
                <w:rFonts w:ascii="Times New Roman"/>
                <w:sz w:val="18"/>
              </w:rPr>
            </w:pPr>
          </w:p>
        </w:tc>
        <w:tc>
          <w:tcPr>
            <w:tcW w:w="1491" w:type="dxa"/>
            <w:tcBorders>
              <w:top w:val="double" w:sz="6" w:space="0" w:color="000000"/>
            </w:tcBorders>
          </w:tcPr>
          <w:p>
            <w:pPr>
              <w:pStyle w:val="TableParagraph"/>
              <w:spacing w:line="240" w:lineRule="auto" w:before="0"/>
              <w:rPr>
                <w:rFonts w:ascii="Times New Roman"/>
                <w:sz w:val="18"/>
              </w:rPr>
            </w:pPr>
          </w:p>
        </w:tc>
        <w:tc>
          <w:tcPr>
            <w:tcW w:w="940" w:type="dxa"/>
            <w:tcBorders>
              <w:top w:val="double" w:sz="6" w:space="0" w:color="000000"/>
            </w:tcBorders>
          </w:tcPr>
          <w:p>
            <w:pPr>
              <w:pStyle w:val="TableParagraph"/>
              <w:spacing w:line="240" w:lineRule="auto" w:before="0"/>
              <w:rPr>
                <w:rFonts w:ascii="Times New Roman"/>
                <w:sz w:val="18"/>
              </w:rPr>
            </w:pPr>
          </w:p>
        </w:tc>
        <w:tc>
          <w:tcPr>
            <w:tcW w:w="884" w:type="dxa"/>
            <w:tcBorders>
              <w:top w:val="double" w:sz="6" w:space="0" w:color="000000"/>
            </w:tcBorders>
          </w:tcPr>
          <w:p>
            <w:pPr>
              <w:pStyle w:val="TableParagraph"/>
              <w:spacing w:line="240" w:lineRule="auto" w:before="0"/>
              <w:rPr>
                <w:rFonts w:ascii="Times New Roman"/>
                <w:sz w:val="18"/>
              </w:rPr>
            </w:pPr>
          </w:p>
        </w:tc>
      </w:tr>
      <w:tr>
        <w:trPr>
          <w:trHeight w:val="225" w:hRule="atLeast"/>
        </w:trPr>
        <w:tc>
          <w:tcPr>
            <w:tcW w:w="6531" w:type="dxa"/>
            <w:gridSpan w:val="5"/>
          </w:tcPr>
          <w:p>
            <w:pPr>
              <w:pStyle w:val="TableParagraph"/>
              <w:rPr>
                <w:sz w:val="18"/>
              </w:rPr>
            </w:pPr>
            <w:r>
              <w:rPr>
                <w:sz w:val="18"/>
              </w:rPr>
              <w:t>Dependent</w:t>
            </w:r>
            <w:r>
              <w:rPr>
                <w:spacing w:val="-13"/>
                <w:sz w:val="18"/>
              </w:rPr>
              <w:t> </w:t>
            </w:r>
            <w:r>
              <w:rPr>
                <w:sz w:val="18"/>
              </w:rPr>
              <w:t>Variable:</w:t>
            </w:r>
            <w:r>
              <w:rPr>
                <w:spacing w:val="-12"/>
                <w:sz w:val="18"/>
              </w:rPr>
              <w:t> </w:t>
            </w:r>
            <w:r>
              <w:rPr>
                <w:spacing w:val="-2"/>
                <w:sz w:val="18"/>
              </w:rPr>
              <w:t>RESID^2</w:t>
            </w:r>
          </w:p>
        </w:tc>
      </w:tr>
      <w:tr>
        <w:trPr>
          <w:trHeight w:val="225" w:hRule="atLeast"/>
        </w:trPr>
        <w:tc>
          <w:tcPr>
            <w:tcW w:w="196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256"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224" w:hRule="atLeast"/>
        </w:trPr>
        <w:tc>
          <w:tcPr>
            <w:tcW w:w="6531" w:type="dxa"/>
            <w:gridSpan w:val="5"/>
          </w:tcPr>
          <w:p>
            <w:pPr>
              <w:pStyle w:val="TableParagraph"/>
              <w:spacing w:line="198" w:lineRule="exact"/>
              <w:rPr>
                <w:sz w:val="18"/>
              </w:rPr>
            </w:pPr>
            <w:r>
              <w:rPr>
                <w:sz w:val="18"/>
              </w:rPr>
              <w:t>Date:</w:t>
            </w:r>
            <w:r>
              <w:rPr>
                <w:spacing w:val="-3"/>
                <w:sz w:val="18"/>
              </w:rPr>
              <w:t> </w:t>
            </w:r>
            <w:r>
              <w:rPr>
                <w:sz w:val="18"/>
              </w:rPr>
              <w:t>10/11/21</w:t>
            </w:r>
            <w:r>
              <w:rPr>
                <w:spacing w:val="65"/>
                <w:w w:val="150"/>
                <w:sz w:val="18"/>
              </w:rPr>
              <w:t> </w:t>
            </w:r>
            <w:r>
              <w:rPr>
                <w:sz w:val="18"/>
              </w:rPr>
              <w:t>Time:</w:t>
            </w:r>
            <w:r>
              <w:rPr>
                <w:spacing w:val="-2"/>
                <w:sz w:val="18"/>
              </w:rPr>
              <w:t> </w:t>
            </w:r>
            <w:r>
              <w:rPr>
                <w:spacing w:val="-4"/>
                <w:sz w:val="18"/>
              </w:rPr>
              <w:t>07:44</w:t>
            </w:r>
          </w:p>
        </w:tc>
      </w:tr>
      <w:tr>
        <w:trPr>
          <w:trHeight w:val="224" w:hRule="atLeast"/>
        </w:trPr>
        <w:tc>
          <w:tcPr>
            <w:tcW w:w="1960" w:type="dxa"/>
          </w:tcPr>
          <w:p>
            <w:pPr>
              <w:pStyle w:val="TableParagraph"/>
              <w:spacing w:before="5"/>
              <w:rPr>
                <w:sz w:val="18"/>
              </w:rPr>
            </w:pPr>
            <w:r>
              <w:rPr>
                <w:sz w:val="18"/>
              </w:rPr>
              <w:t>Sample:</w:t>
            </w:r>
            <w:r>
              <w:rPr>
                <w:spacing w:val="-7"/>
                <w:sz w:val="18"/>
              </w:rPr>
              <w:t> </w:t>
            </w:r>
            <w:r>
              <w:rPr>
                <w:sz w:val="18"/>
              </w:rPr>
              <w:t>1986</w:t>
            </w:r>
            <w:r>
              <w:rPr>
                <w:spacing w:val="-5"/>
                <w:sz w:val="18"/>
              </w:rPr>
              <w:t> </w:t>
            </w:r>
            <w:r>
              <w:rPr>
                <w:spacing w:val="-4"/>
                <w:sz w:val="18"/>
              </w:rPr>
              <w:t>2020</w:t>
            </w:r>
          </w:p>
        </w:tc>
        <w:tc>
          <w:tcPr>
            <w:tcW w:w="1256"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304" w:hRule="atLeast"/>
        </w:trPr>
        <w:tc>
          <w:tcPr>
            <w:tcW w:w="6531" w:type="dxa"/>
            <w:gridSpan w:val="5"/>
            <w:tcBorders>
              <w:bottom w:val="double" w:sz="6" w:space="0" w:color="000000"/>
            </w:tcBorders>
          </w:tcPr>
          <w:p>
            <w:pPr>
              <w:pStyle w:val="TableParagraph"/>
              <w:spacing w:line="240" w:lineRule="auto"/>
              <w:rPr>
                <w:sz w:val="18"/>
              </w:rPr>
            </w:pPr>
            <w:r>
              <w:rPr>
                <w:sz w:val="18"/>
              </w:rPr>
              <w:t>Included</w:t>
            </w:r>
            <w:r>
              <w:rPr>
                <w:spacing w:val="-6"/>
                <w:sz w:val="18"/>
              </w:rPr>
              <w:t> </w:t>
            </w:r>
            <w:r>
              <w:rPr>
                <w:sz w:val="18"/>
              </w:rPr>
              <w:t>observations:</w:t>
            </w:r>
            <w:r>
              <w:rPr>
                <w:spacing w:val="-5"/>
                <w:sz w:val="18"/>
              </w:rPr>
              <w:t> 35</w:t>
            </w:r>
          </w:p>
        </w:tc>
      </w:tr>
      <w:tr>
        <w:trPr>
          <w:trHeight w:val="403" w:hRule="atLeast"/>
        </w:trPr>
        <w:tc>
          <w:tcPr>
            <w:tcW w:w="196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256" w:type="dxa"/>
            <w:tcBorders>
              <w:top w:val="double" w:sz="6" w:space="0" w:color="000000"/>
              <w:bottom w:val="double" w:sz="6" w:space="0" w:color="000000"/>
            </w:tcBorders>
          </w:tcPr>
          <w:p>
            <w:pPr>
              <w:pStyle w:val="TableParagraph"/>
              <w:spacing w:line="240" w:lineRule="auto" w:before="108"/>
              <w:ind w:right="104"/>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8"/>
              <w:ind w:left="331"/>
              <w:rPr>
                <w:sz w:val="18"/>
              </w:rPr>
            </w:pPr>
            <w:r>
              <w:rPr>
                <w:sz w:val="18"/>
              </w:rPr>
              <w:t>Std.</w:t>
            </w:r>
            <w:r>
              <w:rPr>
                <w:spacing w:val="-2"/>
                <w:sz w:val="18"/>
              </w:rPr>
              <w:t> Error</w:t>
            </w:r>
          </w:p>
        </w:tc>
        <w:tc>
          <w:tcPr>
            <w:tcW w:w="940" w:type="dxa"/>
            <w:tcBorders>
              <w:top w:val="double" w:sz="6" w:space="0" w:color="000000"/>
              <w:bottom w:val="double" w:sz="6" w:space="0" w:color="000000"/>
            </w:tcBorders>
          </w:tcPr>
          <w:p>
            <w:pPr>
              <w:pStyle w:val="TableParagraph"/>
              <w:spacing w:line="240" w:lineRule="auto" w:before="108"/>
              <w:ind w:right="121"/>
              <w:jc w:val="right"/>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8"/>
              <w:ind w:left="344"/>
              <w:rPr>
                <w:sz w:val="18"/>
              </w:rPr>
            </w:pPr>
            <w:r>
              <w:rPr>
                <w:spacing w:val="-2"/>
                <w:sz w:val="18"/>
              </w:rPr>
              <w:t>Prob.</w:t>
            </w:r>
          </w:p>
        </w:tc>
      </w:tr>
      <w:tr>
        <w:trPr>
          <w:trHeight w:val="327" w:hRule="atLeast"/>
        </w:trPr>
        <w:tc>
          <w:tcPr>
            <w:tcW w:w="1960" w:type="dxa"/>
            <w:tcBorders>
              <w:top w:val="double" w:sz="6" w:space="0" w:color="000000"/>
            </w:tcBorders>
          </w:tcPr>
          <w:p>
            <w:pPr>
              <w:pStyle w:val="TableParagraph"/>
              <w:spacing w:before="108"/>
              <w:ind w:left="57" w:right="1"/>
              <w:jc w:val="center"/>
              <w:rPr>
                <w:sz w:val="18"/>
              </w:rPr>
            </w:pPr>
            <w:r>
              <w:rPr>
                <w:spacing w:val="-10"/>
                <w:sz w:val="18"/>
              </w:rPr>
              <w:t>C</w:t>
            </w:r>
          </w:p>
        </w:tc>
        <w:tc>
          <w:tcPr>
            <w:tcW w:w="1256" w:type="dxa"/>
            <w:tcBorders>
              <w:top w:val="double" w:sz="6" w:space="0" w:color="000000"/>
            </w:tcBorders>
          </w:tcPr>
          <w:p>
            <w:pPr>
              <w:pStyle w:val="TableParagraph"/>
              <w:spacing w:before="108"/>
              <w:ind w:right="104"/>
              <w:jc w:val="right"/>
              <w:rPr>
                <w:sz w:val="18"/>
              </w:rPr>
            </w:pPr>
            <w:r>
              <w:rPr>
                <w:spacing w:val="-2"/>
                <w:sz w:val="18"/>
              </w:rPr>
              <w:t>1102171.</w:t>
            </w:r>
          </w:p>
        </w:tc>
        <w:tc>
          <w:tcPr>
            <w:tcW w:w="1491" w:type="dxa"/>
            <w:tcBorders>
              <w:top w:val="double" w:sz="6" w:space="0" w:color="000000"/>
            </w:tcBorders>
          </w:tcPr>
          <w:p>
            <w:pPr>
              <w:pStyle w:val="TableParagraph"/>
              <w:spacing w:before="108"/>
              <w:ind w:left="300"/>
              <w:rPr>
                <w:sz w:val="18"/>
              </w:rPr>
            </w:pPr>
            <w:r>
              <w:rPr>
                <w:spacing w:val="-2"/>
                <w:sz w:val="18"/>
              </w:rPr>
              <w:t>16306651</w:t>
            </w:r>
          </w:p>
        </w:tc>
        <w:tc>
          <w:tcPr>
            <w:tcW w:w="940" w:type="dxa"/>
            <w:tcBorders>
              <w:top w:val="double" w:sz="6" w:space="0" w:color="000000"/>
            </w:tcBorders>
          </w:tcPr>
          <w:p>
            <w:pPr>
              <w:pStyle w:val="TableParagraph"/>
              <w:spacing w:before="108"/>
              <w:ind w:right="121"/>
              <w:jc w:val="right"/>
              <w:rPr>
                <w:sz w:val="18"/>
              </w:rPr>
            </w:pPr>
            <w:r>
              <w:rPr>
                <w:spacing w:val="-2"/>
                <w:sz w:val="18"/>
              </w:rPr>
              <w:t>0.067590</w:t>
            </w:r>
          </w:p>
        </w:tc>
        <w:tc>
          <w:tcPr>
            <w:tcW w:w="884" w:type="dxa"/>
            <w:tcBorders>
              <w:top w:val="double" w:sz="6" w:space="0" w:color="000000"/>
            </w:tcBorders>
          </w:tcPr>
          <w:p>
            <w:pPr>
              <w:pStyle w:val="TableParagraph"/>
              <w:spacing w:before="108"/>
              <w:ind w:right="6"/>
              <w:jc w:val="right"/>
              <w:rPr>
                <w:sz w:val="18"/>
              </w:rPr>
            </w:pPr>
            <w:r>
              <w:rPr>
                <w:spacing w:val="-2"/>
                <w:sz w:val="18"/>
              </w:rPr>
              <w:t>0.9466</w:t>
            </w:r>
          </w:p>
        </w:tc>
      </w:tr>
      <w:tr>
        <w:trPr>
          <w:trHeight w:val="225" w:hRule="atLeast"/>
        </w:trPr>
        <w:tc>
          <w:tcPr>
            <w:tcW w:w="1960" w:type="dxa"/>
          </w:tcPr>
          <w:p>
            <w:pPr>
              <w:pStyle w:val="TableParagraph"/>
              <w:ind w:left="57" w:right="4"/>
              <w:jc w:val="center"/>
              <w:rPr>
                <w:sz w:val="18"/>
              </w:rPr>
            </w:pPr>
            <w:r>
              <w:rPr>
                <w:spacing w:val="-4"/>
                <w:sz w:val="18"/>
              </w:rPr>
              <w:t>LFDI</w:t>
            </w:r>
          </w:p>
        </w:tc>
        <w:tc>
          <w:tcPr>
            <w:tcW w:w="1256" w:type="dxa"/>
          </w:tcPr>
          <w:p>
            <w:pPr>
              <w:pStyle w:val="TableParagraph"/>
              <w:ind w:right="104"/>
              <w:jc w:val="right"/>
              <w:rPr>
                <w:sz w:val="18"/>
              </w:rPr>
            </w:pPr>
            <w:r>
              <w:rPr>
                <w:spacing w:val="-2"/>
                <w:sz w:val="18"/>
              </w:rPr>
              <w:t>-1459.355</w:t>
            </w:r>
          </w:p>
        </w:tc>
        <w:tc>
          <w:tcPr>
            <w:tcW w:w="1491" w:type="dxa"/>
          </w:tcPr>
          <w:p>
            <w:pPr>
              <w:pStyle w:val="TableParagraph"/>
              <w:ind w:left="350"/>
              <w:rPr>
                <w:sz w:val="18"/>
              </w:rPr>
            </w:pPr>
            <w:r>
              <w:rPr>
                <w:spacing w:val="-2"/>
                <w:sz w:val="18"/>
              </w:rPr>
              <w:t>3859.866</w:t>
            </w:r>
          </w:p>
        </w:tc>
        <w:tc>
          <w:tcPr>
            <w:tcW w:w="940" w:type="dxa"/>
          </w:tcPr>
          <w:p>
            <w:pPr>
              <w:pStyle w:val="TableParagraph"/>
              <w:ind w:right="121"/>
              <w:jc w:val="right"/>
              <w:rPr>
                <w:sz w:val="18"/>
              </w:rPr>
            </w:pPr>
            <w:r>
              <w:rPr>
                <w:spacing w:val="-2"/>
                <w:sz w:val="18"/>
              </w:rPr>
              <w:t>-0.378084</w:t>
            </w:r>
          </w:p>
        </w:tc>
        <w:tc>
          <w:tcPr>
            <w:tcW w:w="884" w:type="dxa"/>
          </w:tcPr>
          <w:p>
            <w:pPr>
              <w:pStyle w:val="TableParagraph"/>
              <w:ind w:right="6"/>
              <w:jc w:val="right"/>
              <w:rPr>
                <w:sz w:val="18"/>
              </w:rPr>
            </w:pPr>
            <w:r>
              <w:rPr>
                <w:spacing w:val="-2"/>
                <w:sz w:val="18"/>
              </w:rPr>
              <w:t>0.7084</w:t>
            </w:r>
          </w:p>
        </w:tc>
      </w:tr>
      <w:tr>
        <w:trPr>
          <w:trHeight w:val="224" w:hRule="atLeast"/>
        </w:trPr>
        <w:tc>
          <w:tcPr>
            <w:tcW w:w="1960" w:type="dxa"/>
          </w:tcPr>
          <w:p>
            <w:pPr>
              <w:pStyle w:val="TableParagraph"/>
              <w:spacing w:line="198" w:lineRule="exact"/>
              <w:ind w:left="57"/>
              <w:jc w:val="center"/>
              <w:rPr>
                <w:sz w:val="18"/>
              </w:rPr>
            </w:pPr>
            <w:r>
              <w:rPr>
                <w:spacing w:val="-4"/>
                <w:sz w:val="18"/>
              </w:rPr>
              <w:t>LFPI</w:t>
            </w:r>
          </w:p>
        </w:tc>
        <w:tc>
          <w:tcPr>
            <w:tcW w:w="1256" w:type="dxa"/>
          </w:tcPr>
          <w:p>
            <w:pPr>
              <w:pStyle w:val="TableParagraph"/>
              <w:spacing w:line="198" w:lineRule="exact"/>
              <w:ind w:right="104"/>
              <w:jc w:val="right"/>
              <w:rPr>
                <w:sz w:val="18"/>
              </w:rPr>
            </w:pPr>
            <w:r>
              <w:rPr>
                <w:spacing w:val="-2"/>
                <w:sz w:val="18"/>
              </w:rPr>
              <w:t>-46001.59</w:t>
            </w:r>
          </w:p>
        </w:tc>
        <w:tc>
          <w:tcPr>
            <w:tcW w:w="1491" w:type="dxa"/>
          </w:tcPr>
          <w:p>
            <w:pPr>
              <w:pStyle w:val="TableParagraph"/>
              <w:spacing w:line="198" w:lineRule="exact"/>
              <w:ind w:left="350"/>
              <w:rPr>
                <w:sz w:val="18"/>
              </w:rPr>
            </w:pPr>
            <w:r>
              <w:rPr>
                <w:spacing w:val="-2"/>
                <w:sz w:val="18"/>
              </w:rPr>
              <w:t>97354.95</w:t>
            </w:r>
          </w:p>
        </w:tc>
        <w:tc>
          <w:tcPr>
            <w:tcW w:w="940" w:type="dxa"/>
          </w:tcPr>
          <w:p>
            <w:pPr>
              <w:pStyle w:val="TableParagraph"/>
              <w:spacing w:line="198" w:lineRule="exact"/>
              <w:ind w:right="121"/>
              <w:jc w:val="right"/>
              <w:rPr>
                <w:sz w:val="18"/>
              </w:rPr>
            </w:pPr>
            <w:r>
              <w:rPr>
                <w:spacing w:val="-2"/>
                <w:sz w:val="18"/>
              </w:rPr>
              <w:t>-0.472514</w:t>
            </w:r>
          </w:p>
        </w:tc>
        <w:tc>
          <w:tcPr>
            <w:tcW w:w="884" w:type="dxa"/>
          </w:tcPr>
          <w:p>
            <w:pPr>
              <w:pStyle w:val="TableParagraph"/>
              <w:spacing w:line="198" w:lineRule="exact"/>
              <w:ind w:right="6"/>
              <w:jc w:val="right"/>
              <w:rPr>
                <w:sz w:val="18"/>
              </w:rPr>
            </w:pPr>
            <w:r>
              <w:rPr>
                <w:spacing w:val="-2"/>
                <w:sz w:val="18"/>
              </w:rPr>
              <w:t>0.6405</w:t>
            </w:r>
          </w:p>
        </w:tc>
      </w:tr>
      <w:tr>
        <w:trPr>
          <w:trHeight w:val="224" w:hRule="atLeast"/>
        </w:trPr>
        <w:tc>
          <w:tcPr>
            <w:tcW w:w="1960" w:type="dxa"/>
          </w:tcPr>
          <w:p>
            <w:pPr>
              <w:pStyle w:val="TableParagraph"/>
              <w:spacing w:before="5"/>
              <w:ind w:left="57"/>
              <w:jc w:val="center"/>
              <w:rPr>
                <w:sz w:val="18"/>
              </w:rPr>
            </w:pPr>
            <w:r>
              <w:rPr>
                <w:spacing w:val="-4"/>
                <w:sz w:val="18"/>
              </w:rPr>
              <w:t>LREM</w:t>
            </w:r>
          </w:p>
        </w:tc>
        <w:tc>
          <w:tcPr>
            <w:tcW w:w="1256" w:type="dxa"/>
          </w:tcPr>
          <w:p>
            <w:pPr>
              <w:pStyle w:val="TableParagraph"/>
              <w:spacing w:before="5"/>
              <w:ind w:right="104"/>
              <w:jc w:val="right"/>
              <w:rPr>
                <w:sz w:val="18"/>
              </w:rPr>
            </w:pPr>
            <w:r>
              <w:rPr>
                <w:spacing w:val="-2"/>
                <w:sz w:val="18"/>
              </w:rPr>
              <w:t>8967.871</w:t>
            </w:r>
          </w:p>
        </w:tc>
        <w:tc>
          <w:tcPr>
            <w:tcW w:w="1491" w:type="dxa"/>
          </w:tcPr>
          <w:p>
            <w:pPr>
              <w:pStyle w:val="TableParagraph"/>
              <w:spacing w:before="5"/>
              <w:ind w:left="350"/>
              <w:rPr>
                <w:sz w:val="18"/>
              </w:rPr>
            </w:pPr>
            <w:r>
              <w:rPr>
                <w:spacing w:val="-2"/>
                <w:sz w:val="18"/>
              </w:rPr>
              <w:t>8846.820</w:t>
            </w:r>
          </w:p>
        </w:tc>
        <w:tc>
          <w:tcPr>
            <w:tcW w:w="940" w:type="dxa"/>
          </w:tcPr>
          <w:p>
            <w:pPr>
              <w:pStyle w:val="TableParagraph"/>
              <w:spacing w:before="5"/>
              <w:ind w:right="121"/>
              <w:jc w:val="right"/>
              <w:rPr>
                <w:sz w:val="18"/>
              </w:rPr>
            </w:pPr>
            <w:r>
              <w:rPr>
                <w:spacing w:val="-2"/>
                <w:sz w:val="18"/>
              </w:rPr>
              <w:t>1.013683</w:t>
            </w:r>
          </w:p>
        </w:tc>
        <w:tc>
          <w:tcPr>
            <w:tcW w:w="884" w:type="dxa"/>
          </w:tcPr>
          <w:p>
            <w:pPr>
              <w:pStyle w:val="TableParagraph"/>
              <w:spacing w:before="5"/>
              <w:ind w:right="6"/>
              <w:jc w:val="right"/>
              <w:rPr>
                <w:sz w:val="18"/>
              </w:rPr>
            </w:pPr>
            <w:r>
              <w:rPr>
                <w:spacing w:val="-2"/>
                <w:sz w:val="18"/>
              </w:rPr>
              <w:t>0.3201</w:t>
            </w:r>
          </w:p>
        </w:tc>
      </w:tr>
      <w:tr>
        <w:trPr>
          <w:trHeight w:val="225" w:hRule="atLeast"/>
        </w:trPr>
        <w:tc>
          <w:tcPr>
            <w:tcW w:w="1960" w:type="dxa"/>
          </w:tcPr>
          <w:p>
            <w:pPr>
              <w:pStyle w:val="TableParagraph"/>
              <w:ind w:left="57" w:right="1"/>
              <w:jc w:val="center"/>
              <w:rPr>
                <w:sz w:val="18"/>
              </w:rPr>
            </w:pPr>
            <w:r>
              <w:rPr>
                <w:spacing w:val="-4"/>
                <w:sz w:val="18"/>
              </w:rPr>
              <w:t>LODA</w:t>
            </w:r>
          </w:p>
        </w:tc>
        <w:tc>
          <w:tcPr>
            <w:tcW w:w="1256" w:type="dxa"/>
          </w:tcPr>
          <w:p>
            <w:pPr>
              <w:pStyle w:val="TableParagraph"/>
              <w:ind w:right="104"/>
              <w:jc w:val="right"/>
              <w:rPr>
                <w:sz w:val="18"/>
              </w:rPr>
            </w:pPr>
            <w:r>
              <w:rPr>
                <w:spacing w:val="-2"/>
                <w:sz w:val="18"/>
              </w:rPr>
              <w:t>317.1965</w:t>
            </w:r>
          </w:p>
        </w:tc>
        <w:tc>
          <w:tcPr>
            <w:tcW w:w="1491" w:type="dxa"/>
          </w:tcPr>
          <w:p>
            <w:pPr>
              <w:pStyle w:val="TableParagraph"/>
              <w:ind w:left="350"/>
              <w:rPr>
                <w:sz w:val="18"/>
              </w:rPr>
            </w:pPr>
            <w:r>
              <w:rPr>
                <w:spacing w:val="-2"/>
                <w:sz w:val="18"/>
              </w:rPr>
              <w:t>637.9173</w:t>
            </w:r>
          </w:p>
        </w:tc>
        <w:tc>
          <w:tcPr>
            <w:tcW w:w="940" w:type="dxa"/>
          </w:tcPr>
          <w:p>
            <w:pPr>
              <w:pStyle w:val="TableParagraph"/>
              <w:ind w:right="121"/>
              <w:jc w:val="right"/>
              <w:rPr>
                <w:sz w:val="18"/>
              </w:rPr>
            </w:pPr>
            <w:r>
              <w:rPr>
                <w:spacing w:val="-2"/>
                <w:sz w:val="18"/>
              </w:rPr>
              <w:t>0.497238</w:t>
            </w:r>
          </w:p>
        </w:tc>
        <w:tc>
          <w:tcPr>
            <w:tcW w:w="884" w:type="dxa"/>
          </w:tcPr>
          <w:p>
            <w:pPr>
              <w:pStyle w:val="TableParagraph"/>
              <w:ind w:right="6"/>
              <w:jc w:val="right"/>
              <w:rPr>
                <w:sz w:val="18"/>
              </w:rPr>
            </w:pPr>
            <w:r>
              <w:rPr>
                <w:spacing w:val="-2"/>
                <w:sz w:val="18"/>
              </w:rPr>
              <w:t>0.6232</w:t>
            </w:r>
          </w:p>
        </w:tc>
      </w:tr>
      <w:tr>
        <w:trPr>
          <w:trHeight w:val="225" w:hRule="atLeast"/>
        </w:trPr>
        <w:tc>
          <w:tcPr>
            <w:tcW w:w="1960" w:type="dxa"/>
          </w:tcPr>
          <w:p>
            <w:pPr>
              <w:pStyle w:val="TableParagraph"/>
              <w:ind w:left="57" w:right="1"/>
              <w:jc w:val="center"/>
              <w:rPr>
                <w:sz w:val="18"/>
              </w:rPr>
            </w:pPr>
            <w:r>
              <w:rPr>
                <w:spacing w:val="-4"/>
                <w:sz w:val="18"/>
              </w:rPr>
              <w:t>LTOP</w:t>
            </w:r>
          </w:p>
        </w:tc>
        <w:tc>
          <w:tcPr>
            <w:tcW w:w="1256" w:type="dxa"/>
          </w:tcPr>
          <w:p>
            <w:pPr>
              <w:pStyle w:val="TableParagraph"/>
              <w:ind w:right="104"/>
              <w:jc w:val="right"/>
              <w:rPr>
                <w:sz w:val="18"/>
              </w:rPr>
            </w:pPr>
            <w:r>
              <w:rPr>
                <w:spacing w:val="-2"/>
                <w:sz w:val="18"/>
              </w:rPr>
              <w:t>-199.8096</w:t>
            </w:r>
          </w:p>
        </w:tc>
        <w:tc>
          <w:tcPr>
            <w:tcW w:w="1491" w:type="dxa"/>
          </w:tcPr>
          <w:p>
            <w:pPr>
              <w:pStyle w:val="TableParagraph"/>
              <w:ind w:left="350"/>
              <w:rPr>
                <w:sz w:val="18"/>
              </w:rPr>
            </w:pPr>
            <w:r>
              <w:rPr>
                <w:spacing w:val="-2"/>
                <w:sz w:val="18"/>
              </w:rPr>
              <w:t>166883.0</w:t>
            </w:r>
          </w:p>
        </w:tc>
        <w:tc>
          <w:tcPr>
            <w:tcW w:w="940" w:type="dxa"/>
          </w:tcPr>
          <w:p>
            <w:pPr>
              <w:pStyle w:val="TableParagraph"/>
              <w:ind w:right="121"/>
              <w:jc w:val="right"/>
              <w:rPr>
                <w:sz w:val="18"/>
              </w:rPr>
            </w:pPr>
            <w:r>
              <w:rPr>
                <w:spacing w:val="-2"/>
                <w:sz w:val="18"/>
              </w:rPr>
              <w:t>-0.001197</w:t>
            </w:r>
          </w:p>
        </w:tc>
        <w:tc>
          <w:tcPr>
            <w:tcW w:w="884" w:type="dxa"/>
          </w:tcPr>
          <w:p>
            <w:pPr>
              <w:pStyle w:val="TableParagraph"/>
              <w:ind w:right="6"/>
              <w:jc w:val="right"/>
              <w:rPr>
                <w:sz w:val="18"/>
              </w:rPr>
            </w:pPr>
            <w:r>
              <w:rPr>
                <w:spacing w:val="-2"/>
                <w:sz w:val="18"/>
              </w:rPr>
              <w:t>0.9991</w:t>
            </w:r>
          </w:p>
        </w:tc>
      </w:tr>
      <w:tr>
        <w:trPr>
          <w:trHeight w:val="224" w:hRule="atLeast"/>
        </w:trPr>
        <w:tc>
          <w:tcPr>
            <w:tcW w:w="1960" w:type="dxa"/>
          </w:tcPr>
          <w:p>
            <w:pPr>
              <w:pStyle w:val="TableParagraph"/>
              <w:spacing w:line="198" w:lineRule="exact"/>
              <w:ind w:left="57" w:right="4"/>
              <w:jc w:val="center"/>
              <w:rPr>
                <w:sz w:val="18"/>
              </w:rPr>
            </w:pPr>
            <w:r>
              <w:rPr>
                <w:spacing w:val="-4"/>
                <w:sz w:val="18"/>
              </w:rPr>
              <w:t>LINT</w:t>
            </w:r>
          </w:p>
        </w:tc>
        <w:tc>
          <w:tcPr>
            <w:tcW w:w="1256" w:type="dxa"/>
          </w:tcPr>
          <w:p>
            <w:pPr>
              <w:pStyle w:val="TableParagraph"/>
              <w:spacing w:line="198" w:lineRule="exact"/>
              <w:ind w:right="104"/>
              <w:jc w:val="right"/>
              <w:rPr>
                <w:sz w:val="18"/>
              </w:rPr>
            </w:pPr>
            <w:r>
              <w:rPr>
                <w:spacing w:val="-2"/>
                <w:sz w:val="18"/>
              </w:rPr>
              <w:t>53320.74</w:t>
            </w:r>
          </w:p>
        </w:tc>
        <w:tc>
          <w:tcPr>
            <w:tcW w:w="1491" w:type="dxa"/>
          </w:tcPr>
          <w:p>
            <w:pPr>
              <w:pStyle w:val="TableParagraph"/>
              <w:spacing w:line="198" w:lineRule="exact"/>
              <w:ind w:left="350"/>
              <w:rPr>
                <w:sz w:val="18"/>
              </w:rPr>
            </w:pPr>
            <w:r>
              <w:rPr>
                <w:spacing w:val="-2"/>
                <w:sz w:val="18"/>
              </w:rPr>
              <w:t>398732.2</w:t>
            </w:r>
          </w:p>
        </w:tc>
        <w:tc>
          <w:tcPr>
            <w:tcW w:w="940" w:type="dxa"/>
          </w:tcPr>
          <w:p>
            <w:pPr>
              <w:pStyle w:val="TableParagraph"/>
              <w:spacing w:line="198" w:lineRule="exact"/>
              <w:ind w:right="121"/>
              <w:jc w:val="right"/>
              <w:rPr>
                <w:sz w:val="18"/>
              </w:rPr>
            </w:pPr>
            <w:r>
              <w:rPr>
                <w:spacing w:val="-2"/>
                <w:sz w:val="18"/>
              </w:rPr>
              <w:t>0.133726</w:t>
            </w:r>
          </w:p>
        </w:tc>
        <w:tc>
          <w:tcPr>
            <w:tcW w:w="884" w:type="dxa"/>
          </w:tcPr>
          <w:p>
            <w:pPr>
              <w:pStyle w:val="TableParagraph"/>
              <w:spacing w:line="198" w:lineRule="exact"/>
              <w:ind w:right="6"/>
              <w:jc w:val="right"/>
              <w:rPr>
                <w:sz w:val="18"/>
              </w:rPr>
            </w:pPr>
            <w:r>
              <w:rPr>
                <w:spacing w:val="-2"/>
                <w:sz w:val="18"/>
              </w:rPr>
              <w:t>0.8946</w:t>
            </w:r>
          </w:p>
        </w:tc>
      </w:tr>
      <w:tr>
        <w:trPr>
          <w:trHeight w:val="224" w:hRule="atLeast"/>
        </w:trPr>
        <w:tc>
          <w:tcPr>
            <w:tcW w:w="1960" w:type="dxa"/>
          </w:tcPr>
          <w:p>
            <w:pPr>
              <w:pStyle w:val="TableParagraph"/>
              <w:spacing w:before="5"/>
              <w:ind w:left="707"/>
              <w:rPr>
                <w:sz w:val="18"/>
              </w:rPr>
            </w:pPr>
            <w:r>
              <w:rPr>
                <w:spacing w:val="-2"/>
                <w:sz w:val="18"/>
              </w:rPr>
              <w:t>LEXCH</w:t>
            </w:r>
          </w:p>
        </w:tc>
        <w:tc>
          <w:tcPr>
            <w:tcW w:w="1256" w:type="dxa"/>
          </w:tcPr>
          <w:p>
            <w:pPr>
              <w:pStyle w:val="TableParagraph"/>
              <w:spacing w:before="5"/>
              <w:ind w:right="104"/>
              <w:jc w:val="right"/>
              <w:rPr>
                <w:sz w:val="18"/>
              </w:rPr>
            </w:pPr>
            <w:r>
              <w:rPr>
                <w:spacing w:val="-2"/>
                <w:sz w:val="18"/>
              </w:rPr>
              <w:t>88374.30</w:t>
            </w:r>
          </w:p>
        </w:tc>
        <w:tc>
          <w:tcPr>
            <w:tcW w:w="1491" w:type="dxa"/>
          </w:tcPr>
          <w:p>
            <w:pPr>
              <w:pStyle w:val="TableParagraph"/>
              <w:spacing w:before="5"/>
              <w:ind w:left="350"/>
              <w:rPr>
                <w:sz w:val="18"/>
              </w:rPr>
            </w:pPr>
            <w:r>
              <w:rPr>
                <w:spacing w:val="-2"/>
                <w:sz w:val="18"/>
              </w:rPr>
              <w:t>85227.66</w:t>
            </w:r>
          </w:p>
        </w:tc>
        <w:tc>
          <w:tcPr>
            <w:tcW w:w="940" w:type="dxa"/>
          </w:tcPr>
          <w:p>
            <w:pPr>
              <w:pStyle w:val="TableParagraph"/>
              <w:spacing w:before="5"/>
              <w:ind w:right="121"/>
              <w:jc w:val="right"/>
              <w:rPr>
                <w:sz w:val="18"/>
              </w:rPr>
            </w:pPr>
            <w:r>
              <w:rPr>
                <w:spacing w:val="-2"/>
                <w:sz w:val="18"/>
              </w:rPr>
              <w:t>1.036920</w:t>
            </w:r>
          </w:p>
        </w:tc>
        <w:tc>
          <w:tcPr>
            <w:tcW w:w="884" w:type="dxa"/>
          </w:tcPr>
          <w:p>
            <w:pPr>
              <w:pStyle w:val="TableParagraph"/>
              <w:spacing w:before="5"/>
              <w:ind w:right="6"/>
              <w:jc w:val="right"/>
              <w:rPr>
                <w:sz w:val="18"/>
              </w:rPr>
            </w:pPr>
            <w:r>
              <w:rPr>
                <w:spacing w:val="-2"/>
                <w:sz w:val="18"/>
              </w:rPr>
              <w:t>0.3093</w:t>
            </w:r>
          </w:p>
        </w:tc>
      </w:tr>
      <w:tr>
        <w:trPr>
          <w:trHeight w:val="303" w:hRule="atLeast"/>
        </w:trPr>
        <w:tc>
          <w:tcPr>
            <w:tcW w:w="1960" w:type="dxa"/>
            <w:tcBorders>
              <w:bottom w:val="double" w:sz="6" w:space="0" w:color="000000"/>
            </w:tcBorders>
          </w:tcPr>
          <w:p>
            <w:pPr>
              <w:pStyle w:val="TableParagraph"/>
              <w:spacing w:line="240" w:lineRule="auto"/>
              <w:ind w:left="527"/>
              <w:rPr>
                <w:sz w:val="18"/>
              </w:rPr>
            </w:pPr>
            <w:r>
              <w:rPr>
                <w:spacing w:val="-2"/>
                <w:sz w:val="18"/>
              </w:rPr>
              <w:t>LCPS_GDP</w:t>
            </w:r>
          </w:p>
        </w:tc>
        <w:tc>
          <w:tcPr>
            <w:tcW w:w="1256" w:type="dxa"/>
            <w:tcBorders>
              <w:bottom w:val="double" w:sz="6" w:space="0" w:color="000000"/>
            </w:tcBorders>
          </w:tcPr>
          <w:p>
            <w:pPr>
              <w:pStyle w:val="TableParagraph"/>
              <w:spacing w:line="240" w:lineRule="auto"/>
              <w:ind w:right="106"/>
              <w:jc w:val="right"/>
              <w:rPr>
                <w:sz w:val="18"/>
              </w:rPr>
            </w:pPr>
            <w:r>
              <w:rPr>
                <w:spacing w:val="-2"/>
                <w:sz w:val="18"/>
              </w:rPr>
              <w:t>-123469.1</w:t>
            </w:r>
          </w:p>
        </w:tc>
        <w:tc>
          <w:tcPr>
            <w:tcW w:w="1491" w:type="dxa"/>
            <w:tcBorders>
              <w:bottom w:val="double" w:sz="6" w:space="0" w:color="000000"/>
            </w:tcBorders>
          </w:tcPr>
          <w:p>
            <w:pPr>
              <w:pStyle w:val="TableParagraph"/>
              <w:spacing w:line="240" w:lineRule="auto"/>
              <w:ind w:left="350"/>
              <w:rPr>
                <w:sz w:val="18"/>
              </w:rPr>
            </w:pPr>
            <w:r>
              <w:rPr>
                <w:spacing w:val="-2"/>
                <w:sz w:val="18"/>
              </w:rPr>
              <w:t>690985.3</w:t>
            </w:r>
          </w:p>
        </w:tc>
        <w:tc>
          <w:tcPr>
            <w:tcW w:w="940" w:type="dxa"/>
            <w:tcBorders>
              <w:bottom w:val="double" w:sz="6" w:space="0" w:color="000000"/>
            </w:tcBorders>
          </w:tcPr>
          <w:p>
            <w:pPr>
              <w:pStyle w:val="TableParagraph"/>
              <w:spacing w:line="240" w:lineRule="auto"/>
              <w:ind w:right="121"/>
              <w:jc w:val="right"/>
              <w:rPr>
                <w:sz w:val="18"/>
              </w:rPr>
            </w:pPr>
            <w:r>
              <w:rPr>
                <w:spacing w:val="-2"/>
                <w:sz w:val="18"/>
              </w:rPr>
              <w:t>-0.178686</w:t>
            </w:r>
          </w:p>
        </w:tc>
        <w:tc>
          <w:tcPr>
            <w:tcW w:w="884" w:type="dxa"/>
            <w:tcBorders>
              <w:bottom w:val="double" w:sz="6" w:space="0" w:color="000000"/>
            </w:tcBorders>
          </w:tcPr>
          <w:p>
            <w:pPr>
              <w:pStyle w:val="TableParagraph"/>
              <w:spacing w:line="240" w:lineRule="auto"/>
              <w:ind w:right="6"/>
              <w:jc w:val="right"/>
              <w:rPr>
                <w:sz w:val="18"/>
              </w:rPr>
            </w:pPr>
            <w:r>
              <w:rPr>
                <w:spacing w:val="-2"/>
                <w:sz w:val="18"/>
              </w:rPr>
              <w:t>0.8596</w:t>
            </w:r>
          </w:p>
        </w:tc>
      </w:tr>
      <w:tr>
        <w:trPr>
          <w:trHeight w:val="326" w:hRule="atLeast"/>
        </w:trPr>
        <w:tc>
          <w:tcPr>
            <w:tcW w:w="1960" w:type="dxa"/>
            <w:tcBorders>
              <w:top w:val="double" w:sz="6" w:space="0" w:color="000000"/>
            </w:tcBorders>
          </w:tcPr>
          <w:p>
            <w:pPr>
              <w:pStyle w:val="TableParagraph"/>
              <w:spacing w:line="198" w:lineRule="exact" w:before="108"/>
              <w:rPr>
                <w:sz w:val="18"/>
              </w:rPr>
            </w:pPr>
            <w:r>
              <w:rPr>
                <w:spacing w:val="-2"/>
                <w:sz w:val="18"/>
              </w:rPr>
              <w:t>R-squared</w:t>
            </w:r>
          </w:p>
        </w:tc>
        <w:tc>
          <w:tcPr>
            <w:tcW w:w="1256" w:type="dxa"/>
            <w:tcBorders>
              <w:top w:val="double" w:sz="6" w:space="0" w:color="000000"/>
            </w:tcBorders>
          </w:tcPr>
          <w:p>
            <w:pPr>
              <w:pStyle w:val="TableParagraph"/>
              <w:spacing w:line="198" w:lineRule="exact" w:before="108"/>
              <w:ind w:right="104"/>
              <w:jc w:val="right"/>
              <w:rPr>
                <w:sz w:val="18"/>
              </w:rPr>
            </w:pPr>
            <w:r>
              <w:rPr>
                <w:spacing w:val="-2"/>
                <w:sz w:val="18"/>
              </w:rPr>
              <w:t>0.217951</w:t>
            </w:r>
          </w:p>
        </w:tc>
        <w:tc>
          <w:tcPr>
            <w:tcW w:w="2431" w:type="dxa"/>
            <w:gridSpan w:val="2"/>
            <w:tcBorders>
              <w:top w:val="double" w:sz="6" w:space="0" w:color="000000"/>
            </w:tcBorders>
          </w:tcPr>
          <w:p>
            <w:pPr>
              <w:pStyle w:val="TableParagraph"/>
              <w:spacing w:line="198" w:lineRule="exact" w:before="108"/>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8" w:lineRule="exact" w:before="108"/>
              <w:ind w:right="6"/>
              <w:jc w:val="right"/>
              <w:rPr>
                <w:sz w:val="18"/>
              </w:rPr>
            </w:pPr>
            <w:r>
              <w:rPr>
                <w:spacing w:val="-2"/>
                <w:sz w:val="18"/>
              </w:rPr>
              <w:t>6255940.</w:t>
            </w:r>
          </w:p>
        </w:tc>
      </w:tr>
      <w:tr>
        <w:trPr>
          <w:trHeight w:val="224" w:hRule="atLeast"/>
        </w:trPr>
        <w:tc>
          <w:tcPr>
            <w:tcW w:w="1960"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256" w:type="dxa"/>
          </w:tcPr>
          <w:p>
            <w:pPr>
              <w:pStyle w:val="TableParagraph"/>
              <w:spacing w:before="5"/>
              <w:ind w:right="104"/>
              <w:jc w:val="right"/>
              <w:rPr>
                <w:sz w:val="18"/>
              </w:rPr>
            </w:pPr>
            <w:r>
              <w:rPr>
                <w:spacing w:val="-2"/>
                <w:sz w:val="18"/>
              </w:rPr>
              <w:t>-0.022679</w:t>
            </w:r>
          </w:p>
        </w:tc>
        <w:tc>
          <w:tcPr>
            <w:tcW w:w="2431" w:type="dxa"/>
            <w:gridSpan w:val="2"/>
          </w:tcPr>
          <w:p>
            <w:pPr>
              <w:pStyle w:val="TableParagraph"/>
              <w:spacing w:before="5"/>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spacing w:before="5"/>
              <w:ind w:right="6"/>
              <w:jc w:val="right"/>
              <w:rPr>
                <w:sz w:val="18"/>
              </w:rPr>
            </w:pPr>
            <w:r>
              <w:rPr>
                <w:spacing w:val="-2"/>
                <w:sz w:val="18"/>
              </w:rPr>
              <w:t>9460804.</w:t>
            </w:r>
          </w:p>
        </w:tc>
      </w:tr>
      <w:tr>
        <w:trPr>
          <w:trHeight w:val="225" w:hRule="atLeast"/>
        </w:trPr>
        <w:tc>
          <w:tcPr>
            <w:tcW w:w="1960" w:type="dxa"/>
          </w:tcPr>
          <w:p>
            <w:pPr>
              <w:pStyle w:val="TableParagraph"/>
              <w:rPr>
                <w:sz w:val="18"/>
              </w:rPr>
            </w:pPr>
            <w:r>
              <w:rPr>
                <w:sz w:val="18"/>
              </w:rPr>
              <w:t>S.E.</w:t>
            </w:r>
            <w:r>
              <w:rPr>
                <w:spacing w:val="-2"/>
                <w:sz w:val="18"/>
              </w:rPr>
              <w:t> </w:t>
            </w:r>
            <w:r>
              <w:rPr>
                <w:sz w:val="18"/>
              </w:rPr>
              <w:t>of </w:t>
            </w:r>
            <w:r>
              <w:rPr>
                <w:spacing w:val="-2"/>
                <w:sz w:val="18"/>
              </w:rPr>
              <w:t>regression</w:t>
            </w:r>
          </w:p>
        </w:tc>
        <w:tc>
          <w:tcPr>
            <w:tcW w:w="1256" w:type="dxa"/>
          </w:tcPr>
          <w:p>
            <w:pPr>
              <w:pStyle w:val="TableParagraph"/>
              <w:ind w:right="104"/>
              <w:jc w:val="right"/>
              <w:rPr>
                <w:sz w:val="18"/>
              </w:rPr>
            </w:pPr>
            <w:r>
              <w:rPr>
                <w:spacing w:val="-2"/>
                <w:sz w:val="18"/>
              </w:rPr>
              <w:t>9567485.</w:t>
            </w:r>
          </w:p>
        </w:tc>
        <w:tc>
          <w:tcPr>
            <w:tcW w:w="2431" w:type="dxa"/>
            <w:gridSpan w:val="2"/>
          </w:tcPr>
          <w:p>
            <w:pPr>
              <w:pStyle w:val="TableParagraph"/>
              <w:ind w:left="106"/>
              <w:rPr>
                <w:sz w:val="18"/>
              </w:rPr>
            </w:pPr>
            <w:r>
              <w:rPr>
                <w:sz w:val="18"/>
              </w:rPr>
              <w:t>Akaike</w:t>
            </w:r>
            <w:r>
              <w:rPr>
                <w:spacing w:val="-5"/>
                <w:sz w:val="18"/>
              </w:rPr>
              <w:t> </w:t>
            </w:r>
            <w:r>
              <w:rPr>
                <w:sz w:val="18"/>
              </w:rPr>
              <w:t>info</w:t>
            </w:r>
            <w:r>
              <w:rPr>
                <w:spacing w:val="-1"/>
                <w:sz w:val="18"/>
              </w:rPr>
              <w:t> </w:t>
            </w:r>
            <w:r>
              <w:rPr>
                <w:spacing w:val="-2"/>
                <w:sz w:val="18"/>
              </w:rPr>
              <w:t>criterion</w:t>
            </w:r>
          </w:p>
        </w:tc>
        <w:tc>
          <w:tcPr>
            <w:tcW w:w="884" w:type="dxa"/>
          </w:tcPr>
          <w:p>
            <w:pPr>
              <w:pStyle w:val="TableParagraph"/>
              <w:ind w:right="6"/>
              <w:jc w:val="right"/>
              <w:rPr>
                <w:sz w:val="18"/>
              </w:rPr>
            </w:pPr>
            <w:r>
              <w:rPr>
                <w:spacing w:val="-2"/>
                <w:sz w:val="18"/>
              </w:rPr>
              <w:t>35.20267</w:t>
            </w:r>
          </w:p>
        </w:tc>
      </w:tr>
      <w:tr>
        <w:trPr>
          <w:trHeight w:val="225" w:hRule="atLeast"/>
        </w:trPr>
        <w:tc>
          <w:tcPr>
            <w:tcW w:w="1960"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256" w:type="dxa"/>
          </w:tcPr>
          <w:p>
            <w:pPr>
              <w:pStyle w:val="TableParagraph"/>
              <w:ind w:right="104"/>
              <w:jc w:val="right"/>
              <w:rPr>
                <w:sz w:val="18"/>
              </w:rPr>
            </w:pPr>
            <w:r>
              <w:rPr>
                <w:spacing w:val="-2"/>
                <w:sz w:val="18"/>
              </w:rPr>
              <w:t>2.38E+15</w:t>
            </w:r>
          </w:p>
        </w:tc>
        <w:tc>
          <w:tcPr>
            <w:tcW w:w="1491" w:type="dxa"/>
          </w:tcPr>
          <w:p>
            <w:pPr>
              <w:pStyle w:val="TableParagraph"/>
              <w:ind w:left="106"/>
              <w:rPr>
                <w:sz w:val="18"/>
              </w:rPr>
            </w:pPr>
            <w:r>
              <w:rPr>
                <w:sz w:val="18"/>
              </w:rPr>
              <w:t>Schwarz</w:t>
            </w:r>
            <w:r>
              <w:rPr>
                <w:spacing w:val="-4"/>
                <w:sz w:val="18"/>
              </w:rPr>
              <w:t> </w:t>
            </w:r>
            <w:r>
              <w:rPr>
                <w:spacing w:val="-2"/>
                <w:sz w:val="18"/>
              </w:rPr>
              <w:t>criterion</w:t>
            </w:r>
          </w:p>
        </w:tc>
        <w:tc>
          <w:tcPr>
            <w:tcW w:w="940" w:type="dxa"/>
          </w:tcPr>
          <w:p>
            <w:pPr>
              <w:pStyle w:val="TableParagraph"/>
              <w:spacing w:line="240" w:lineRule="auto" w:before="0"/>
              <w:rPr>
                <w:rFonts w:ascii="Times New Roman"/>
                <w:sz w:val="16"/>
              </w:rPr>
            </w:pPr>
          </w:p>
        </w:tc>
        <w:tc>
          <w:tcPr>
            <w:tcW w:w="884" w:type="dxa"/>
          </w:tcPr>
          <w:p>
            <w:pPr>
              <w:pStyle w:val="TableParagraph"/>
              <w:ind w:right="6"/>
              <w:jc w:val="right"/>
              <w:rPr>
                <w:sz w:val="18"/>
              </w:rPr>
            </w:pPr>
            <w:r>
              <w:rPr>
                <w:spacing w:val="-2"/>
                <w:sz w:val="18"/>
              </w:rPr>
              <w:t>35.60262</w:t>
            </w:r>
          </w:p>
        </w:tc>
      </w:tr>
      <w:tr>
        <w:trPr>
          <w:trHeight w:val="224" w:hRule="atLeast"/>
        </w:trPr>
        <w:tc>
          <w:tcPr>
            <w:tcW w:w="1960" w:type="dxa"/>
          </w:tcPr>
          <w:p>
            <w:pPr>
              <w:pStyle w:val="TableParagraph"/>
              <w:spacing w:line="198" w:lineRule="exact"/>
              <w:rPr>
                <w:sz w:val="18"/>
              </w:rPr>
            </w:pPr>
            <w:r>
              <w:rPr>
                <w:sz w:val="18"/>
              </w:rPr>
              <w:t>Log</w:t>
            </w:r>
            <w:r>
              <w:rPr>
                <w:spacing w:val="-3"/>
                <w:sz w:val="18"/>
              </w:rPr>
              <w:t> </w:t>
            </w:r>
            <w:r>
              <w:rPr>
                <w:spacing w:val="-2"/>
                <w:sz w:val="18"/>
              </w:rPr>
              <w:t>likelihood</w:t>
            </w:r>
          </w:p>
        </w:tc>
        <w:tc>
          <w:tcPr>
            <w:tcW w:w="1256" w:type="dxa"/>
          </w:tcPr>
          <w:p>
            <w:pPr>
              <w:pStyle w:val="TableParagraph"/>
              <w:spacing w:line="198" w:lineRule="exact"/>
              <w:ind w:right="104"/>
              <w:jc w:val="right"/>
              <w:rPr>
                <w:sz w:val="18"/>
              </w:rPr>
            </w:pPr>
            <w:r>
              <w:rPr>
                <w:spacing w:val="-2"/>
                <w:sz w:val="18"/>
              </w:rPr>
              <w:t>-607.0468</w:t>
            </w:r>
          </w:p>
        </w:tc>
        <w:tc>
          <w:tcPr>
            <w:tcW w:w="2431" w:type="dxa"/>
            <w:gridSpan w:val="2"/>
          </w:tcPr>
          <w:p>
            <w:pPr>
              <w:pStyle w:val="TableParagraph"/>
              <w:spacing w:line="198" w:lineRule="exact"/>
              <w:ind w:left="106"/>
              <w:rPr>
                <w:sz w:val="18"/>
              </w:rPr>
            </w:pPr>
            <w:r>
              <w:rPr>
                <w:spacing w:val="-2"/>
                <w:sz w:val="18"/>
              </w:rPr>
              <w:t>Hannan-Quinn</w:t>
            </w:r>
            <w:r>
              <w:rPr>
                <w:spacing w:val="11"/>
                <w:sz w:val="18"/>
              </w:rPr>
              <w:t> </w:t>
            </w:r>
            <w:r>
              <w:rPr>
                <w:spacing w:val="-2"/>
                <w:sz w:val="18"/>
              </w:rPr>
              <w:t>criter.</w:t>
            </w:r>
          </w:p>
        </w:tc>
        <w:tc>
          <w:tcPr>
            <w:tcW w:w="884" w:type="dxa"/>
          </w:tcPr>
          <w:p>
            <w:pPr>
              <w:pStyle w:val="TableParagraph"/>
              <w:spacing w:line="198" w:lineRule="exact"/>
              <w:ind w:right="6"/>
              <w:jc w:val="right"/>
              <w:rPr>
                <w:sz w:val="18"/>
              </w:rPr>
            </w:pPr>
            <w:r>
              <w:rPr>
                <w:spacing w:val="-2"/>
                <w:sz w:val="18"/>
              </w:rPr>
              <w:t>35.34073</w:t>
            </w:r>
          </w:p>
        </w:tc>
      </w:tr>
      <w:tr>
        <w:trPr>
          <w:trHeight w:val="224" w:hRule="atLeast"/>
        </w:trPr>
        <w:tc>
          <w:tcPr>
            <w:tcW w:w="1960" w:type="dxa"/>
          </w:tcPr>
          <w:p>
            <w:pPr>
              <w:pStyle w:val="TableParagraph"/>
              <w:spacing w:before="5"/>
              <w:rPr>
                <w:sz w:val="18"/>
              </w:rPr>
            </w:pPr>
            <w:r>
              <w:rPr>
                <w:spacing w:val="-2"/>
                <w:sz w:val="18"/>
              </w:rPr>
              <w:t>F-statistic</w:t>
            </w:r>
          </w:p>
        </w:tc>
        <w:tc>
          <w:tcPr>
            <w:tcW w:w="1256" w:type="dxa"/>
          </w:tcPr>
          <w:p>
            <w:pPr>
              <w:pStyle w:val="TableParagraph"/>
              <w:spacing w:before="5"/>
              <w:ind w:right="104"/>
              <w:jc w:val="right"/>
              <w:rPr>
                <w:sz w:val="18"/>
              </w:rPr>
            </w:pPr>
            <w:r>
              <w:rPr>
                <w:spacing w:val="-2"/>
                <w:sz w:val="18"/>
              </w:rPr>
              <w:t>0.905751</w:t>
            </w:r>
          </w:p>
        </w:tc>
        <w:tc>
          <w:tcPr>
            <w:tcW w:w="2431" w:type="dxa"/>
            <w:gridSpan w:val="2"/>
          </w:tcPr>
          <w:p>
            <w:pPr>
              <w:pStyle w:val="TableParagraph"/>
              <w:spacing w:before="5"/>
              <w:ind w:left="106"/>
              <w:rPr>
                <w:sz w:val="18"/>
              </w:rPr>
            </w:pPr>
            <w:r>
              <w:rPr>
                <w:spacing w:val="-2"/>
                <w:sz w:val="18"/>
              </w:rPr>
              <w:t>Durbin-Watson</w:t>
            </w:r>
            <w:r>
              <w:rPr>
                <w:spacing w:val="13"/>
                <w:sz w:val="18"/>
              </w:rPr>
              <w:t> </w:t>
            </w:r>
            <w:r>
              <w:rPr>
                <w:spacing w:val="-4"/>
                <w:sz w:val="18"/>
              </w:rPr>
              <w:t>stat</w:t>
            </w:r>
          </w:p>
        </w:tc>
        <w:tc>
          <w:tcPr>
            <w:tcW w:w="884" w:type="dxa"/>
          </w:tcPr>
          <w:p>
            <w:pPr>
              <w:pStyle w:val="TableParagraph"/>
              <w:spacing w:before="5"/>
              <w:ind w:right="6"/>
              <w:jc w:val="right"/>
              <w:rPr>
                <w:sz w:val="18"/>
              </w:rPr>
            </w:pPr>
            <w:r>
              <w:rPr>
                <w:spacing w:val="-2"/>
                <w:sz w:val="18"/>
              </w:rPr>
              <w:t>1.822092</w:t>
            </w:r>
          </w:p>
        </w:tc>
      </w:tr>
      <w:tr>
        <w:trPr>
          <w:trHeight w:val="303" w:hRule="atLeast"/>
        </w:trPr>
        <w:tc>
          <w:tcPr>
            <w:tcW w:w="1960" w:type="dxa"/>
            <w:tcBorders>
              <w:bottom w:val="double" w:sz="6" w:space="0" w:color="000000"/>
            </w:tcBorders>
          </w:tcPr>
          <w:p>
            <w:pPr>
              <w:pStyle w:val="TableParagraph"/>
              <w:spacing w:line="240" w:lineRule="auto"/>
              <w:rPr>
                <w:sz w:val="18"/>
              </w:rPr>
            </w:pPr>
            <w:r>
              <w:rPr>
                <w:spacing w:val="-2"/>
                <w:sz w:val="18"/>
              </w:rPr>
              <w:t>Prob(F-statistic)</w:t>
            </w:r>
          </w:p>
        </w:tc>
        <w:tc>
          <w:tcPr>
            <w:tcW w:w="1256" w:type="dxa"/>
            <w:tcBorders>
              <w:bottom w:val="double" w:sz="6" w:space="0" w:color="000000"/>
            </w:tcBorders>
          </w:tcPr>
          <w:p>
            <w:pPr>
              <w:pStyle w:val="TableParagraph"/>
              <w:spacing w:line="240" w:lineRule="auto"/>
              <w:ind w:right="104"/>
              <w:jc w:val="right"/>
              <w:rPr>
                <w:sz w:val="18"/>
              </w:rPr>
            </w:pPr>
            <w:r>
              <w:rPr>
                <w:spacing w:val="-2"/>
                <w:sz w:val="18"/>
              </w:rPr>
              <w:t>0.526639</w:t>
            </w:r>
          </w:p>
        </w:tc>
        <w:tc>
          <w:tcPr>
            <w:tcW w:w="2431" w:type="dxa"/>
            <w:gridSpan w:val="2"/>
            <w:tcBorders>
              <w:bottom w:val="double" w:sz="6" w:space="0" w:color="000000"/>
            </w:tcBorders>
          </w:tcPr>
          <w:p>
            <w:pPr>
              <w:pStyle w:val="TableParagraph"/>
              <w:spacing w:line="240" w:lineRule="auto" w:before="0"/>
              <w:rPr>
                <w:rFonts w:ascii="Times New Roman"/>
                <w:sz w:val="18"/>
              </w:rPr>
            </w:pPr>
          </w:p>
        </w:tc>
        <w:tc>
          <w:tcPr>
            <w:tcW w:w="884" w:type="dxa"/>
            <w:tcBorders>
              <w:bottom w:val="double" w:sz="6" w:space="0" w:color="000000"/>
            </w:tcBorders>
          </w:tcPr>
          <w:p>
            <w:pPr>
              <w:pStyle w:val="TableParagraph"/>
              <w:spacing w:line="240" w:lineRule="auto" w:before="0"/>
              <w:rPr>
                <w:rFonts w:ascii="Times New Roman"/>
                <w:sz w:val="18"/>
              </w:rPr>
            </w:pPr>
          </w:p>
        </w:tc>
      </w:tr>
    </w:tbl>
    <w:sectPr>
      <w:pgSz w:w="12240" w:h="15840"/>
      <w:pgMar w:header="0" w:footer="1012" w:top="1820" w:bottom="1200" w:left="134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 w:name="Yu Gothic">
    <w:altName w:val="Yu Gothic"/>
    <w:charset w:val="1"/>
    <w:family w:val="swiss"/>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78002176">
              <wp:simplePos x="0" y="0"/>
              <wp:positionH relativeFrom="page">
                <wp:posOffset>3813683</wp:posOffset>
              </wp:positionH>
              <wp:positionV relativeFrom="page">
                <wp:posOffset>9275774</wp:posOffset>
              </wp:positionV>
              <wp:extent cx="16002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60020" cy="165735"/>
                      </a:xfrm>
                      <a:prstGeom prst="rect">
                        <a:avLst/>
                      </a:prstGeom>
                    </wps:spPr>
                    <wps:txbx>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0.290009pt;margin-top:730.375977pt;width:12.6pt;height:13.05pt;mso-position-horizontal-relative:page;mso-position-vertical-relative:page;z-index:-25314304" type="#_x0000_t202" id="docshape1" filled="false" stroked="false">
              <v:textbox inset="0,0,0,0">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78002688">
              <wp:simplePos x="0" y="0"/>
              <wp:positionH relativeFrom="page">
                <wp:posOffset>3742054</wp:posOffset>
              </wp:positionH>
              <wp:positionV relativeFrom="page">
                <wp:posOffset>9275774</wp:posOffset>
              </wp:positionV>
              <wp:extent cx="301625" cy="16573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4.649994pt;margin-top:730.375977pt;width:23.75pt;height:13.05pt;mso-position-horizontal-relative:page;mso-position-vertical-relative:page;z-index:-25313792" type="#_x0000_t202" id="docshape2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78003200">
              <wp:simplePos x="0" y="0"/>
              <wp:positionH relativeFrom="page">
                <wp:posOffset>4885054</wp:posOffset>
              </wp:positionH>
              <wp:positionV relativeFrom="page">
                <wp:posOffset>6989774</wp:posOffset>
              </wp:positionV>
              <wp:extent cx="301625" cy="16573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189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84.649994pt;margin-top:550.375977pt;width:23.75pt;height:13.05pt;mso-position-horizontal-relative:page;mso-position-vertical-relative:page;z-index:-25313280" type="#_x0000_t202" id="docshape23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189</w:t>
                    </w:r>
                    <w:r>
                      <w:rPr>
                        <w:rFonts w:ascii="Calibri"/>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78003712">
              <wp:simplePos x="0" y="0"/>
              <wp:positionH relativeFrom="page">
                <wp:posOffset>3742054</wp:posOffset>
              </wp:positionH>
              <wp:positionV relativeFrom="page">
                <wp:posOffset>9275774</wp:posOffset>
              </wp:positionV>
              <wp:extent cx="301625" cy="165735"/>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191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4.649994pt;margin-top:730.375977pt;width:23.75pt;height:13.05pt;mso-position-horizontal-relative:page;mso-position-vertical-relative:page;z-index:-25312768" type="#_x0000_t202" id="docshape24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191</w:t>
                    </w:r>
                    <w:r>
                      <w:rPr>
                        <w:rFonts w:ascii="Calibri"/>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78004224">
              <wp:simplePos x="0" y="0"/>
              <wp:positionH relativeFrom="page">
                <wp:posOffset>4885054</wp:posOffset>
              </wp:positionH>
              <wp:positionV relativeFrom="page">
                <wp:posOffset>6989774</wp:posOffset>
              </wp:positionV>
              <wp:extent cx="301625" cy="16573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209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84.649994pt;margin-top:550.375977pt;width:23.75pt;height:13.05pt;mso-position-horizontal-relative:page;mso-position-vertical-relative:page;z-index:-25312256" type="#_x0000_t202" id="docshape27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209</w:t>
                    </w:r>
                    <w:r>
                      <w:rPr>
                        <w:rFonts w:ascii="Calibri"/>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78004736">
              <wp:simplePos x="0" y="0"/>
              <wp:positionH relativeFrom="page">
                <wp:posOffset>3679571</wp:posOffset>
              </wp:positionH>
              <wp:positionV relativeFrom="page">
                <wp:posOffset>9275774</wp:posOffset>
              </wp:positionV>
              <wp:extent cx="429259" cy="16573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429259" cy="165735"/>
                      </a:xfrm>
                      <a:prstGeom prst="rect">
                        <a:avLst/>
                      </a:prstGeom>
                    </wps:spPr>
                    <wps:txbx>
                      <w:txbxContent>
                        <w:p>
                          <w:pPr>
                            <w:spacing w:line="245" w:lineRule="exact" w:before="0"/>
                            <w:ind w:left="60" w:right="0" w:firstLine="0"/>
                            <w:jc w:val="left"/>
                            <w:rPr>
                              <w:rFonts w:ascii="Calibri"/>
                              <w:sz w:val="22"/>
                            </w:rPr>
                          </w:pP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ccxviii</w:t>
                          </w:r>
                          <w:r>
                            <w:rPr>
                              <w:rFonts w:ascii="Calibri"/>
                              <w:spacing w:val="-2"/>
                              <w:sz w:val="22"/>
                            </w:rPr>
                            <w:fldChar w:fldCharType="end"/>
                          </w:r>
                        </w:p>
                      </w:txbxContent>
                    </wps:txbx>
                    <wps:bodyPr wrap="square" lIns="0" tIns="0" rIns="0" bIns="0" rtlCol="0">
                      <a:noAutofit/>
                    </wps:bodyPr>
                  </wps:wsp>
                </a:graphicData>
              </a:graphic>
            </wp:anchor>
          </w:drawing>
        </mc:Choice>
        <mc:Fallback>
          <w:pict>
            <v:shape style="position:absolute;margin-left:289.730011pt;margin-top:730.375977pt;width:33.8pt;height:13.05pt;mso-position-horizontal-relative:page;mso-position-vertical-relative:page;z-index:-25311744" type="#_x0000_t202" id="docshape297" filled="false" stroked="false">
              <v:textbox inset="0,0,0,0">
                <w:txbxContent>
                  <w:p>
                    <w:pPr>
                      <w:spacing w:line="245" w:lineRule="exact" w:before="0"/>
                      <w:ind w:left="60" w:right="0" w:firstLine="0"/>
                      <w:jc w:val="left"/>
                      <w:rPr>
                        <w:rFonts w:ascii="Calibri"/>
                        <w:sz w:val="22"/>
                      </w:rPr>
                    </w:pP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ccxviii</w:t>
                    </w:r>
                    <w:r>
                      <w:rPr>
                        <w:rFonts w:ascii="Calibri"/>
                        <w:spacing w:val="-2"/>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decimal"/>
      <w:lvlText w:val="%1."/>
      <w:lvlJc w:val="left"/>
      <w:pPr>
        <w:ind w:left="491" w:hanging="363"/>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1">
      <w:start w:val="0"/>
      <w:numFmt w:val="bullet"/>
      <w:lvlText w:val="•"/>
      <w:lvlJc w:val="left"/>
      <w:pPr>
        <w:ind w:left="1482" w:hanging="363"/>
      </w:pPr>
      <w:rPr>
        <w:rFonts w:hint="default"/>
        <w:lang w:val="en-US" w:eastAsia="en-US" w:bidi="ar-SA"/>
      </w:rPr>
    </w:lvl>
    <w:lvl w:ilvl="2">
      <w:start w:val="0"/>
      <w:numFmt w:val="bullet"/>
      <w:lvlText w:val="•"/>
      <w:lvlJc w:val="left"/>
      <w:pPr>
        <w:ind w:left="2464" w:hanging="363"/>
      </w:pPr>
      <w:rPr>
        <w:rFonts w:hint="default"/>
        <w:lang w:val="en-US" w:eastAsia="en-US" w:bidi="ar-SA"/>
      </w:rPr>
    </w:lvl>
    <w:lvl w:ilvl="3">
      <w:start w:val="0"/>
      <w:numFmt w:val="bullet"/>
      <w:lvlText w:val="•"/>
      <w:lvlJc w:val="left"/>
      <w:pPr>
        <w:ind w:left="3446" w:hanging="363"/>
      </w:pPr>
      <w:rPr>
        <w:rFonts w:hint="default"/>
        <w:lang w:val="en-US" w:eastAsia="en-US" w:bidi="ar-SA"/>
      </w:rPr>
    </w:lvl>
    <w:lvl w:ilvl="4">
      <w:start w:val="0"/>
      <w:numFmt w:val="bullet"/>
      <w:lvlText w:val="•"/>
      <w:lvlJc w:val="left"/>
      <w:pPr>
        <w:ind w:left="4428" w:hanging="363"/>
      </w:pPr>
      <w:rPr>
        <w:rFonts w:hint="default"/>
        <w:lang w:val="en-US" w:eastAsia="en-US" w:bidi="ar-SA"/>
      </w:rPr>
    </w:lvl>
    <w:lvl w:ilvl="5">
      <w:start w:val="0"/>
      <w:numFmt w:val="bullet"/>
      <w:lvlText w:val="•"/>
      <w:lvlJc w:val="left"/>
      <w:pPr>
        <w:ind w:left="5410" w:hanging="363"/>
      </w:pPr>
      <w:rPr>
        <w:rFonts w:hint="default"/>
        <w:lang w:val="en-US" w:eastAsia="en-US" w:bidi="ar-SA"/>
      </w:rPr>
    </w:lvl>
    <w:lvl w:ilvl="6">
      <w:start w:val="0"/>
      <w:numFmt w:val="bullet"/>
      <w:lvlText w:val="•"/>
      <w:lvlJc w:val="left"/>
      <w:pPr>
        <w:ind w:left="6392" w:hanging="363"/>
      </w:pPr>
      <w:rPr>
        <w:rFonts w:hint="default"/>
        <w:lang w:val="en-US" w:eastAsia="en-US" w:bidi="ar-SA"/>
      </w:rPr>
    </w:lvl>
    <w:lvl w:ilvl="7">
      <w:start w:val="0"/>
      <w:numFmt w:val="bullet"/>
      <w:lvlText w:val="•"/>
      <w:lvlJc w:val="left"/>
      <w:pPr>
        <w:ind w:left="7374" w:hanging="363"/>
      </w:pPr>
      <w:rPr>
        <w:rFonts w:hint="default"/>
        <w:lang w:val="en-US" w:eastAsia="en-US" w:bidi="ar-SA"/>
      </w:rPr>
    </w:lvl>
    <w:lvl w:ilvl="8">
      <w:start w:val="0"/>
      <w:numFmt w:val="bullet"/>
      <w:lvlText w:val="•"/>
      <w:lvlJc w:val="left"/>
      <w:pPr>
        <w:ind w:left="8356" w:hanging="363"/>
      </w:pPr>
      <w:rPr>
        <w:rFonts w:hint="default"/>
        <w:lang w:val="en-US" w:eastAsia="en-US" w:bidi="ar-SA"/>
      </w:rPr>
    </w:lvl>
  </w:abstractNum>
  <w:abstractNum w:abstractNumId="29">
    <w:multiLevelType w:val="hybridMultilevel"/>
    <w:lvl w:ilvl="0">
      <w:start w:val="1"/>
      <w:numFmt w:val="decimal"/>
      <w:lvlText w:val="%1."/>
      <w:lvlJc w:val="left"/>
      <w:pPr>
        <w:ind w:left="580" w:hanging="360"/>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1">
      <w:start w:val="0"/>
      <w:numFmt w:val="bullet"/>
      <w:lvlText w:val="•"/>
      <w:lvlJc w:val="left"/>
      <w:pPr>
        <w:ind w:left="1554" w:hanging="360"/>
      </w:pPr>
      <w:rPr>
        <w:rFonts w:hint="default"/>
        <w:lang w:val="en-US" w:eastAsia="en-US" w:bidi="ar-SA"/>
      </w:rPr>
    </w:lvl>
    <w:lvl w:ilvl="2">
      <w:start w:val="0"/>
      <w:numFmt w:val="bullet"/>
      <w:lvlText w:val="•"/>
      <w:lvlJc w:val="left"/>
      <w:pPr>
        <w:ind w:left="2528" w:hanging="360"/>
      </w:pPr>
      <w:rPr>
        <w:rFonts w:hint="default"/>
        <w:lang w:val="en-US" w:eastAsia="en-US" w:bidi="ar-SA"/>
      </w:rPr>
    </w:lvl>
    <w:lvl w:ilvl="3">
      <w:start w:val="0"/>
      <w:numFmt w:val="bullet"/>
      <w:lvlText w:val="•"/>
      <w:lvlJc w:val="left"/>
      <w:pPr>
        <w:ind w:left="3502" w:hanging="360"/>
      </w:pPr>
      <w:rPr>
        <w:rFonts w:hint="default"/>
        <w:lang w:val="en-US" w:eastAsia="en-US" w:bidi="ar-SA"/>
      </w:rPr>
    </w:lvl>
    <w:lvl w:ilvl="4">
      <w:start w:val="0"/>
      <w:numFmt w:val="bullet"/>
      <w:lvlText w:val="•"/>
      <w:lvlJc w:val="left"/>
      <w:pPr>
        <w:ind w:left="4476" w:hanging="360"/>
      </w:pPr>
      <w:rPr>
        <w:rFonts w:hint="default"/>
        <w:lang w:val="en-US" w:eastAsia="en-US" w:bidi="ar-SA"/>
      </w:rPr>
    </w:lvl>
    <w:lvl w:ilvl="5">
      <w:start w:val="0"/>
      <w:numFmt w:val="bullet"/>
      <w:lvlText w:val="•"/>
      <w:lvlJc w:val="left"/>
      <w:pPr>
        <w:ind w:left="5450" w:hanging="360"/>
      </w:pPr>
      <w:rPr>
        <w:rFonts w:hint="default"/>
        <w:lang w:val="en-US" w:eastAsia="en-US" w:bidi="ar-SA"/>
      </w:rPr>
    </w:lvl>
    <w:lvl w:ilvl="6">
      <w:start w:val="0"/>
      <w:numFmt w:val="bullet"/>
      <w:lvlText w:val="•"/>
      <w:lvlJc w:val="left"/>
      <w:pPr>
        <w:ind w:left="6424" w:hanging="360"/>
      </w:pPr>
      <w:rPr>
        <w:rFonts w:hint="default"/>
        <w:lang w:val="en-US" w:eastAsia="en-US" w:bidi="ar-SA"/>
      </w:rPr>
    </w:lvl>
    <w:lvl w:ilvl="7">
      <w:start w:val="0"/>
      <w:numFmt w:val="bullet"/>
      <w:lvlText w:val="•"/>
      <w:lvlJc w:val="left"/>
      <w:pPr>
        <w:ind w:left="7398" w:hanging="360"/>
      </w:pPr>
      <w:rPr>
        <w:rFonts w:hint="default"/>
        <w:lang w:val="en-US" w:eastAsia="en-US" w:bidi="ar-SA"/>
      </w:rPr>
    </w:lvl>
    <w:lvl w:ilvl="8">
      <w:start w:val="0"/>
      <w:numFmt w:val="bullet"/>
      <w:lvlText w:val="•"/>
      <w:lvlJc w:val="left"/>
      <w:pPr>
        <w:ind w:left="8372" w:hanging="360"/>
      </w:pPr>
      <w:rPr>
        <w:rFonts w:hint="default"/>
        <w:lang w:val="en-US" w:eastAsia="en-US" w:bidi="ar-SA"/>
      </w:rPr>
    </w:lvl>
  </w:abstractNum>
  <w:abstractNum w:abstractNumId="28">
    <w:multiLevelType w:val="hybridMultilevel"/>
    <w:lvl w:ilvl="0">
      <w:start w:val="1"/>
      <w:numFmt w:val="decimal"/>
      <w:lvlText w:val="%1."/>
      <w:lvlJc w:val="left"/>
      <w:pPr>
        <w:ind w:left="580" w:hanging="360"/>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1">
      <w:start w:val="0"/>
      <w:numFmt w:val="bullet"/>
      <w:lvlText w:val="•"/>
      <w:lvlJc w:val="left"/>
      <w:pPr>
        <w:ind w:left="1554" w:hanging="360"/>
      </w:pPr>
      <w:rPr>
        <w:rFonts w:hint="default"/>
        <w:lang w:val="en-US" w:eastAsia="en-US" w:bidi="ar-SA"/>
      </w:rPr>
    </w:lvl>
    <w:lvl w:ilvl="2">
      <w:start w:val="0"/>
      <w:numFmt w:val="bullet"/>
      <w:lvlText w:val="•"/>
      <w:lvlJc w:val="left"/>
      <w:pPr>
        <w:ind w:left="2528" w:hanging="360"/>
      </w:pPr>
      <w:rPr>
        <w:rFonts w:hint="default"/>
        <w:lang w:val="en-US" w:eastAsia="en-US" w:bidi="ar-SA"/>
      </w:rPr>
    </w:lvl>
    <w:lvl w:ilvl="3">
      <w:start w:val="0"/>
      <w:numFmt w:val="bullet"/>
      <w:lvlText w:val="•"/>
      <w:lvlJc w:val="left"/>
      <w:pPr>
        <w:ind w:left="3502" w:hanging="360"/>
      </w:pPr>
      <w:rPr>
        <w:rFonts w:hint="default"/>
        <w:lang w:val="en-US" w:eastAsia="en-US" w:bidi="ar-SA"/>
      </w:rPr>
    </w:lvl>
    <w:lvl w:ilvl="4">
      <w:start w:val="0"/>
      <w:numFmt w:val="bullet"/>
      <w:lvlText w:val="•"/>
      <w:lvlJc w:val="left"/>
      <w:pPr>
        <w:ind w:left="4476" w:hanging="360"/>
      </w:pPr>
      <w:rPr>
        <w:rFonts w:hint="default"/>
        <w:lang w:val="en-US" w:eastAsia="en-US" w:bidi="ar-SA"/>
      </w:rPr>
    </w:lvl>
    <w:lvl w:ilvl="5">
      <w:start w:val="0"/>
      <w:numFmt w:val="bullet"/>
      <w:lvlText w:val="•"/>
      <w:lvlJc w:val="left"/>
      <w:pPr>
        <w:ind w:left="5450" w:hanging="360"/>
      </w:pPr>
      <w:rPr>
        <w:rFonts w:hint="default"/>
        <w:lang w:val="en-US" w:eastAsia="en-US" w:bidi="ar-SA"/>
      </w:rPr>
    </w:lvl>
    <w:lvl w:ilvl="6">
      <w:start w:val="0"/>
      <w:numFmt w:val="bullet"/>
      <w:lvlText w:val="•"/>
      <w:lvlJc w:val="left"/>
      <w:pPr>
        <w:ind w:left="6424" w:hanging="360"/>
      </w:pPr>
      <w:rPr>
        <w:rFonts w:hint="default"/>
        <w:lang w:val="en-US" w:eastAsia="en-US" w:bidi="ar-SA"/>
      </w:rPr>
    </w:lvl>
    <w:lvl w:ilvl="7">
      <w:start w:val="0"/>
      <w:numFmt w:val="bullet"/>
      <w:lvlText w:val="•"/>
      <w:lvlJc w:val="left"/>
      <w:pPr>
        <w:ind w:left="7398" w:hanging="360"/>
      </w:pPr>
      <w:rPr>
        <w:rFonts w:hint="default"/>
        <w:lang w:val="en-US" w:eastAsia="en-US" w:bidi="ar-SA"/>
      </w:rPr>
    </w:lvl>
    <w:lvl w:ilvl="8">
      <w:start w:val="0"/>
      <w:numFmt w:val="bullet"/>
      <w:lvlText w:val="•"/>
      <w:lvlJc w:val="left"/>
      <w:pPr>
        <w:ind w:left="8372" w:hanging="360"/>
      </w:pPr>
      <w:rPr>
        <w:rFonts w:hint="default"/>
        <w:lang w:val="en-US" w:eastAsia="en-US" w:bidi="ar-SA"/>
      </w:rPr>
    </w:lvl>
  </w:abstractNum>
  <w:abstractNum w:abstractNumId="27">
    <w:multiLevelType w:val="hybridMultilevel"/>
    <w:lvl w:ilvl="0">
      <w:start w:val="1"/>
      <w:numFmt w:val="decimal"/>
      <w:lvlText w:val="%1."/>
      <w:lvlJc w:val="left"/>
      <w:pPr>
        <w:ind w:left="580" w:hanging="360"/>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1">
      <w:start w:val="0"/>
      <w:numFmt w:val="bullet"/>
      <w:lvlText w:val="•"/>
      <w:lvlJc w:val="left"/>
      <w:pPr>
        <w:ind w:left="1554" w:hanging="360"/>
      </w:pPr>
      <w:rPr>
        <w:rFonts w:hint="default"/>
        <w:lang w:val="en-US" w:eastAsia="en-US" w:bidi="ar-SA"/>
      </w:rPr>
    </w:lvl>
    <w:lvl w:ilvl="2">
      <w:start w:val="0"/>
      <w:numFmt w:val="bullet"/>
      <w:lvlText w:val="•"/>
      <w:lvlJc w:val="left"/>
      <w:pPr>
        <w:ind w:left="2528" w:hanging="360"/>
      </w:pPr>
      <w:rPr>
        <w:rFonts w:hint="default"/>
        <w:lang w:val="en-US" w:eastAsia="en-US" w:bidi="ar-SA"/>
      </w:rPr>
    </w:lvl>
    <w:lvl w:ilvl="3">
      <w:start w:val="0"/>
      <w:numFmt w:val="bullet"/>
      <w:lvlText w:val="•"/>
      <w:lvlJc w:val="left"/>
      <w:pPr>
        <w:ind w:left="3502" w:hanging="360"/>
      </w:pPr>
      <w:rPr>
        <w:rFonts w:hint="default"/>
        <w:lang w:val="en-US" w:eastAsia="en-US" w:bidi="ar-SA"/>
      </w:rPr>
    </w:lvl>
    <w:lvl w:ilvl="4">
      <w:start w:val="0"/>
      <w:numFmt w:val="bullet"/>
      <w:lvlText w:val="•"/>
      <w:lvlJc w:val="left"/>
      <w:pPr>
        <w:ind w:left="4476" w:hanging="360"/>
      </w:pPr>
      <w:rPr>
        <w:rFonts w:hint="default"/>
        <w:lang w:val="en-US" w:eastAsia="en-US" w:bidi="ar-SA"/>
      </w:rPr>
    </w:lvl>
    <w:lvl w:ilvl="5">
      <w:start w:val="0"/>
      <w:numFmt w:val="bullet"/>
      <w:lvlText w:val="•"/>
      <w:lvlJc w:val="left"/>
      <w:pPr>
        <w:ind w:left="5450" w:hanging="360"/>
      </w:pPr>
      <w:rPr>
        <w:rFonts w:hint="default"/>
        <w:lang w:val="en-US" w:eastAsia="en-US" w:bidi="ar-SA"/>
      </w:rPr>
    </w:lvl>
    <w:lvl w:ilvl="6">
      <w:start w:val="0"/>
      <w:numFmt w:val="bullet"/>
      <w:lvlText w:val="•"/>
      <w:lvlJc w:val="left"/>
      <w:pPr>
        <w:ind w:left="6424" w:hanging="360"/>
      </w:pPr>
      <w:rPr>
        <w:rFonts w:hint="default"/>
        <w:lang w:val="en-US" w:eastAsia="en-US" w:bidi="ar-SA"/>
      </w:rPr>
    </w:lvl>
    <w:lvl w:ilvl="7">
      <w:start w:val="0"/>
      <w:numFmt w:val="bullet"/>
      <w:lvlText w:val="•"/>
      <w:lvlJc w:val="left"/>
      <w:pPr>
        <w:ind w:left="7398" w:hanging="360"/>
      </w:pPr>
      <w:rPr>
        <w:rFonts w:hint="default"/>
        <w:lang w:val="en-US" w:eastAsia="en-US" w:bidi="ar-SA"/>
      </w:rPr>
    </w:lvl>
    <w:lvl w:ilvl="8">
      <w:start w:val="0"/>
      <w:numFmt w:val="bullet"/>
      <w:lvlText w:val="•"/>
      <w:lvlJc w:val="left"/>
      <w:pPr>
        <w:ind w:left="8372" w:hanging="360"/>
      </w:pPr>
      <w:rPr>
        <w:rFonts w:hint="default"/>
        <w:lang w:val="en-US" w:eastAsia="en-US" w:bidi="ar-SA"/>
      </w:rPr>
    </w:lvl>
  </w:abstractNum>
  <w:abstractNum w:abstractNumId="26">
    <w:multiLevelType w:val="hybridMultilevel"/>
    <w:lvl w:ilvl="0">
      <w:start w:val="6"/>
      <w:numFmt w:val="decimal"/>
      <w:lvlText w:val="%1"/>
      <w:lvlJc w:val="left"/>
      <w:pPr>
        <w:ind w:left="594" w:hanging="375"/>
        <w:jc w:val="left"/>
      </w:pPr>
      <w:rPr>
        <w:rFonts w:hint="default"/>
        <w:lang w:val="en-US" w:eastAsia="en-US" w:bidi="ar-SA"/>
      </w:rPr>
    </w:lvl>
    <w:lvl w:ilvl="1">
      <w:start w:val="1"/>
      <w:numFmt w:val="decimal"/>
      <w:lvlText w:val="%1.%2"/>
      <w:lvlJc w:val="left"/>
      <w:pPr>
        <w:ind w:left="594" w:hanging="375"/>
        <w:jc w:val="left"/>
      </w:pPr>
      <w:rPr>
        <w:rFonts w:hint="default" w:ascii="Times New Roman" w:hAnsi="Times New Roman" w:eastAsia="Times New Roman" w:cs="Times New Roman"/>
        <w:b/>
        <w:bCs/>
        <w:i w:val="0"/>
        <w:iCs w:val="0"/>
        <w:spacing w:val="0"/>
        <w:w w:val="99"/>
        <w:sz w:val="25"/>
        <w:szCs w:val="25"/>
        <w:lang w:val="en-US" w:eastAsia="en-US" w:bidi="ar-SA"/>
      </w:rPr>
    </w:lvl>
    <w:lvl w:ilvl="2">
      <w:start w:val="0"/>
      <w:numFmt w:val="bullet"/>
      <w:lvlText w:val="•"/>
      <w:lvlJc w:val="left"/>
      <w:pPr>
        <w:ind w:left="2544" w:hanging="375"/>
      </w:pPr>
      <w:rPr>
        <w:rFonts w:hint="default"/>
        <w:lang w:val="en-US" w:eastAsia="en-US" w:bidi="ar-SA"/>
      </w:rPr>
    </w:lvl>
    <w:lvl w:ilvl="3">
      <w:start w:val="0"/>
      <w:numFmt w:val="bullet"/>
      <w:lvlText w:val="•"/>
      <w:lvlJc w:val="left"/>
      <w:pPr>
        <w:ind w:left="3516" w:hanging="375"/>
      </w:pPr>
      <w:rPr>
        <w:rFonts w:hint="default"/>
        <w:lang w:val="en-US" w:eastAsia="en-US" w:bidi="ar-SA"/>
      </w:rPr>
    </w:lvl>
    <w:lvl w:ilvl="4">
      <w:start w:val="0"/>
      <w:numFmt w:val="bullet"/>
      <w:lvlText w:val="•"/>
      <w:lvlJc w:val="left"/>
      <w:pPr>
        <w:ind w:left="4488" w:hanging="375"/>
      </w:pPr>
      <w:rPr>
        <w:rFonts w:hint="default"/>
        <w:lang w:val="en-US" w:eastAsia="en-US" w:bidi="ar-SA"/>
      </w:rPr>
    </w:lvl>
    <w:lvl w:ilvl="5">
      <w:start w:val="0"/>
      <w:numFmt w:val="bullet"/>
      <w:lvlText w:val="•"/>
      <w:lvlJc w:val="left"/>
      <w:pPr>
        <w:ind w:left="5460" w:hanging="375"/>
      </w:pPr>
      <w:rPr>
        <w:rFonts w:hint="default"/>
        <w:lang w:val="en-US" w:eastAsia="en-US" w:bidi="ar-SA"/>
      </w:rPr>
    </w:lvl>
    <w:lvl w:ilvl="6">
      <w:start w:val="0"/>
      <w:numFmt w:val="bullet"/>
      <w:lvlText w:val="•"/>
      <w:lvlJc w:val="left"/>
      <w:pPr>
        <w:ind w:left="6432" w:hanging="375"/>
      </w:pPr>
      <w:rPr>
        <w:rFonts w:hint="default"/>
        <w:lang w:val="en-US" w:eastAsia="en-US" w:bidi="ar-SA"/>
      </w:rPr>
    </w:lvl>
    <w:lvl w:ilvl="7">
      <w:start w:val="0"/>
      <w:numFmt w:val="bullet"/>
      <w:lvlText w:val="•"/>
      <w:lvlJc w:val="left"/>
      <w:pPr>
        <w:ind w:left="7404" w:hanging="375"/>
      </w:pPr>
      <w:rPr>
        <w:rFonts w:hint="default"/>
        <w:lang w:val="en-US" w:eastAsia="en-US" w:bidi="ar-SA"/>
      </w:rPr>
    </w:lvl>
    <w:lvl w:ilvl="8">
      <w:start w:val="0"/>
      <w:numFmt w:val="bullet"/>
      <w:lvlText w:val="•"/>
      <w:lvlJc w:val="left"/>
      <w:pPr>
        <w:ind w:left="8376" w:hanging="375"/>
      </w:pPr>
      <w:rPr>
        <w:rFonts w:hint="default"/>
        <w:lang w:val="en-US" w:eastAsia="en-US" w:bidi="ar-SA"/>
      </w:rPr>
    </w:lvl>
  </w:abstractNum>
  <w:abstractNum w:abstractNumId="25">
    <w:multiLevelType w:val="hybridMultilevel"/>
    <w:lvl w:ilvl="0">
      <w:start w:val="5"/>
      <w:numFmt w:val="decimal"/>
      <w:lvlText w:val="%1"/>
      <w:lvlJc w:val="left"/>
      <w:pPr>
        <w:ind w:left="594" w:hanging="375"/>
        <w:jc w:val="left"/>
      </w:pPr>
      <w:rPr>
        <w:rFonts w:hint="default"/>
        <w:lang w:val="en-US" w:eastAsia="en-US" w:bidi="ar-SA"/>
      </w:rPr>
    </w:lvl>
    <w:lvl w:ilvl="1">
      <w:start w:val="5"/>
      <w:numFmt w:val="decimal"/>
      <w:lvlText w:val="%1.%2"/>
      <w:lvlJc w:val="left"/>
      <w:pPr>
        <w:ind w:left="594" w:hanging="375"/>
        <w:jc w:val="left"/>
      </w:pPr>
      <w:rPr>
        <w:rFonts w:hint="default" w:ascii="Times New Roman" w:hAnsi="Times New Roman" w:eastAsia="Times New Roman" w:cs="Times New Roman"/>
        <w:b/>
        <w:bCs/>
        <w:i w:val="0"/>
        <w:iCs w:val="0"/>
        <w:spacing w:val="0"/>
        <w:w w:val="99"/>
        <w:sz w:val="25"/>
        <w:szCs w:val="25"/>
        <w:lang w:val="en-US" w:eastAsia="en-US" w:bidi="ar-SA"/>
      </w:rPr>
    </w:lvl>
    <w:lvl w:ilvl="2">
      <w:start w:val="0"/>
      <w:numFmt w:val="bullet"/>
      <w:lvlText w:val="•"/>
      <w:lvlJc w:val="left"/>
      <w:pPr>
        <w:ind w:left="2544" w:hanging="375"/>
      </w:pPr>
      <w:rPr>
        <w:rFonts w:hint="default"/>
        <w:lang w:val="en-US" w:eastAsia="en-US" w:bidi="ar-SA"/>
      </w:rPr>
    </w:lvl>
    <w:lvl w:ilvl="3">
      <w:start w:val="0"/>
      <w:numFmt w:val="bullet"/>
      <w:lvlText w:val="•"/>
      <w:lvlJc w:val="left"/>
      <w:pPr>
        <w:ind w:left="3516" w:hanging="375"/>
      </w:pPr>
      <w:rPr>
        <w:rFonts w:hint="default"/>
        <w:lang w:val="en-US" w:eastAsia="en-US" w:bidi="ar-SA"/>
      </w:rPr>
    </w:lvl>
    <w:lvl w:ilvl="4">
      <w:start w:val="0"/>
      <w:numFmt w:val="bullet"/>
      <w:lvlText w:val="•"/>
      <w:lvlJc w:val="left"/>
      <w:pPr>
        <w:ind w:left="4488" w:hanging="375"/>
      </w:pPr>
      <w:rPr>
        <w:rFonts w:hint="default"/>
        <w:lang w:val="en-US" w:eastAsia="en-US" w:bidi="ar-SA"/>
      </w:rPr>
    </w:lvl>
    <w:lvl w:ilvl="5">
      <w:start w:val="0"/>
      <w:numFmt w:val="bullet"/>
      <w:lvlText w:val="•"/>
      <w:lvlJc w:val="left"/>
      <w:pPr>
        <w:ind w:left="5460" w:hanging="375"/>
      </w:pPr>
      <w:rPr>
        <w:rFonts w:hint="default"/>
        <w:lang w:val="en-US" w:eastAsia="en-US" w:bidi="ar-SA"/>
      </w:rPr>
    </w:lvl>
    <w:lvl w:ilvl="6">
      <w:start w:val="0"/>
      <w:numFmt w:val="bullet"/>
      <w:lvlText w:val="•"/>
      <w:lvlJc w:val="left"/>
      <w:pPr>
        <w:ind w:left="6432" w:hanging="375"/>
      </w:pPr>
      <w:rPr>
        <w:rFonts w:hint="default"/>
        <w:lang w:val="en-US" w:eastAsia="en-US" w:bidi="ar-SA"/>
      </w:rPr>
    </w:lvl>
    <w:lvl w:ilvl="7">
      <w:start w:val="0"/>
      <w:numFmt w:val="bullet"/>
      <w:lvlText w:val="•"/>
      <w:lvlJc w:val="left"/>
      <w:pPr>
        <w:ind w:left="7404" w:hanging="375"/>
      </w:pPr>
      <w:rPr>
        <w:rFonts w:hint="default"/>
        <w:lang w:val="en-US" w:eastAsia="en-US" w:bidi="ar-SA"/>
      </w:rPr>
    </w:lvl>
    <w:lvl w:ilvl="8">
      <w:start w:val="0"/>
      <w:numFmt w:val="bullet"/>
      <w:lvlText w:val="•"/>
      <w:lvlJc w:val="left"/>
      <w:pPr>
        <w:ind w:left="8376" w:hanging="375"/>
      </w:pPr>
      <w:rPr>
        <w:rFonts w:hint="default"/>
        <w:lang w:val="en-US" w:eastAsia="en-US" w:bidi="ar-SA"/>
      </w:rPr>
    </w:lvl>
  </w:abstractNum>
  <w:abstractNum w:abstractNumId="24">
    <w:multiLevelType w:val="hybridMultilevel"/>
    <w:lvl w:ilvl="0">
      <w:start w:val="5"/>
      <w:numFmt w:val="decimal"/>
      <w:lvlText w:val="%1"/>
      <w:lvlJc w:val="left"/>
      <w:pPr>
        <w:ind w:left="594" w:hanging="375"/>
        <w:jc w:val="left"/>
      </w:pPr>
      <w:rPr>
        <w:rFonts w:hint="default"/>
        <w:lang w:val="en-US" w:eastAsia="en-US" w:bidi="ar-SA"/>
      </w:rPr>
    </w:lvl>
    <w:lvl w:ilvl="1">
      <w:start w:val="1"/>
      <w:numFmt w:val="decimal"/>
      <w:lvlText w:val="%1.%2"/>
      <w:lvlJc w:val="left"/>
      <w:pPr>
        <w:ind w:left="594" w:hanging="375"/>
        <w:jc w:val="left"/>
      </w:pPr>
      <w:rPr>
        <w:rFonts w:hint="default" w:ascii="Times New Roman" w:hAnsi="Times New Roman" w:eastAsia="Times New Roman" w:cs="Times New Roman"/>
        <w:b/>
        <w:bCs/>
        <w:i w:val="0"/>
        <w:iCs w:val="0"/>
        <w:spacing w:val="0"/>
        <w:w w:val="99"/>
        <w:sz w:val="25"/>
        <w:szCs w:val="25"/>
        <w:lang w:val="en-US" w:eastAsia="en-US" w:bidi="ar-SA"/>
      </w:rPr>
    </w:lvl>
    <w:lvl w:ilvl="2">
      <w:start w:val="0"/>
      <w:numFmt w:val="bullet"/>
      <w:lvlText w:val="•"/>
      <w:lvlJc w:val="left"/>
      <w:pPr>
        <w:ind w:left="2544" w:hanging="375"/>
      </w:pPr>
      <w:rPr>
        <w:rFonts w:hint="default"/>
        <w:lang w:val="en-US" w:eastAsia="en-US" w:bidi="ar-SA"/>
      </w:rPr>
    </w:lvl>
    <w:lvl w:ilvl="3">
      <w:start w:val="0"/>
      <w:numFmt w:val="bullet"/>
      <w:lvlText w:val="•"/>
      <w:lvlJc w:val="left"/>
      <w:pPr>
        <w:ind w:left="3516" w:hanging="375"/>
      </w:pPr>
      <w:rPr>
        <w:rFonts w:hint="default"/>
        <w:lang w:val="en-US" w:eastAsia="en-US" w:bidi="ar-SA"/>
      </w:rPr>
    </w:lvl>
    <w:lvl w:ilvl="4">
      <w:start w:val="0"/>
      <w:numFmt w:val="bullet"/>
      <w:lvlText w:val="•"/>
      <w:lvlJc w:val="left"/>
      <w:pPr>
        <w:ind w:left="4488" w:hanging="375"/>
      </w:pPr>
      <w:rPr>
        <w:rFonts w:hint="default"/>
        <w:lang w:val="en-US" w:eastAsia="en-US" w:bidi="ar-SA"/>
      </w:rPr>
    </w:lvl>
    <w:lvl w:ilvl="5">
      <w:start w:val="0"/>
      <w:numFmt w:val="bullet"/>
      <w:lvlText w:val="•"/>
      <w:lvlJc w:val="left"/>
      <w:pPr>
        <w:ind w:left="5460" w:hanging="375"/>
      </w:pPr>
      <w:rPr>
        <w:rFonts w:hint="default"/>
        <w:lang w:val="en-US" w:eastAsia="en-US" w:bidi="ar-SA"/>
      </w:rPr>
    </w:lvl>
    <w:lvl w:ilvl="6">
      <w:start w:val="0"/>
      <w:numFmt w:val="bullet"/>
      <w:lvlText w:val="•"/>
      <w:lvlJc w:val="left"/>
      <w:pPr>
        <w:ind w:left="6432" w:hanging="375"/>
      </w:pPr>
      <w:rPr>
        <w:rFonts w:hint="default"/>
        <w:lang w:val="en-US" w:eastAsia="en-US" w:bidi="ar-SA"/>
      </w:rPr>
    </w:lvl>
    <w:lvl w:ilvl="7">
      <w:start w:val="0"/>
      <w:numFmt w:val="bullet"/>
      <w:lvlText w:val="•"/>
      <w:lvlJc w:val="left"/>
      <w:pPr>
        <w:ind w:left="7404" w:hanging="375"/>
      </w:pPr>
      <w:rPr>
        <w:rFonts w:hint="default"/>
        <w:lang w:val="en-US" w:eastAsia="en-US" w:bidi="ar-SA"/>
      </w:rPr>
    </w:lvl>
    <w:lvl w:ilvl="8">
      <w:start w:val="0"/>
      <w:numFmt w:val="bullet"/>
      <w:lvlText w:val="•"/>
      <w:lvlJc w:val="left"/>
      <w:pPr>
        <w:ind w:left="8376" w:hanging="375"/>
      </w:pPr>
      <w:rPr>
        <w:rFonts w:hint="default"/>
        <w:lang w:val="en-US" w:eastAsia="en-US" w:bidi="ar-SA"/>
      </w:rPr>
    </w:lvl>
  </w:abstractNum>
  <w:abstractNum w:abstractNumId="23">
    <w:multiLevelType w:val="hybridMultilevel"/>
    <w:lvl w:ilvl="0">
      <w:start w:val="4"/>
      <w:numFmt w:val="decimal"/>
      <w:lvlText w:val="%1"/>
      <w:lvlJc w:val="left"/>
      <w:pPr>
        <w:ind w:left="594" w:hanging="375"/>
        <w:jc w:val="left"/>
      </w:pPr>
      <w:rPr>
        <w:rFonts w:hint="default"/>
        <w:lang w:val="en-US" w:eastAsia="en-US" w:bidi="ar-SA"/>
      </w:rPr>
    </w:lvl>
    <w:lvl w:ilvl="1">
      <w:start w:val="1"/>
      <w:numFmt w:val="decimal"/>
      <w:lvlText w:val="%1.%2"/>
      <w:lvlJc w:val="left"/>
      <w:pPr>
        <w:ind w:left="594" w:hanging="375"/>
        <w:jc w:val="left"/>
      </w:pPr>
      <w:rPr>
        <w:rFonts w:hint="default" w:ascii="Times New Roman" w:hAnsi="Times New Roman" w:eastAsia="Times New Roman" w:cs="Times New Roman"/>
        <w:b/>
        <w:bCs/>
        <w:i w:val="0"/>
        <w:iCs w:val="0"/>
        <w:spacing w:val="0"/>
        <w:w w:val="99"/>
        <w:sz w:val="25"/>
        <w:szCs w:val="25"/>
        <w:lang w:val="en-US" w:eastAsia="en-US" w:bidi="ar-SA"/>
      </w:rPr>
    </w:lvl>
    <w:lvl w:ilvl="2">
      <w:start w:val="1"/>
      <w:numFmt w:val="decimal"/>
      <w:lvlText w:val="%1.%2.%3"/>
      <w:lvlJc w:val="left"/>
      <w:pPr>
        <w:ind w:left="782" w:hanging="562"/>
        <w:jc w:val="left"/>
      </w:pPr>
      <w:rPr>
        <w:rFonts w:hint="default" w:ascii="Times New Roman" w:hAnsi="Times New Roman" w:eastAsia="Times New Roman" w:cs="Times New Roman"/>
        <w:b/>
        <w:bCs/>
        <w:i w:val="0"/>
        <w:iCs w:val="0"/>
        <w:spacing w:val="0"/>
        <w:w w:val="99"/>
        <w:sz w:val="25"/>
        <w:szCs w:val="25"/>
        <w:lang w:val="en-US" w:eastAsia="en-US" w:bidi="ar-SA"/>
      </w:rPr>
    </w:lvl>
    <w:lvl w:ilvl="3">
      <w:start w:val="0"/>
      <w:numFmt w:val="bullet"/>
      <w:lvlText w:val="•"/>
      <w:lvlJc w:val="left"/>
      <w:pPr>
        <w:ind w:left="2900" w:hanging="562"/>
      </w:pPr>
      <w:rPr>
        <w:rFonts w:hint="default"/>
        <w:lang w:val="en-US" w:eastAsia="en-US" w:bidi="ar-SA"/>
      </w:rPr>
    </w:lvl>
    <w:lvl w:ilvl="4">
      <w:start w:val="0"/>
      <w:numFmt w:val="bullet"/>
      <w:lvlText w:val="•"/>
      <w:lvlJc w:val="left"/>
      <w:pPr>
        <w:ind w:left="3960" w:hanging="562"/>
      </w:pPr>
      <w:rPr>
        <w:rFonts w:hint="default"/>
        <w:lang w:val="en-US" w:eastAsia="en-US" w:bidi="ar-SA"/>
      </w:rPr>
    </w:lvl>
    <w:lvl w:ilvl="5">
      <w:start w:val="0"/>
      <w:numFmt w:val="bullet"/>
      <w:lvlText w:val="•"/>
      <w:lvlJc w:val="left"/>
      <w:pPr>
        <w:ind w:left="5020" w:hanging="562"/>
      </w:pPr>
      <w:rPr>
        <w:rFonts w:hint="default"/>
        <w:lang w:val="en-US" w:eastAsia="en-US" w:bidi="ar-SA"/>
      </w:rPr>
    </w:lvl>
    <w:lvl w:ilvl="6">
      <w:start w:val="0"/>
      <w:numFmt w:val="bullet"/>
      <w:lvlText w:val="•"/>
      <w:lvlJc w:val="left"/>
      <w:pPr>
        <w:ind w:left="6080" w:hanging="562"/>
      </w:pPr>
      <w:rPr>
        <w:rFonts w:hint="default"/>
        <w:lang w:val="en-US" w:eastAsia="en-US" w:bidi="ar-SA"/>
      </w:rPr>
    </w:lvl>
    <w:lvl w:ilvl="7">
      <w:start w:val="0"/>
      <w:numFmt w:val="bullet"/>
      <w:lvlText w:val="•"/>
      <w:lvlJc w:val="left"/>
      <w:pPr>
        <w:ind w:left="7140" w:hanging="562"/>
      </w:pPr>
      <w:rPr>
        <w:rFonts w:hint="default"/>
        <w:lang w:val="en-US" w:eastAsia="en-US" w:bidi="ar-SA"/>
      </w:rPr>
    </w:lvl>
    <w:lvl w:ilvl="8">
      <w:start w:val="0"/>
      <w:numFmt w:val="bullet"/>
      <w:lvlText w:val="•"/>
      <w:lvlJc w:val="left"/>
      <w:pPr>
        <w:ind w:left="8200" w:hanging="562"/>
      </w:pPr>
      <w:rPr>
        <w:rFonts w:hint="default"/>
        <w:lang w:val="en-US" w:eastAsia="en-US" w:bidi="ar-SA"/>
      </w:rPr>
    </w:lvl>
  </w:abstractNum>
  <w:abstractNum w:abstractNumId="22">
    <w:multiLevelType w:val="hybridMultilevel"/>
    <w:lvl w:ilvl="0">
      <w:start w:val="4"/>
      <w:numFmt w:val="decimal"/>
      <w:lvlText w:val="%1"/>
      <w:lvlJc w:val="left"/>
      <w:pPr>
        <w:ind w:left="594" w:hanging="375"/>
        <w:jc w:val="left"/>
      </w:pPr>
      <w:rPr>
        <w:rFonts w:hint="default"/>
        <w:lang w:val="en-US" w:eastAsia="en-US" w:bidi="ar-SA"/>
      </w:rPr>
    </w:lvl>
    <w:lvl w:ilvl="1">
      <w:start w:val="1"/>
      <w:numFmt w:val="decimal"/>
      <w:lvlText w:val="%1.%2"/>
      <w:lvlJc w:val="left"/>
      <w:pPr>
        <w:ind w:left="594" w:hanging="375"/>
        <w:jc w:val="left"/>
      </w:pPr>
      <w:rPr>
        <w:rFonts w:hint="default" w:ascii="Times New Roman" w:hAnsi="Times New Roman" w:eastAsia="Times New Roman" w:cs="Times New Roman"/>
        <w:b/>
        <w:bCs/>
        <w:i w:val="0"/>
        <w:iCs w:val="0"/>
        <w:spacing w:val="0"/>
        <w:w w:val="99"/>
        <w:sz w:val="25"/>
        <w:szCs w:val="25"/>
        <w:lang w:val="en-US" w:eastAsia="en-US" w:bidi="ar-SA"/>
      </w:rPr>
    </w:lvl>
    <w:lvl w:ilvl="2">
      <w:start w:val="0"/>
      <w:numFmt w:val="bullet"/>
      <w:lvlText w:val="•"/>
      <w:lvlJc w:val="left"/>
      <w:pPr>
        <w:ind w:left="2544" w:hanging="375"/>
      </w:pPr>
      <w:rPr>
        <w:rFonts w:hint="default"/>
        <w:lang w:val="en-US" w:eastAsia="en-US" w:bidi="ar-SA"/>
      </w:rPr>
    </w:lvl>
    <w:lvl w:ilvl="3">
      <w:start w:val="0"/>
      <w:numFmt w:val="bullet"/>
      <w:lvlText w:val="•"/>
      <w:lvlJc w:val="left"/>
      <w:pPr>
        <w:ind w:left="3516" w:hanging="375"/>
      </w:pPr>
      <w:rPr>
        <w:rFonts w:hint="default"/>
        <w:lang w:val="en-US" w:eastAsia="en-US" w:bidi="ar-SA"/>
      </w:rPr>
    </w:lvl>
    <w:lvl w:ilvl="4">
      <w:start w:val="0"/>
      <w:numFmt w:val="bullet"/>
      <w:lvlText w:val="•"/>
      <w:lvlJc w:val="left"/>
      <w:pPr>
        <w:ind w:left="4488" w:hanging="375"/>
      </w:pPr>
      <w:rPr>
        <w:rFonts w:hint="default"/>
        <w:lang w:val="en-US" w:eastAsia="en-US" w:bidi="ar-SA"/>
      </w:rPr>
    </w:lvl>
    <w:lvl w:ilvl="5">
      <w:start w:val="0"/>
      <w:numFmt w:val="bullet"/>
      <w:lvlText w:val="•"/>
      <w:lvlJc w:val="left"/>
      <w:pPr>
        <w:ind w:left="5460" w:hanging="375"/>
      </w:pPr>
      <w:rPr>
        <w:rFonts w:hint="default"/>
        <w:lang w:val="en-US" w:eastAsia="en-US" w:bidi="ar-SA"/>
      </w:rPr>
    </w:lvl>
    <w:lvl w:ilvl="6">
      <w:start w:val="0"/>
      <w:numFmt w:val="bullet"/>
      <w:lvlText w:val="•"/>
      <w:lvlJc w:val="left"/>
      <w:pPr>
        <w:ind w:left="6432" w:hanging="375"/>
      </w:pPr>
      <w:rPr>
        <w:rFonts w:hint="default"/>
        <w:lang w:val="en-US" w:eastAsia="en-US" w:bidi="ar-SA"/>
      </w:rPr>
    </w:lvl>
    <w:lvl w:ilvl="7">
      <w:start w:val="0"/>
      <w:numFmt w:val="bullet"/>
      <w:lvlText w:val="•"/>
      <w:lvlJc w:val="left"/>
      <w:pPr>
        <w:ind w:left="7404" w:hanging="375"/>
      </w:pPr>
      <w:rPr>
        <w:rFonts w:hint="default"/>
        <w:lang w:val="en-US" w:eastAsia="en-US" w:bidi="ar-SA"/>
      </w:rPr>
    </w:lvl>
    <w:lvl w:ilvl="8">
      <w:start w:val="0"/>
      <w:numFmt w:val="bullet"/>
      <w:lvlText w:val="•"/>
      <w:lvlJc w:val="left"/>
      <w:pPr>
        <w:ind w:left="8376" w:hanging="375"/>
      </w:pPr>
      <w:rPr>
        <w:rFonts w:hint="default"/>
        <w:lang w:val="en-US" w:eastAsia="en-US" w:bidi="ar-SA"/>
      </w:rPr>
    </w:lvl>
  </w:abstractNum>
  <w:abstractNum w:abstractNumId="21">
    <w:multiLevelType w:val="hybridMultilevel"/>
    <w:lvl w:ilvl="0">
      <w:start w:val="3"/>
      <w:numFmt w:val="decimal"/>
      <w:lvlText w:val="%1"/>
      <w:lvlJc w:val="left"/>
      <w:pPr>
        <w:ind w:left="594" w:hanging="375"/>
        <w:jc w:val="left"/>
      </w:pPr>
      <w:rPr>
        <w:rFonts w:hint="default"/>
        <w:lang w:val="en-US" w:eastAsia="en-US" w:bidi="ar-SA"/>
      </w:rPr>
    </w:lvl>
    <w:lvl w:ilvl="1">
      <w:start w:val="1"/>
      <w:numFmt w:val="decimal"/>
      <w:lvlText w:val="%1.%2"/>
      <w:lvlJc w:val="left"/>
      <w:pPr>
        <w:ind w:left="594" w:hanging="375"/>
        <w:jc w:val="left"/>
      </w:pPr>
      <w:rPr>
        <w:rFonts w:hint="default" w:ascii="Times New Roman" w:hAnsi="Times New Roman" w:eastAsia="Times New Roman" w:cs="Times New Roman"/>
        <w:b/>
        <w:bCs/>
        <w:i w:val="0"/>
        <w:iCs w:val="0"/>
        <w:spacing w:val="0"/>
        <w:w w:val="99"/>
        <w:sz w:val="25"/>
        <w:szCs w:val="25"/>
        <w:lang w:val="en-US" w:eastAsia="en-US" w:bidi="ar-SA"/>
      </w:rPr>
    </w:lvl>
    <w:lvl w:ilvl="2">
      <w:start w:val="1"/>
      <w:numFmt w:val="decimal"/>
      <w:lvlText w:val="%1.%2.%3"/>
      <w:lvlJc w:val="left"/>
      <w:pPr>
        <w:ind w:left="782" w:hanging="562"/>
        <w:jc w:val="left"/>
      </w:pPr>
      <w:rPr>
        <w:rFonts w:hint="default" w:ascii="Times New Roman" w:hAnsi="Times New Roman" w:eastAsia="Times New Roman" w:cs="Times New Roman"/>
        <w:b/>
        <w:bCs/>
        <w:i w:val="0"/>
        <w:iCs w:val="0"/>
        <w:spacing w:val="0"/>
        <w:w w:val="99"/>
        <w:sz w:val="25"/>
        <w:szCs w:val="25"/>
        <w:lang w:val="en-US" w:eastAsia="en-US" w:bidi="ar-SA"/>
      </w:rPr>
    </w:lvl>
    <w:lvl w:ilvl="3">
      <w:start w:val="0"/>
      <w:numFmt w:val="bullet"/>
      <w:lvlText w:val="•"/>
      <w:lvlJc w:val="left"/>
      <w:pPr>
        <w:ind w:left="2900" w:hanging="562"/>
      </w:pPr>
      <w:rPr>
        <w:rFonts w:hint="default"/>
        <w:lang w:val="en-US" w:eastAsia="en-US" w:bidi="ar-SA"/>
      </w:rPr>
    </w:lvl>
    <w:lvl w:ilvl="4">
      <w:start w:val="0"/>
      <w:numFmt w:val="bullet"/>
      <w:lvlText w:val="•"/>
      <w:lvlJc w:val="left"/>
      <w:pPr>
        <w:ind w:left="3960" w:hanging="562"/>
      </w:pPr>
      <w:rPr>
        <w:rFonts w:hint="default"/>
        <w:lang w:val="en-US" w:eastAsia="en-US" w:bidi="ar-SA"/>
      </w:rPr>
    </w:lvl>
    <w:lvl w:ilvl="5">
      <w:start w:val="0"/>
      <w:numFmt w:val="bullet"/>
      <w:lvlText w:val="•"/>
      <w:lvlJc w:val="left"/>
      <w:pPr>
        <w:ind w:left="5020" w:hanging="562"/>
      </w:pPr>
      <w:rPr>
        <w:rFonts w:hint="default"/>
        <w:lang w:val="en-US" w:eastAsia="en-US" w:bidi="ar-SA"/>
      </w:rPr>
    </w:lvl>
    <w:lvl w:ilvl="6">
      <w:start w:val="0"/>
      <w:numFmt w:val="bullet"/>
      <w:lvlText w:val="•"/>
      <w:lvlJc w:val="left"/>
      <w:pPr>
        <w:ind w:left="6080" w:hanging="562"/>
      </w:pPr>
      <w:rPr>
        <w:rFonts w:hint="default"/>
        <w:lang w:val="en-US" w:eastAsia="en-US" w:bidi="ar-SA"/>
      </w:rPr>
    </w:lvl>
    <w:lvl w:ilvl="7">
      <w:start w:val="0"/>
      <w:numFmt w:val="bullet"/>
      <w:lvlText w:val="•"/>
      <w:lvlJc w:val="left"/>
      <w:pPr>
        <w:ind w:left="7140" w:hanging="562"/>
      </w:pPr>
      <w:rPr>
        <w:rFonts w:hint="default"/>
        <w:lang w:val="en-US" w:eastAsia="en-US" w:bidi="ar-SA"/>
      </w:rPr>
    </w:lvl>
    <w:lvl w:ilvl="8">
      <w:start w:val="0"/>
      <w:numFmt w:val="bullet"/>
      <w:lvlText w:val="•"/>
      <w:lvlJc w:val="left"/>
      <w:pPr>
        <w:ind w:left="8200" w:hanging="562"/>
      </w:pPr>
      <w:rPr>
        <w:rFonts w:hint="default"/>
        <w:lang w:val="en-US" w:eastAsia="en-US" w:bidi="ar-SA"/>
      </w:rPr>
    </w:lvl>
  </w:abstractNum>
  <w:abstractNum w:abstractNumId="20">
    <w:multiLevelType w:val="hybridMultilevel"/>
    <w:lvl w:ilvl="0">
      <w:start w:val="2"/>
      <w:numFmt w:val="decimal"/>
      <w:lvlText w:val="%1"/>
      <w:lvlJc w:val="left"/>
      <w:pPr>
        <w:ind w:left="594" w:hanging="375"/>
        <w:jc w:val="left"/>
      </w:pPr>
      <w:rPr>
        <w:rFonts w:hint="default"/>
        <w:lang w:val="en-US" w:eastAsia="en-US" w:bidi="ar-SA"/>
      </w:rPr>
    </w:lvl>
    <w:lvl w:ilvl="1">
      <w:start w:val="2"/>
      <w:numFmt w:val="decimal"/>
      <w:lvlText w:val="%1.%2"/>
      <w:lvlJc w:val="left"/>
      <w:pPr>
        <w:ind w:left="594" w:hanging="375"/>
        <w:jc w:val="left"/>
      </w:pPr>
      <w:rPr>
        <w:rFonts w:hint="default" w:ascii="Times New Roman" w:hAnsi="Times New Roman" w:eastAsia="Times New Roman" w:cs="Times New Roman"/>
        <w:b/>
        <w:bCs/>
        <w:i w:val="0"/>
        <w:iCs w:val="0"/>
        <w:spacing w:val="0"/>
        <w:w w:val="99"/>
        <w:sz w:val="25"/>
        <w:szCs w:val="25"/>
        <w:lang w:val="en-US" w:eastAsia="en-US" w:bidi="ar-SA"/>
      </w:rPr>
    </w:lvl>
    <w:lvl w:ilvl="2">
      <w:start w:val="1"/>
      <w:numFmt w:val="decimal"/>
      <w:lvlText w:val="%1.%2.%3"/>
      <w:lvlJc w:val="left"/>
      <w:pPr>
        <w:ind w:left="782" w:hanging="562"/>
        <w:jc w:val="left"/>
      </w:pPr>
      <w:rPr>
        <w:rFonts w:hint="default" w:ascii="Times New Roman" w:hAnsi="Times New Roman" w:eastAsia="Times New Roman" w:cs="Times New Roman"/>
        <w:b/>
        <w:bCs/>
        <w:i w:val="0"/>
        <w:iCs w:val="0"/>
        <w:spacing w:val="0"/>
        <w:w w:val="99"/>
        <w:sz w:val="25"/>
        <w:szCs w:val="25"/>
        <w:lang w:val="en-US" w:eastAsia="en-US" w:bidi="ar-SA"/>
      </w:rPr>
    </w:lvl>
    <w:lvl w:ilvl="3">
      <w:start w:val="0"/>
      <w:numFmt w:val="bullet"/>
      <w:lvlText w:val="•"/>
      <w:lvlJc w:val="left"/>
      <w:pPr>
        <w:ind w:left="2900" w:hanging="562"/>
      </w:pPr>
      <w:rPr>
        <w:rFonts w:hint="default"/>
        <w:lang w:val="en-US" w:eastAsia="en-US" w:bidi="ar-SA"/>
      </w:rPr>
    </w:lvl>
    <w:lvl w:ilvl="4">
      <w:start w:val="0"/>
      <w:numFmt w:val="bullet"/>
      <w:lvlText w:val="•"/>
      <w:lvlJc w:val="left"/>
      <w:pPr>
        <w:ind w:left="3960" w:hanging="562"/>
      </w:pPr>
      <w:rPr>
        <w:rFonts w:hint="default"/>
        <w:lang w:val="en-US" w:eastAsia="en-US" w:bidi="ar-SA"/>
      </w:rPr>
    </w:lvl>
    <w:lvl w:ilvl="5">
      <w:start w:val="0"/>
      <w:numFmt w:val="bullet"/>
      <w:lvlText w:val="•"/>
      <w:lvlJc w:val="left"/>
      <w:pPr>
        <w:ind w:left="5020" w:hanging="562"/>
      </w:pPr>
      <w:rPr>
        <w:rFonts w:hint="default"/>
        <w:lang w:val="en-US" w:eastAsia="en-US" w:bidi="ar-SA"/>
      </w:rPr>
    </w:lvl>
    <w:lvl w:ilvl="6">
      <w:start w:val="0"/>
      <w:numFmt w:val="bullet"/>
      <w:lvlText w:val="•"/>
      <w:lvlJc w:val="left"/>
      <w:pPr>
        <w:ind w:left="6080" w:hanging="562"/>
      </w:pPr>
      <w:rPr>
        <w:rFonts w:hint="default"/>
        <w:lang w:val="en-US" w:eastAsia="en-US" w:bidi="ar-SA"/>
      </w:rPr>
    </w:lvl>
    <w:lvl w:ilvl="7">
      <w:start w:val="0"/>
      <w:numFmt w:val="bullet"/>
      <w:lvlText w:val="•"/>
      <w:lvlJc w:val="left"/>
      <w:pPr>
        <w:ind w:left="7140" w:hanging="562"/>
      </w:pPr>
      <w:rPr>
        <w:rFonts w:hint="default"/>
        <w:lang w:val="en-US" w:eastAsia="en-US" w:bidi="ar-SA"/>
      </w:rPr>
    </w:lvl>
    <w:lvl w:ilvl="8">
      <w:start w:val="0"/>
      <w:numFmt w:val="bullet"/>
      <w:lvlText w:val="•"/>
      <w:lvlJc w:val="left"/>
      <w:pPr>
        <w:ind w:left="8200" w:hanging="562"/>
      </w:pPr>
      <w:rPr>
        <w:rFonts w:hint="default"/>
        <w:lang w:val="en-US" w:eastAsia="en-US" w:bidi="ar-SA"/>
      </w:rPr>
    </w:lvl>
  </w:abstractNum>
  <w:abstractNum w:abstractNumId="19">
    <w:multiLevelType w:val="hybridMultilevel"/>
    <w:lvl w:ilvl="0">
      <w:start w:val="1"/>
      <w:numFmt w:val="lowerLetter"/>
      <w:lvlText w:val="%1."/>
      <w:lvlJc w:val="left"/>
      <w:pPr>
        <w:ind w:left="580" w:hanging="423"/>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554" w:hanging="423"/>
      </w:pPr>
      <w:rPr>
        <w:rFonts w:hint="default"/>
        <w:lang w:val="en-US" w:eastAsia="en-US" w:bidi="ar-SA"/>
      </w:rPr>
    </w:lvl>
    <w:lvl w:ilvl="2">
      <w:start w:val="0"/>
      <w:numFmt w:val="bullet"/>
      <w:lvlText w:val="•"/>
      <w:lvlJc w:val="left"/>
      <w:pPr>
        <w:ind w:left="2528" w:hanging="423"/>
      </w:pPr>
      <w:rPr>
        <w:rFonts w:hint="default"/>
        <w:lang w:val="en-US" w:eastAsia="en-US" w:bidi="ar-SA"/>
      </w:rPr>
    </w:lvl>
    <w:lvl w:ilvl="3">
      <w:start w:val="0"/>
      <w:numFmt w:val="bullet"/>
      <w:lvlText w:val="•"/>
      <w:lvlJc w:val="left"/>
      <w:pPr>
        <w:ind w:left="3502" w:hanging="423"/>
      </w:pPr>
      <w:rPr>
        <w:rFonts w:hint="default"/>
        <w:lang w:val="en-US" w:eastAsia="en-US" w:bidi="ar-SA"/>
      </w:rPr>
    </w:lvl>
    <w:lvl w:ilvl="4">
      <w:start w:val="0"/>
      <w:numFmt w:val="bullet"/>
      <w:lvlText w:val="•"/>
      <w:lvlJc w:val="left"/>
      <w:pPr>
        <w:ind w:left="4476" w:hanging="423"/>
      </w:pPr>
      <w:rPr>
        <w:rFonts w:hint="default"/>
        <w:lang w:val="en-US" w:eastAsia="en-US" w:bidi="ar-SA"/>
      </w:rPr>
    </w:lvl>
    <w:lvl w:ilvl="5">
      <w:start w:val="0"/>
      <w:numFmt w:val="bullet"/>
      <w:lvlText w:val="•"/>
      <w:lvlJc w:val="left"/>
      <w:pPr>
        <w:ind w:left="5450" w:hanging="423"/>
      </w:pPr>
      <w:rPr>
        <w:rFonts w:hint="default"/>
        <w:lang w:val="en-US" w:eastAsia="en-US" w:bidi="ar-SA"/>
      </w:rPr>
    </w:lvl>
    <w:lvl w:ilvl="6">
      <w:start w:val="0"/>
      <w:numFmt w:val="bullet"/>
      <w:lvlText w:val="•"/>
      <w:lvlJc w:val="left"/>
      <w:pPr>
        <w:ind w:left="6424" w:hanging="423"/>
      </w:pPr>
      <w:rPr>
        <w:rFonts w:hint="default"/>
        <w:lang w:val="en-US" w:eastAsia="en-US" w:bidi="ar-SA"/>
      </w:rPr>
    </w:lvl>
    <w:lvl w:ilvl="7">
      <w:start w:val="0"/>
      <w:numFmt w:val="bullet"/>
      <w:lvlText w:val="•"/>
      <w:lvlJc w:val="left"/>
      <w:pPr>
        <w:ind w:left="7398" w:hanging="423"/>
      </w:pPr>
      <w:rPr>
        <w:rFonts w:hint="default"/>
        <w:lang w:val="en-US" w:eastAsia="en-US" w:bidi="ar-SA"/>
      </w:rPr>
    </w:lvl>
    <w:lvl w:ilvl="8">
      <w:start w:val="0"/>
      <w:numFmt w:val="bullet"/>
      <w:lvlText w:val="•"/>
      <w:lvlJc w:val="left"/>
      <w:pPr>
        <w:ind w:left="8372" w:hanging="423"/>
      </w:pPr>
      <w:rPr>
        <w:rFonts w:hint="default"/>
        <w:lang w:val="en-US" w:eastAsia="en-US" w:bidi="ar-SA"/>
      </w:rPr>
    </w:lvl>
  </w:abstractNum>
  <w:abstractNum w:abstractNumId="18">
    <w:multiLevelType w:val="hybridMultilevel"/>
    <w:lvl w:ilvl="0">
      <w:start w:val="1"/>
      <w:numFmt w:val="lowerLetter"/>
      <w:lvlText w:val="%1."/>
      <w:lvlJc w:val="left"/>
      <w:pPr>
        <w:ind w:left="220" w:hanging="250"/>
        <w:jc w:val="left"/>
      </w:pPr>
      <w:rPr>
        <w:rFonts w:hint="default" w:ascii="Times New Roman" w:hAnsi="Times New Roman" w:eastAsia="Times New Roman" w:cs="Times New Roman"/>
        <w:b/>
        <w:bCs/>
        <w:i w:val="0"/>
        <w:iCs w:val="0"/>
        <w:spacing w:val="0"/>
        <w:w w:val="99"/>
        <w:sz w:val="25"/>
        <w:szCs w:val="25"/>
        <w:lang w:val="en-US" w:eastAsia="en-US" w:bidi="ar-SA"/>
      </w:rPr>
    </w:lvl>
    <w:lvl w:ilvl="1">
      <w:start w:val="0"/>
      <w:numFmt w:val="bullet"/>
      <w:lvlText w:val="•"/>
      <w:lvlJc w:val="left"/>
      <w:pPr>
        <w:ind w:left="1230" w:hanging="250"/>
      </w:pPr>
      <w:rPr>
        <w:rFonts w:hint="default"/>
        <w:lang w:val="en-US" w:eastAsia="en-US" w:bidi="ar-SA"/>
      </w:rPr>
    </w:lvl>
    <w:lvl w:ilvl="2">
      <w:start w:val="0"/>
      <w:numFmt w:val="bullet"/>
      <w:lvlText w:val="•"/>
      <w:lvlJc w:val="left"/>
      <w:pPr>
        <w:ind w:left="2240" w:hanging="250"/>
      </w:pPr>
      <w:rPr>
        <w:rFonts w:hint="default"/>
        <w:lang w:val="en-US" w:eastAsia="en-US" w:bidi="ar-SA"/>
      </w:rPr>
    </w:lvl>
    <w:lvl w:ilvl="3">
      <w:start w:val="0"/>
      <w:numFmt w:val="bullet"/>
      <w:lvlText w:val="•"/>
      <w:lvlJc w:val="left"/>
      <w:pPr>
        <w:ind w:left="3250" w:hanging="250"/>
      </w:pPr>
      <w:rPr>
        <w:rFonts w:hint="default"/>
        <w:lang w:val="en-US" w:eastAsia="en-US" w:bidi="ar-SA"/>
      </w:rPr>
    </w:lvl>
    <w:lvl w:ilvl="4">
      <w:start w:val="0"/>
      <w:numFmt w:val="bullet"/>
      <w:lvlText w:val="•"/>
      <w:lvlJc w:val="left"/>
      <w:pPr>
        <w:ind w:left="4260" w:hanging="250"/>
      </w:pPr>
      <w:rPr>
        <w:rFonts w:hint="default"/>
        <w:lang w:val="en-US" w:eastAsia="en-US" w:bidi="ar-SA"/>
      </w:rPr>
    </w:lvl>
    <w:lvl w:ilvl="5">
      <w:start w:val="0"/>
      <w:numFmt w:val="bullet"/>
      <w:lvlText w:val="•"/>
      <w:lvlJc w:val="left"/>
      <w:pPr>
        <w:ind w:left="5270" w:hanging="250"/>
      </w:pPr>
      <w:rPr>
        <w:rFonts w:hint="default"/>
        <w:lang w:val="en-US" w:eastAsia="en-US" w:bidi="ar-SA"/>
      </w:rPr>
    </w:lvl>
    <w:lvl w:ilvl="6">
      <w:start w:val="0"/>
      <w:numFmt w:val="bullet"/>
      <w:lvlText w:val="•"/>
      <w:lvlJc w:val="left"/>
      <w:pPr>
        <w:ind w:left="6280" w:hanging="250"/>
      </w:pPr>
      <w:rPr>
        <w:rFonts w:hint="default"/>
        <w:lang w:val="en-US" w:eastAsia="en-US" w:bidi="ar-SA"/>
      </w:rPr>
    </w:lvl>
    <w:lvl w:ilvl="7">
      <w:start w:val="0"/>
      <w:numFmt w:val="bullet"/>
      <w:lvlText w:val="•"/>
      <w:lvlJc w:val="left"/>
      <w:pPr>
        <w:ind w:left="7290" w:hanging="250"/>
      </w:pPr>
      <w:rPr>
        <w:rFonts w:hint="default"/>
        <w:lang w:val="en-US" w:eastAsia="en-US" w:bidi="ar-SA"/>
      </w:rPr>
    </w:lvl>
    <w:lvl w:ilvl="8">
      <w:start w:val="0"/>
      <w:numFmt w:val="bullet"/>
      <w:lvlText w:val="•"/>
      <w:lvlJc w:val="left"/>
      <w:pPr>
        <w:ind w:left="8300" w:hanging="250"/>
      </w:pPr>
      <w:rPr>
        <w:rFonts w:hint="default"/>
        <w:lang w:val="en-US" w:eastAsia="en-US" w:bidi="ar-SA"/>
      </w:rPr>
    </w:lvl>
  </w:abstractNum>
  <w:abstractNum w:abstractNumId="17">
    <w:multiLevelType w:val="hybridMultilevel"/>
    <w:lvl w:ilvl="0">
      <w:start w:val="0"/>
      <w:numFmt w:val="bullet"/>
      <w:lvlText w:val=""/>
      <w:lvlJc w:val="left"/>
      <w:pPr>
        <w:ind w:left="580" w:hanging="360"/>
      </w:pPr>
      <w:rPr>
        <w:rFonts w:hint="default" w:ascii="Symbol" w:hAnsi="Symbol" w:eastAsia="Symbol" w:cs="Symbol"/>
        <w:b w:val="0"/>
        <w:bCs w:val="0"/>
        <w:i w:val="0"/>
        <w:iCs w:val="0"/>
        <w:spacing w:val="0"/>
        <w:w w:val="99"/>
        <w:sz w:val="25"/>
        <w:szCs w:val="25"/>
        <w:lang w:val="en-US" w:eastAsia="en-US" w:bidi="ar-SA"/>
      </w:rPr>
    </w:lvl>
    <w:lvl w:ilvl="1">
      <w:start w:val="0"/>
      <w:numFmt w:val="bullet"/>
      <w:lvlText w:val="•"/>
      <w:lvlJc w:val="left"/>
      <w:pPr>
        <w:ind w:left="1554" w:hanging="360"/>
      </w:pPr>
      <w:rPr>
        <w:rFonts w:hint="default"/>
        <w:lang w:val="en-US" w:eastAsia="en-US" w:bidi="ar-SA"/>
      </w:rPr>
    </w:lvl>
    <w:lvl w:ilvl="2">
      <w:start w:val="0"/>
      <w:numFmt w:val="bullet"/>
      <w:lvlText w:val="•"/>
      <w:lvlJc w:val="left"/>
      <w:pPr>
        <w:ind w:left="2528" w:hanging="360"/>
      </w:pPr>
      <w:rPr>
        <w:rFonts w:hint="default"/>
        <w:lang w:val="en-US" w:eastAsia="en-US" w:bidi="ar-SA"/>
      </w:rPr>
    </w:lvl>
    <w:lvl w:ilvl="3">
      <w:start w:val="0"/>
      <w:numFmt w:val="bullet"/>
      <w:lvlText w:val="•"/>
      <w:lvlJc w:val="left"/>
      <w:pPr>
        <w:ind w:left="3502" w:hanging="360"/>
      </w:pPr>
      <w:rPr>
        <w:rFonts w:hint="default"/>
        <w:lang w:val="en-US" w:eastAsia="en-US" w:bidi="ar-SA"/>
      </w:rPr>
    </w:lvl>
    <w:lvl w:ilvl="4">
      <w:start w:val="0"/>
      <w:numFmt w:val="bullet"/>
      <w:lvlText w:val="•"/>
      <w:lvlJc w:val="left"/>
      <w:pPr>
        <w:ind w:left="4476" w:hanging="360"/>
      </w:pPr>
      <w:rPr>
        <w:rFonts w:hint="default"/>
        <w:lang w:val="en-US" w:eastAsia="en-US" w:bidi="ar-SA"/>
      </w:rPr>
    </w:lvl>
    <w:lvl w:ilvl="5">
      <w:start w:val="0"/>
      <w:numFmt w:val="bullet"/>
      <w:lvlText w:val="•"/>
      <w:lvlJc w:val="left"/>
      <w:pPr>
        <w:ind w:left="5450" w:hanging="360"/>
      </w:pPr>
      <w:rPr>
        <w:rFonts w:hint="default"/>
        <w:lang w:val="en-US" w:eastAsia="en-US" w:bidi="ar-SA"/>
      </w:rPr>
    </w:lvl>
    <w:lvl w:ilvl="6">
      <w:start w:val="0"/>
      <w:numFmt w:val="bullet"/>
      <w:lvlText w:val="•"/>
      <w:lvlJc w:val="left"/>
      <w:pPr>
        <w:ind w:left="6424" w:hanging="360"/>
      </w:pPr>
      <w:rPr>
        <w:rFonts w:hint="default"/>
        <w:lang w:val="en-US" w:eastAsia="en-US" w:bidi="ar-SA"/>
      </w:rPr>
    </w:lvl>
    <w:lvl w:ilvl="7">
      <w:start w:val="0"/>
      <w:numFmt w:val="bullet"/>
      <w:lvlText w:val="•"/>
      <w:lvlJc w:val="left"/>
      <w:pPr>
        <w:ind w:left="7398" w:hanging="360"/>
      </w:pPr>
      <w:rPr>
        <w:rFonts w:hint="default"/>
        <w:lang w:val="en-US" w:eastAsia="en-US" w:bidi="ar-SA"/>
      </w:rPr>
    </w:lvl>
    <w:lvl w:ilvl="8">
      <w:start w:val="0"/>
      <w:numFmt w:val="bullet"/>
      <w:lvlText w:val="•"/>
      <w:lvlJc w:val="left"/>
      <w:pPr>
        <w:ind w:left="8372" w:hanging="360"/>
      </w:pPr>
      <w:rPr>
        <w:rFonts w:hint="default"/>
        <w:lang w:val="en-US" w:eastAsia="en-US" w:bidi="ar-SA"/>
      </w:rPr>
    </w:lvl>
  </w:abstractNum>
  <w:abstractNum w:abstractNumId="16">
    <w:multiLevelType w:val="hybridMultilevel"/>
    <w:lvl w:ilvl="0">
      <w:start w:val="0"/>
      <w:numFmt w:val="bullet"/>
      <w:lvlText w:val=""/>
      <w:lvlJc w:val="left"/>
      <w:pPr>
        <w:ind w:left="580" w:hanging="360"/>
      </w:pPr>
      <w:rPr>
        <w:rFonts w:hint="default" w:ascii="Symbol" w:hAnsi="Symbol" w:eastAsia="Symbol" w:cs="Symbol"/>
        <w:b w:val="0"/>
        <w:bCs w:val="0"/>
        <w:i w:val="0"/>
        <w:iCs w:val="0"/>
        <w:spacing w:val="0"/>
        <w:w w:val="99"/>
        <w:sz w:val="25"/>
        <w:szCs w:val="25"/>
        <w:lang w:val="en-US" w:eastAsia="en-US" w:bidi="ar-SA"/>
      </w:rPr>
    </w:lvl>
    <w:lvl w:ilvl="1">
      <w:start w:val="0"/>
      <w:numFmt w:val="bullet"/>
      <w:lvlText w:val="•"/>
      <w:lvlJc w:val="left"/>
      <w:pPr>
        <w:ind w:left="1554" w:hanging="360"/>
      </w:pPr>
      <w:rPr>
        <w:rFonts w:hint="default"/>
        <w:lang w:val="en-US" w:eastAsia="en-US" w:bidi="ar-SA"/>
      </w:rPr>
    </w:lvl>
    <w:lvl w:ilvl="2">
      <w:start w:val="0"/>
      <w:numFmt w:val="bullet"/>
      <w:lvlText w:val="•"/>
      <w:lvlJc w:val="left"/>
      <w:pPr>
        <w:ind w:left="2528" w:hanging="360"/>
      </w:pPr>
      <w:rPr>
        <w:rFonts w:hint="default"/>
        <w:lang w:val="en-US" w:eastAsia="en-US" w:bidi="ar-SA"/>
      </w:rPr>
    </w:lvl>
    <w:lvl w:ilvl="3">
      <w:start w:val="0"/>
      <w:numFmt w:val="bullet"/>
      <w:lvlText w:val="•"/>
      <w:lvlJc w:val="left"/>
      <w:pPr>
        <w:ind w:left="3502" w:hanging="360"/>
      </w:pPr>
      <w:rPr>
        <w:rFonts w:hint="default"/>
        <w:lang w:val="en-US" w:eastAsia="en-US" w:bidi="ar-SA"/>
      </w:rPr>
    </w:lvl>
    <w:lvl w:ilvl="4">
      <w:start w:val="0"/>
      <w:numFmt w:val="bullet"/>
      <w:lvlText w:val="•"/>
      <w:lvlJc w:val="left"/>
      <w:pPr>
        <w:ind w:left="4476" w:hanging="360"/>
      </w:pPr>
      <w:rPr>
        <w:rFonts w:hint="default"/>
        <w:lang w:val="en-US" w:eastAsia="en-US" w:bidi="ar-SA"/>
      </w:rPr>
    </w:lvl>
    <w:lvl w:ilvl="5">
      <w:start w:val="0"/>
      <w:numFmt w:val="bullet"/>
      <w:lvlText w:val="•"/>
      <w:lvlJc w:val="left"/>
      <w:pPr>
        <w:ind w:left="5450" w:hanging="360"/>
      </w:pPr>
      <w:rPr>
        <w:rFonts w:hint="default"/>
        <w:lang w:val="en-US" w:eastAsia="en-US" w:bidi="ar-SA"/>
      </w:rPr>
    </w:lvl>
    <w:lvl w:ilvl="6">
      <w:start w:val="0"/>
      <w:numFmt w:val="bullet"/>
      <w:lvlText w:val="•"/>
      <w:lvlJc w:val="left"/>
      <w:pPr>
        <w:ind w:left="6424" w:hanging="360"/>
      </w:pPr>
      <w:rPr>
        <w:rFonts w:hint="default"/>
        <w:lang w:val="en-US" w:eastAsia="en-US" w:bidi="ar-SA"/>
      </w:rPr>
    </w:lvl>
    <w:lvl w:ilvl="7">
      <w:start w:val="0"/>
      <w:numFmt w:val="bullet"/>
      <w:lvlText w:val="•"/>
      <w:lvlJc w:val="left"/>
      <w:pPr>
        <w:ind w:left="7398" w:hanging="360"/>
      </w:pPr>
      <w:rPr>
        <w:rFonts w:hint="default"/>
        <w:lang w:val="en-US" w:eastAsia="en-US" w:bidi="ar-SA"/>
      </w:rPr>
    </w:lvl>
    <w:lvl w:ilvl="8">
      <w:start w:val="0"/>
      <w:numFmt w:val="bullet"/>
      <w:lvlText w:val="•"/>
      <w:lvlJc w:val="left"/>
      <w:pPr>
        <w:ind w:left="8372" w:hanging="360"/>
      </w:pPr>
      <w:rPr>
        <w:rFonts w:hint="default"/>
        <w:lang w:val="en-US" w:eastAsia="en-US" w:bidi="ar-SA"/>
      </w:rPr>
    </w:lvl>
  </w:abstractNum>
  <w:abstractNum w:abstractNumId="15">
    <w:multiLevelType w:val="hybridMultilevel"/>
    <w:lvl w:ilvl="0">
      <w:start w:val="2"/>
      <w:numFmt w:val="decimal"/>
      <w:lvlText w:val="%1"/>
      <w:lvlJc w:val="left"/>
      <w:pPr>
        <w:ind w:left="782" w:hanging="562"/>
        <w:jc w:val="left"/>
      </w:pPr>
      <w:rPr>
        <w:rFonts w:hint="default"/>
        <w:lang w:val="en-US" w:eastAsia="en-US" w:bidi="ar-SA"/>
      </w:rPr>
    </w:lvl>
    <w:lvl w:ilvl="1">
      <w:start w:val="1"/>
      <w:numFmt w:val="decimal"/>
      <w:lvlText w:val="%1.%2"/>
      <w:lvlJc w:val="left"/>
      <w:pPr>
        <w:ind w:left="782" w:hanging="562"/>
        <w:jc w:val="left"/>
      </w:pPr>
      <w:rPr>
        <w:rFonts w:hint="default"/>
        <w:lang w:val="en-US" w:eastAsia="en-US" w:bidi="ar-SA"/>
      </w:rPr>
    </w:lvl>
    <w:lvl w:ilvl="2">
      <w:start w:val="2"/>
      <w:numFmt w:val="decimal"/>
      <w:lvlText w:val="%1.%2.%3"/>
      <w:lvlJc w:val="left"/>
      <w:pPr>
        <w:ind w:left="782" w:hanging="562"/>
        <w:jc w:val="left"/>
      </w:pPr>
      <w:rPr>
        <w:rFonts w:hint="default" w:ascii="Times New Roman" w:hAnsi="Times New Roman" w:eastAsia="Times New Roman" w:cs="Times New Roman"/>
        <w:b/>
        <w:bCs/>
        <w:i w:val="0"/>
        <w:iCs w:val="0"/>
        <w:spacing w:val="0"/>
        <w:w w:val="99"/>
        <w:sz w:val="25"/>
        <w:szCs w:val="25"/>
        <w:lang w:val="en-US" w:eastAsia="en-US" w:bidi="ar-SA"/>
      </w:rPr>
    </w:lvl>
    <w:lvl w:ilvl="3">
      <w:start w:val="1"/>
      <w:numFmt w:val="upperLetter"/>
      <w:lvlText w:val="%4."/>
      <w:lvlJc w:val="left"/>
      <w:pPr>
        <w:ind w:left="940" w:hanging="360"/>
        <w:jc w:val="left"/>
      </w:pPr>
      <w:rPr>
        <w:rFonts w:hint="default" w:ascii="Times New Roman" w:hAnsi="Times New Roman" w:eastAsia="Times New Roman" w:cs="Times New Roman"/>
        <w:b w:val="0"/>
        <w:bCs w:val="0"/>
        <w:i w:val="0"/>
        <w:iCs w:val="0"/>
        <w:spacing w:val="-1"/>
        <w:w w:val="99"/>
        <w:sz w:val="25"/>
        <w:szCs w:val="25"/>
        <w:lang w:val="en-US" w:eastAsia="en-US" w:bidi="ar-SA"/>
      </w:rPr>
    </w:lvl>
    <w:lvl w:ilvl="4">
      <w:start w:val="0"/>
      <w:numFmt w:val="bullet"/>
      <w:lvlText w:val="•"/>
      <w:lvlJc w:val="left"/>
      <w:pPr>
        <w:ind w:left="4066" w:hanging="360"/>
      </w:pPr>
      <w:rPr>
        <w:rFonts w:hint="default"/>
        <w:lang w:val="en-US" w:eastAsia="en-US" w:bidi="ar-SA"/>
      </w:rPr>
    </w:lvl>
    <w:lvl w:ilvl="5">
      <w:start w:val="0"/>
      <w:numFmt w:val="bullet"/>
      <w:lvlText w:val="•"/>
      <w:lvlJc w:val="left"/>
      <w:pPr>
        <w:ind w:left="5108" w:hanging="360"/>
      </w:pPr>
      <w:rPr>
        <w:rFonts w:hint="default"/>
        <w:lang w:val="en-US" w:eastAsia="en-US" w:bidi="ar-SA"/>
      </w:rPr>
    </w:lvl>
    <w:lvl w:ilvl="6">
      <w:start w:val="0"/>
      <w:numFmt w:val="bullet"/>
      <w:lvlText w:val="•"/>
      <w:lvlJc w:val="left"/>
      <w:pPr>
        <w:ind w:left="6151" w:hanging="360"/>
      </w:pPr>
      <w:rPr>
        <w:rFonts w:hint="default"/>
        <w:lang w:val="en-US" w:eastAsia="en-US" w:bidi="ar-SA"/>
      </w:rPr>
    </w:lvl>
    <w:lvl w:ilvl="7">
      <w:start w:val="0"/>
      <w:numFmt w:val="bullet"/>
      <w:lvlText w:val="•"/>
      <w:lvlJc w:val="left"/>
      <w:pPr>
        <w:ind w:left="7193" w:hanging="360"/>
      </w:pPr>
      <w:rPr>
        <w:rFonts w:hint="default"/>
        <w:lang w:val="en-US" w:eastAsia="en-US" w:bidi="ar-SA"/>
      </w:rPr>
    </w:lvl>
    <w:lvl w:ilvl="8">
      <w:start w:val="0"/>
      <w:numFmt w:val="bullet"/>
      <w:lvlText w:val="•"/>
      <w:lvlJc w:val="left"/>
      <w:pPr>
        <w:ind w:left="8235" w:hanging="360"/>
      </w:pPr>
      <w:rPr>
        <w:rFonts w:hint="default"/>
        <w:lang w:val="en-US" w:eastAsia="en-US" w:bidi="ar-SA"/>
      </w:rPr>
    </w:lvl>
  </w:abstractNum>
  <w:abstractNum w:abstractNumId="14">
    <w:multiLevelType w:val="hybridMultilevel"/>
    <w:lvl w:ilvl="0">
      <w:start w:val="0"/>
      <w:numFmt w:val="bullet"/>
      <w:lvlText w:val=""/>
      <w:lvlJc w:val="left"/>
      <w:pPr>
        <w:ind w:left="580" w:hanging="360"/>
      </w:pPr>
      <w:rPr>
        <w:rFonts w:hint="default" w:ascii="Symbol" w:hAnsi="Symbol" w:eastAsia="Symbol" w:cs="Symbol"/>
        <w:b w:val="0"/>
        <w:bCs w:val="0"/>
        <w:i w:val="0"/>
        <w:iCs w:val="0"/>
        <w:spacing w:val="0"/>
        <w:w w:val="99"/>
        <w:sz w:val="25"/>
        <w:szCs w:val="25"/>
        <w:lang w:val="en-US" w:eastAsia="en-US" w:bidi="ar-SA"/>
      </w:rPr>
    </w:lvl>
    <w:lvl w:ilvl="1">
      <w:start w:val="0"/>
      <w:numFmt w:val="bullet"/>
      <w:lvlText w:val="•"/>
      <w:lvlJc w:val="left"/>
      <w:pPr>
        <w:ind w:left="1554" w:hanging="360"/>
      </w:pPr>
      <w:rPr>
        <w:rFonts w:hint="default"/>
        <w:lang w:val="en-US" w:eastAsia="en-US" w:bidi="ar-SA"/>
      </w:rPr>
    </w:lvl>
    <w:lvl w:ilvl="2">
      <w:start w:val="0"/>
      <w:numFmt w:val="bullet"/>
      <w:lvlText w:val="•"/>
      <w:lvlJc w:val="left"/>
      <w:pPr>
        <w:ind w:left="2528" w:hanging="360"/>
      </w:pPr>
      <w:rPr>
        <w:rFonts w:hint="default"/>
        <w:lang w:val="en-US" w:eastAsia="en-US" w:bidi="ar-SA"/>
      </w:rPr>
    </w:lvl>
    <w:lvl w:ilvl="3">
      <w:start w:val="0"/>
      <w:numFmt w:val="bullet"/>
      <w:lvlText w:val="•"/>
      <w:lvlJc w:val="left"/>
      <w:pPr>
        <w:ind w:left="3502" w:hanging="360"/>
      </w:pPr>
      <w:rPr>
        <w:rFonts w:hint="default"/>
        <w:lang w:val="en-US" w:eastAsia="en-US" w:bidi="ar-SA"/>
      </w:rPr>
    </w:lvl>
    <w:lvl w:ilvl="4">
      <w:start w:val="0"/>
      <w:numFmt w:val="bullet"/>
      <w:lvlText w:val="•"/>
      <w:lvlJc w:val="left"/>
      <w:pPr>
        <w:ind w:left="4476" w:hanging="360"/>
      </w:pPr>
      <w:rPr>
        <w:rFonts w:hint="default"/>
        <w:lang w:val="en-US" w:eastAsia="en-US" w:bidi="ar-SA"/>
      </w:rPr>
    </w:lvl>
    <w:lvl w:ilvl="5">
      <w:start w:val="0"/>
      <w:numFmt w:val="bullet"/>
      <w:lvlText w:val="•"/>
      <w:lvlJc w:val="left"/>
      <w:pPr>
        <w:ind w:left="5450" w:hanging="360"/>
      </w:pPr>
      <w:rPr>
        <w:rFonts w:hint="default"/>
        <w:lang w:val="en-US" w:eastAsia="en-US" w:bidi="ar-SA"/>
      </w:rPr>
    </w:lvl>
    <w:lvl w:ilvl="6">
      <w:start w:val="0"/>
      <w:numFmt w:val="bullet"/>
      <w:lvlText w:val="•"/>
      <w:lvlJc w:val="left"/>
      <w:pPr>
        <w:ind w:left="6424" w:hanging="360"/>
      </w:pPr>
      <w:rPr>
        <w:rFonts w:hint="default"/>
        <w:lang w:val="en-US" w:eastAsia="en-US" w:bidi="ar-SA"/>
      </w:rPr>
    </w:lvl>
    <w:lvl w:ilvl="7">
      <w:start w:val="0"/>
      <w:numFmt w:val="bullet"/>
      <w:lvlText w:val="•"/>
      <w:lvlJc w:val="left"/>
      <w:pPr>
        <w:ind w:left="7398" w:hanging="360"/>
      </w:pPr>
      <w:rPr>
        <w:rFonts w:hint="default"/>
        <w:lang w:val="en-US" w:eastAsia="en-US" w:bidi="ar-SA"/>
      </w:rPr>
    </w:lvl>
    <w:lvl w:ilvl="8">
      <w:start w:val="0"/>
      <w:numFmt w:val="bullet"/>
      <w:lvlText w:val="•"/>
      <w:lvlJc w:val="left"/>
      <w:pPr>
        <w:ind w:left="8372" w:hanging="360"/>
      </w:pPr>
      <w:rPr>
        <w:rFonts w:hint="default"/>
        <w:lang w:val="en-US" w:eastAsia="en-US" w:bidi="ar-SA"/>
      </w:rPr>
    </w:lvl>
  </w:abstractNum>
  <w:abstractNum w:abstractNumId="13">
    <w:multiLevelType w:val="hybridMultilevel"/>
    <w:lvl w:ilvl="0">
      <w:start w:val="1"/>
      <w:numFmt w:val="decimal"/>
      <w:lvlText w:val="%1."/>
      <w:lvlJc w:val="left"/>
      <w:pPr>
        <w:ind w:left="580" w:hanging="360"/>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1">
      <w:start w:val="0"/>
      <w:numFmt w:val="bullet"/>
      <w:lvlText w:val="•"/>
      <w:lvlJc w:val="left"/>
      <w:pPr>
        <w:ind w:left="1554" w:hanging="360"/>
      </w:pPr>
      <w:rPr>
        <w:rFonts w:hint="default"/>
        <w:lang w:val="en-US" w:eastAsia="en-US" w:bidi="ar-SA"/>
      </w:rPr>
    </w:lvl>
    <w:lvl w:ilvl="2">
      <w:start w:val="0"/>
      <w:numFmt w:val="bullet"/>
      <w:lvlText w:val="•"/>
      <w:lvlJc w:val="left"/>
      <w:pPr>
        <w:ind w:left="2528" w:hanging="360"/>
      </w:pPr>
      <w:rPr>
        <w:rFonts w:hint="default"/>
        <w:lang w:val="en-US" w:eastAsia="en-US" w:bidi="ar-SA"/>
      </w:rPr>
    </w:lvl>
    <w:lvl w:ilvl="3">
      <w:start w:val="0"/>
      <w:numFmt w:val="bullet"/>
      <w:lvlText w:val="•"/>
      <w:lvlJc w:val="left"/>
      <w:pPr>
        <w:ind w:left="3502" w:hanging="360"/>
      </w:pPr>
      <w:rPr>
        <w:rFonts w:hint="default"/>
        <w:lang w:val="en-US" w:eastAsia="en-US" w:bidi="ar-SA"/>
      </w:rPr>
    </w:lvl>
    <w:lvl w:ilvl="4">
      <w:start w:val="0"/>
      <w:numFmt w:val="bullet"/>
      <w:lvlText w:val="•"/>
      <w:lvlJc w:val="left"/>
      <w:pPr>
        <w:ind w:left="4476" w:hanging="360"/>
      </w:pPr>
      <w:rPr>
        <w:rFonts w:hint="default"/>
        <w:lang w:val="en-US" w:eastAsia="en-US" w:bidi="ar-SA"/>
      </w:rPr>
    </w:lvl>
    <w:lvl w:ilvl="5">
      <w:start w:val="0"/>
      <w:numFmt w:val="bullet"/>
      <w:lvlText w:val="•"/>
      <w:lvlJc w:val="left"/>
      <w:pPr>
        <w:ind w:left="5450" w:hanging="360"/>
      </w:pPr>
      <w:rPr>
        <w:rFonts w:hint="default"/>
        <w:lang w:val="en-US" w:eastAsia="en-US" w:bidi="ar-SA"/>
      </w:rPr>
    </w:lvl>
    <w:lvl w:ilvl="6">
      <w:start w:val="0"/>
      <w:numFmt w:val="bullet"/>
      <w:lvlText w:val="•"/>
      <w:lvlJc w:val="left"/>
      <w:pPr>
        <w:ind w:left="6424" w:hanging="360"/>
      </w:pPr>
      <w:rPr>
        <w:rFonts w:hint="default"/>
        <w:lang w:val="en-US" w:eastAsia="en-US" w:bidi="ar-SA"/>
      </w:rPr>
    </w:lvl>
    <w:lvl w:ilvl="7">
      <w:start w:val="0"/>
      <w:numFmt w:val="bullet"/>
      <w:lvlText w:val="•"/>
      <w:lvlJc w:val="left"/>
      <w:pPr>
        <w:ind w:left="7398" w:hanging="360"/>
      </w:pPr>
      <w:rPr>
        <w:rFonts w:hint="default"/>
        <w:lang w:val="en-US" w:eastAsia="en-US" w:bidi="ar-SA"/>
      </w:rPr>
    </w:lvl>
    <w:lvl w:ilvl="8">
      <w:start w:val="0"/>
      <w:numFmt w:val="bullet"/>
      <w:lvlText w:val="•"/>
      <w:lvlJc w:val="left"/>
      <w:pPr>
        <w:ind w:left="8372" w:hanging="360"/>
      </w:pPr>
      <w:rPr>
        <w:rFonts w:hint="default"/>
        <w:lang w:val="en-US" w:eastAsia="en-US" w:bidi="ar-SA"/>
      </w:rPr>
    </w:lvl>
  </w:abstractNum>
  <w:abstractNum w:abstractNumId="12">
    <w:multiLevelType w:val="hybridMultilevel"/>
    <w:lvl w:ilvl="0">
      <w:start w:val="2"/>
      <w:numFmt w:val="decimal"/>
      <w:lvlText w:val="%1"/>
      <w:lvlJc w:val="left"/>
      <w:pPr>
        <w:ind w:left="594" w:hanging="375"/>
        <w:jc w:val="left"/>
      </w:pPr>
      <w:rPr>
        <w:rFonts w:hint="default"/>
        <w:lang w:val="en-US" w:eastAsia="en-US" w:bidi="ar-SA"/>
      </w:rPr>
    </w:lvl>
    <w:lvl w:ilvl="1">
      <w:start w:val="1"/>
      <w:numFmt w:val="decimal"/>
      <w:lvlText w:val="%1.%2"/>
      <w:lvlJc w:val="left"/>
      <w:pPr>
        <w:ind w:left="594" w:hanging="375"/>
        <w:jc w:val="left"/>
      </w:pPr>
      <w:rPr>
        <w:rFonts w:hint="default" w:ascii="Times New Roman" w:hAnsi="Times New Roman" w:eastAsia="Times New Roman" w:cs="Times New Roman"/>
        <w:b/>
        <w:bCs/>
        <w:i w:val="0"/>
        <w:iCs w:val="0"/>
        <w:spacing w:val="0"/>
        <w:w w:val="99"/>
        <w:sz w:val="25"/>
        <w:szCs w:val="25"/>
        <w:lang w:val="en-US" w:eastAsia="en-US" w:bidi="ar-SA"/>
      </w:rPr>
    </w:lvl>
    <w:lvl w:ilvl="2">
      <w:start w:val="1"/>
      <w:numFmt w:val="decimal"/>
      <w:lvlText w:val="%1.%2.%3"/>
      <w:lvlJc w:val="left"/>
      <w:pPr>
        <w:ind w:left="782" w:hanging="562"/>
        <w:jc w:val="left"/>
      </w:pPr>
      <w:rPr>
        <w:rFonts w:hint="default" w:ascii="Times New Roman" w:hAnsi="Times New Roman" w:eastAsia="Times New Roman" w:cs="Times New Roman"/>
        <w:b/>
        <w:bCs/>
        <w:i w:val="0"/>
        <w:iCs w:val="0"/>
        <w:spacing w:val="0"/>
        <w:w w:val="99"/>
        <w:sz w:val="25"/>
        <w:szCs w:val="25"/>
        <w:lang w:val="en-US" w:eastAsia="en-US" w:bidi="ar-SA"/>
      </w:rPr>
    </w:lvl>
    <w:lvl w:ilvl="3">
      <w:start w:val="0"/>
      <w:numFmt w:val="bullet"/>
      <w:lvlText w:val="•"/>
      <w:lvlJc w:val="left"/>
      <w:pPr>
        <w:ind w:left="2900" w:hanging="562"/>
      </w:pPr>
      <w:rPr>
        <w:rFonts w:hint="default"/>
        <w:lang w:val="en-US" w:eastAsia="en-US" w:bidi="ar-SA"/>
      </w:rPr>
    </w:lvl>
    <w:lvl w:ilvl="4">
      <w:start w:val="0"/>
      <w:numFmt w:val="bullet"/>
      <w:lvlText w:val="•"/>
      <w:lvlJc w:val="left"/>
      <w:pPr>
        <w:ind w:left="3960" w:hanging="562"/>
      </w:pPr>
      <w:rPr>
        <w:rFonts w:hint="default"/>
        <w:lang w:val="en-US" w:eastAsia="en-US" w:bidi="ar-SA"/>
      </w:rPr>
    </w:lvl>
    <w:lvl w:ilvl="5">
      <w:start w:val="0"/>
      <w:numFmt w:val="bullet"/>
      <w:lvlText w:val="•"/>
      <w:lvlJc w:val="left"/>
      <w:pPr>
        <w:ind w:left="5020" w:hanging="562"/>
      </w:pPr>
      <w:rPr>
        <w:rFonts w:hint="default"/>
        <w:lang w:val="en-US" w:eastAsia="en-US" w:bidi="ar-SA"/>
      </w:rPr>
    </w:lvl>
    <w:lvl w:ilvl="6">
      <w:start w:val="0"/>
      <w:numFmt w:val="bullet"/>
      <w:lvlText w:val="•"/>
      <w:lvlJc w:val="left"/>
      <w:pPr>
        <w:ind w:left="6080" w:hanging="562"/>
      </w:pPr>
      <w:rPr>
        <w:rFonts w:hint="default"/>
        <w:lang w:val="en-US" w:eastAsia="en-US" w:bidi="ar-SA"/>
      </w:rPr>
    </w:lvl>
    <w:lvl w:ilvl="7">
      <w:start w:val="0"/>
      <w:numFmt w:val="bullet"/>
      <w:lvlText w:val="•"/>
      <w:lvlJc w:val="left"/>
      <w:pPr>
        <w:ind w:left="7140" w:hanging="562"/>
      </w:pPr>
      <w:rPr>
        <w:rFonts w:hint="default"/>
        <w:lang w:val="en-US" w:eastAsia="en-US" w:bidi="ar-SA"/>
      </w:rPr>
    </w:lvl>
    <w:lvl w:ilvl="8">
      <w:start w:val="0"/>
      <w:numFmt w:val="bullet"/>
      <w:lvlText w:val="•"/>
      <w:lvlJc w:val="left"/>
      <w:pPr>
        <w:ind w:left="8200" w:hanging="562"/>
      </w:pPr>
      <w:rPr>
        <w:rFonts w:hint="default"/>
        <w:lang w:val="en-US" w:eastAsia="en-US" w:bidi="ar-SA"/>
      </w:rPr>
    </w:lvl>
  </w:abstractNum>
  <w:abstractNum w:abstractNumId="11">
    <w:multiLevelType w:val="hybridMultilevel"/>
    <w:lvl w:ilvl="0">
      <w:start w:val="1"/>
      <w:numFmt w:val="decimal"/>
      <w:lvlText w:val="%1."/>
      <w:lvlJc w:val="left"/>
      <w:pPr>
        <w:ind w:left="580" w:hanging="360"/>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1">
      <w:start w:val="0"/>
      <w:numFmt w:val="bullet"/>
      <w:lvlText w:val="•"/>
      <w:lvlJc w:val="left"/>
      <w:pPr>
        <w:ind w:left="1554" w:hanging="360"/>
      </w:pPr>
      <w:rPr>
        <w:rFonts w:hint="default"/>
        <w:lang w:val="en-US" w:eastAsia="en-US" w:bidi="ar-SA"/>
      </w:rPr>
    </w:lvl>
    <w:lvl w:ilvl="2">
      <w:start w:val="0"/>
      <w:numFmt w:val="bullet"/>
      <w:lvlText w:val="•"/>
      <w:lvlJc w:val="left"/>
      <w:pPr>
        <w:ind w:left="2528" w:hanging="360"/>
      </w:pPr>
      <w:rPr>
        <w:rFonts w:hint="default"/>
        <w:lang w:val="en-US" w:eastAsia="en-US" w:bidi="ar-SA"/>
      </w:rPr>
    </w:lvl>
    <w:lvl w:ilvl="3">
      <w:start w:val="0"/>
      <w:numFmt w:val="bullet"/>
      <w:lvlText w:val="•"/>
      <w:lvlJc w:val="left"/>
      <w:pPr>
        <w:ind w:left="3502" w:hanging="360"/>
      </w:pPr>
      <w:rPr>
        <w:rFonts w:hint="default"/>
        <w:lang w:val="en-US" w:eastAsia="en-US" w:bidi="ar-SA"/>
      </w:rPr>
    </w:lvl>
    <w:lvl w:ilvl="4">
      <w:start w:val="0"/>
      <w:numFmt w:val="bullet"/>
      <w:lvlText w:val="•"/>
      <w:lvlJc w:val="left"/>
      <w:pPr>
        <w:ind w:left="4476" w:hanging="360"/>
      </w:pPr>
      <w:rPr>
        <w:rFonts w:hint="default"/>
        <w:lang w:val="en-US" w:eastAsia="en-US" w:bidi="ar-SA"/>
      </w:rPr>
    </w:lvl>
    <w:lvl w:ilvl="5">
      <w:start w:val="0"/>
      <w:numFmt w:val="bullet"/>
      <w:lvlText w:val="•"/>
      <w:lvlJc w:val="left"/>
      <w:pPr>
        <w:ind w:left="5450" w:hanging="360"/>
      </w:pPr>
      <w:rPr>
        <w:rFonts w:hint="default"/>
        <w:lang w:val="en-US" w:eastAsia="en-US" w:bidi="ar-SA"/>
      </w:rPr>
    </w:lvl>
    <w:lvl w:ilvl="6">
      <w:start w:val="0"/>
      <w:numFmt w:val="bullet"/>
      <w:lvlText w:val="•"/>
      <w:lvlJc w:val="left"/>
      <w:pPr>
        <w:ind w:left="6424" w:hanging="360"/>
      </w:pPr>
      <w:rPr>
        <w:rFonts w:hint="default"/>
        <w:lang w:val="en-US" w:eastAsia="en-US" w:bidi="ar-SA"/>
      </w:rPr>
    </w:lvl>
    <w:lvl w:ilvl="7">
      <w:start w:val="0"/>
      <w:numFmt w:val="bullet"/>
      <w:lvlText w:val="•"/>
      <w:lvlJc w:val="left"/>
      <w:pPr>
        <w:ind w:left="7398" w:hanging="360"/>
      </w:pPr>
      <w:rPr>
        <w:rFonts w:hint="default"/>
        <w:lang w:val="en-US" w:eastAsia="en-US" w:bidi="ar-SA"/>
      </w:rPr>
    </w:lvl>
    <w:lvl w:ilvl="8">
      <w:start w:val="0"/>
      <w:numFmt w:val="bullet"/>
      <w:lvlText w:val="•"/>
      <w:lvlJc w:val="left"/>
      <w:pPr>
        <w:ind w:left="8372" w:hanging="360"/>
      </w:pPr>
      <w:rPr>
        <w:rFonts w:hint="default"/>
        <w:lang w:val="en-US" w:eastAsia="en-US" w:bidi="ar-SA"/>
      </w:rPr>
    </w:lvl>
  </w:abstractNum>
  <w:abstractNum w:abstractNumId="10">
    <w:multiLevelType w:val="hybridMultilevel"/>
    <w:lvl w:ilvl="0">
      <w:start w:val="1"/>
      <w:numFmt w:val="decimal"/>
      <w:lvlText w:val="%1."/>
      <w:lvlJc w:val="left"/>
      <w:pPr>
        <w:ind w:left="580" w:hanging="360"/>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1">
      <w:start w:val="0"/>
      <w:numFmt w:val="bullet"/>
      <w:lvlText w:val="•"/>
      <w:lvlJc w:val="left"/>
      <w:pPr>
        <w:ind w:left="1554" w:hanging="360"/>
      </w:pPr>
      <w:rPr>
        <w:rFonts w:hint="default"/>
        <w:lang w:val="en-US" w:eastAsia="en-US" w:bidi="ar-SA"/>
      </w:rPr>
    </w:lvl>
    <w:lvl w:ilvl="2">
      <w:start w:val="0"/>
      <w:numFmt w:val="bullet"/>
      <w:lvlText w:val="•"/>
      <w:lvlJc w:val="left"/>
      <w:pPr>
        <w:ind w:left="2528" w:hanging="360"/>
      </w:pPr>
      <w:rPr>
        <w:rFonts w:hint="default"/>
        <w:lang w:val="en-US" w:eastAsia="en-US" w:bidi="ar-SA"/>
      </w:rPr>
    </w:lvl>
    <w:lvl w:ilvl="3">
      <w:start w:val="0"/>
      <w:numFmt w:val="bullet"/>
      <w:lvlText w:val="•"/>
      <w:lvlJc w:val="left"/>
      <w:pPr>
        <w:ind w:left="3502" w:hanging="360"/>
      </w:pPr>
      <w:rPr>
        <w:rFonts w:hint="default"/>
        <w:lang w:val="en-US" w:eastAsia="en-US" w:bidi="ar-SA"/>
      </w:rPr>
    </w:lvl>
    <w:lvl w:ilvl="4">
      <w:start w:val="0"/>
      <w:numFmt w:val="bullet"/>
      <w:lvlText w:val="•"/>
      <w:lvlJc w:val="left"/>
      <w:pPr>
        <w:ind w:left="4476" w:hanging="360"/>
      </w:pPr>
      <w:rPr>
        <w:rFonts w:hint="default"/>
        <w:lang w:val="en-US" w:eastAsia="en-US" w:bidi="ar-SA"/>
      </w:rPr>
    </w:lvl>
    <w:lvl w:ilvl="5">
      <w:start w:val="0"/>
      <w:numFmt w:val="bullet"/>
      <w:lvlText w:val="•"/>
      <w:lvlJc w:val="left"/>
      <w:pPr>
        <w:ind w:left="5450" w:hanging="360"/>
      </w:pPr>
      <w:rPr>
        <w:rFonts w:hint="default"/>
        <w:lang w:val="en-US" w:eastAsia="en-US" w:bidi="ar-SA"/>
      </w:rPr>
    </w:lvl>
    <w:lvl w:ilvl="6">
      <w:start w:val="0"/>
      <w:numFmt w:val="bullet"/>
      <w:lvlText w:val="•"/>
      <w:lvlJc w:val="left"/>
      <w:pPr>
        <w:ind w:left="6424" w:hanging="360"/>
      </w:pPr>
      <w:rPr>
        <w:rFonts w:hint="default"/>
        <w:lang w:val="en-US" w:eastAsia="en-US" w:bidi="ar-SA"/>
      </w:rPr>
    </w:lvl>
    <w:lvl w:ilvl="7">
      <w:start w:val="0"/>
      <w:numFmt w:val="bullet"/>
      <w:lvlText w:val="•"/>
      <w:lvlJc w:val="left"/>
      <w:pPr>
        <w:ind w:left="7398" w:hanging="360"/>
      </w:pPr>
      <w:rPr>
        <w:rFonts w:hint="default"/>
        <w:lang w:val="en-US" w:eastAsia="en-US" w:bidi="ar-SA"/>
      </w:rPr>
    </w:lvl>
    <w:lvl w:ilvl="8">
      <w:start w:val="0"/>
      <w:numFmt w:val="bullet"/>
      <w:lvlText w:val="•"/>
      <w:lvlJc w:val="left"/>
      <w:pPr>
        <w:ind w:left="8372" w:hanging="360"/>
      </w:pPr>
      <w:rPr>
        <w:rFonts w:hint="default"/>
        <w:lang w:val="en-US" w:eastAsia="en-US" w:bidi="ar-SA"/>
      </w:rPr>
    </w:lvl>
  </w:abstractNum>
  <w:abstractNum w:abstractNumId="9">
    <w:multiLevelType w:val="hybridMultilevel"/>
    <w:lvl w:ilvl="0">
      <w:start w:val="1"/>
      <w:numFmt w:val="decimal"/>
      <w:lvlText w:val="%1"/>
      <w:lvlJc w:val="left"/>
      <w:pPr>
        <w:ind w:left="594" w:hanging="375"/>
        <w:jc w:val="left"/>
      </w:pPr>
      <w:rPr>
        <w:rFonts w:hint="default"/>
        <w:lang w:val="en-US" w:eastAsia="en-US" w:bidi="ar-SA"/>
      </w:rPr>
    </w:lvl>
    <w:lvl w:ilvl="1">
      <w:start w:val="1"/>
      <w:numFmt w:val="decimal"/>
      <w:lvlText w:val="%1.%2"/>
      <w:lvlJc w:val="left"/>
      <w:pPr>
        <w:ind w:left="594" w:hanging="375"/>
        <w:jc w:val="left"/>
      </w:pPr>
      <w:rPr>
        <w:rFonts w:hint="default" w:ascii="Times New Roman" w:hAnsi="Times New Roman" w:eastAsia="Times New Roman" w:cs="Times New Roman"/>
        <w:b/>
        <w:bCs/>
        <w:i w:val="0"/>
        <w:iCs w:val="0"/>
        <w:spacing w:val="0"/>
        <w:w w:val="99"/>
        <w:sz w:val="25"/>
        <w:szCs w:val="25"/>
        <w:lang w:val="en-US" w:eastAsia="en-US" w:bidi="ar-SA"/>
      </w:rPr>
    </w:lvl>
    <w:lvl w:ilvl="2">
      <w:start w:val="0"/>
      <w:numFmt w:val="bullet"/>
      <w:lvlText w:val="•"/>
      <w:lvlJc w:val="left"/>
      <w:pPr>
        <w:ind w:left="2544" w:hanging="375"/>
      </w:pPr>
      <w:rPr>
        <w:rFonts w:hint="default"/>
        <w:lang w:val="en-US" w:eastAsia="en-US" w:bidi="ar-SA"/>
      </w:rPr>
    </w:lvl>
    <w:lvl w:ilvl="3">
      <w:start w:val="0"/>
      <w:numFmt w:val="bullet"/>
      <w:lvlText w:val="•"/>
      <w:lvlJc w:val="left"/>
      <w:pPr>
        <w:ind w:left="3516" w:hanging="375"/>
      </w:pPr>
      <w:rPr>
        <w:rFonts w:hint="default"/>
        <w:lang w:val="en-US" w:eastAsia="en-US" w:bidi="ar-SA"/>
      </w:rPr>
    </w:lvl>
    <w:lvl w:ilvl="4">
      <w:start w:val="0"/>
      <w:numFmt w:val="bullet"/>
      <w:lvlText w:val="•"/>
      <w:lvlJc w:val="left"/>
      <w:pPr>
        <w:ind w:left="4488" w:hanging="375"/>
      </w:pPr>
      <w:rPr>
        <w:rFonts w:hint="default"/>
        <w:lang w:val="en-US" w:eastAsia="en-US" w:bidi="ar-SA"/>
      </w:rPr>
    </w:lvl>
    <w:lvl w:ilvl="5">
      <w:start w:val="0"/>
      <w:numFmt w:val="bullet"/>
      <w:lvlText w:val="•"/>
      <w:lvlJc w:val="left"/>
      <w:pPr>
        <w:ind w:left="5460" w:hanging="375"/>
      </w:pPr>
      <w:rPr>
        <w:rFonts w:hint="default"/>
        <w:lang w:val="en-US" w:eastAsia="en-US" w:bidi="ar-SA"/>
      </w:rPr>
    </w:lvl>
    <w:lvl w:ilvl="6">
      <w:start w:val="0"/>
      <w:numFmt w:val="bullet"/>
      <w:lvlText w:val="•"/>
      <w:lvlJc w:val="left"/>
      <w:pPr>
        <w:ind w:left="6432" w:hanging="375"/>
      </w:pPr>
      <w:rPr>
        <w:rFonts w:hint="default"/>
        <w:lang w:val="en-US" w:eastAsia="en-US" w:bidi="ar-SA"/>
      </w:rPr>
    </w:lvl>
    <w:lvl w:ilvl="7">
      <w:start w:val="0"/>
      <w:numFmt w:val="bullet"/>
      <w:lvlText w:val="•"/>
      <w:lvlJc w:val="left"/>
      <w:pPr>
        <w:ind w:left="7404" w:hanging="375"/>
      </w:pPr>
      <w:rPr>
        <w:rFonts w:hint="default"/>
        <w:lang w:val="en-US" w:eastAsia="en-US" w:bidi="ar-SA"/>
      </w:rPr>
    </w:lvl>
    <w:lvl w:ilvl="8">
      <w:start w:val="0"/>
      <w:numFmt w:val="bullet"/>
      <w:lvlText w:val="•"/>
      <w:lvlJc w:val="left"/>
      <w:pPr>
        <w:ind w:left="8376" w:hanging="375"/>
      </w:pPr>
      <w:rPr>
        <w:rFonts w:hint="default"/>
        <w:lang w:val="en-US" w:eastAsia="en-US" w:bidi="ar-SA"/>
      </w:rPr>
    </w:lvl>
  </w:abstractNum>
  <w:abstractNum w:abstractNumId="8">
    <w:multiLevelType w:val="hybridMultilevel"/>
    <w:lvl w:ilvl="0">
      <w:start w:val="6"/>
      <w:numFmt w:val="decimal"/>
      <w:lvlText w:val="%1"/>
      <w:lvlJc w:val="left"/>
      <w:pPr>
        <w:ind w:left="594" w:hanging="375"/>
        <w:jc w:val="left"/>
      </w:pPr>
      <w:rPr>
        <w:rFonts w:hint="default"/>
        <w:lang w:val="en-US" w:eastAsia="en-US" w:bidi="ar-SA"/>
      </w:rPr>
    </w:lvl>
    <w:lvl w:ilvl="1">
      <w:start w:val="1"/>
      <w:numFmt w:val="decimal"/>
      <w:lvlText w:val="%1.%2"/>
      <w:lvlJc w:val="left"/>
      <w:pPr>
        <w:ind w:left="594" w:hanging="375"/>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2">
      <w:start w:val="0"/>
      <w:numFmt w:val="bullet"/>
      <w:lvlText w:val="•"/>
      <w:lvlJc w:val="left"/>
      <w:pPr>
        <w:ind w:left="2544" w:hanging="375"/>
      </w:pPr>
      <w:rPr>
        <w:rFonts w:hint="default"/>
        <w:lang w:val="en-US" w:eastAsia="en-US" w:bidi="ar-SA"/>
      </w:rPr>
    </w:lvl>
    <w:lvl w:ilvl="3">
      <w:start w:val="0"/>
      <w:numFmt w:val="bullet"/>
      <w:lvlText w:val="•"/>
      <w:lvlJc w:val="left"/>
      <w:pPr>
        <w:ind w:left="3516" w:hanging="375"/>
      </w:pPr>
      <w:rPr>
        <w:rFonts w:hint="default"/>
        <w:lang w:val="en-US" w:eastAsia="en-US" w:bidi="ar-SA"/>
      </w:rPr>
    </w:lvl>
    <w:lvl w:ilvl="4">
      <w:start w:val="0"/>
      <w:numFmt w:val="bullet"/>
      <w:lvlText w:val="•"/>
      <w:lvlJc w:val="left"/>
      <w:pPr>
        <w:ind w:left="4488" w:hanging="375"/>
      </w:pPr>
      <w:rPr>
        <w:rFonts w:hint="default"/>
        <w:lang w:val="en-US" w:eastAsia="en-US" w:bidi="ar-SA"/>
      </w:rPr>
    </w:lvl>
    <w:lvl w:ilvl="5">
      <w:start w:val="0"/>
      <w:numFmt w:val="bullet"/>
      <w:lvlText w:val="•"/>
      <w:lvlJc w:val="left"/>
      <w:pPr>
        <w:ind w:left="5460" w:hanging="375"/>
      </w:pPr>
      <w:rPr>
        <w:rFonts w:hint="default"/>
        <w:lang w:val="en-US" w:eastAsia="en-US" w:bidi="ar-SA"/>
      </w:rPr>
    </w:lvl>
    <w:lvl w:ilvl="6">
      <w:start w:val="0"/>
      <w:numFmt w:val="bullet"/>
      <w:lvlText w:val="•"/>
      <w:lvlJc w:val="left"/>
      <w:pPr>
        <w:ind w:left="6432" w:hanging="375"/>
      </w:pPr>
      <w:rPr>
        <w:rFonts w:hint="default"/>
        <w:lang w:val="en-US" w:eastAsia="en-US" w:bidi="ar-SA"/>
      </w:rPr>
    </w:lvl>
    <w:lvl w:ilvl="7">
      <w:start w:val="0"/>
      <w:numFmt w:val="bullet"/>
      <w:lvlText w:val="•"/>
      <w:lvlJc w:val="left"/>
      <w:pPr>
        <w:ind w:left="7404" w:hanging="375"/>
      </w:pPr>
      <w:rPr>
        <w:rFonts w:hint="default"/>
        <w:lang w:val="en-US" w:eastAsia="en-US" w:bidi="ar-SA"/>
      </w:rPr>
    </w:lvl>
    <w:lvl w:ilvl="8">
      <w:start w:val="0"/>
      <w:numFmt w:val="bullet"/>
      <w:lvlText w:val="•"/>
      <w:lvlJc w:val="left"/>
      <w:pPr>
        <w:ind w:left="8376" w:hanging="375"/>
      </w:pPr>
      <w:rPr>
        <w:rFonts w:hint="default"/>
        <w:lang w:val="en-US" w:eastAsia="en-US" w:bidi="ar-SA"/>
      </w:rPr>
    </w:lvl>
  </w:abstractNum>
  <w:abstractNum w:abstractNumId="7">
    <w:multiLevelType w:val="hybridMultilevel"/>
    <w:lvl w:ilvl="0">
      <w:start w:val="5"/>
      <w:numFmt w:val="decimal"/>
      <w:lvlText w:val="%1"/>
      <w:lvlJc w:val="left"/>
      <w:pPr>
        <w:ind w:left="594" w:hanging="375"/>
        <w:jc w:val="left"/>
      </w:pPr>
      <w:rPr>
        <w:rFonts w:hint="default"/>
        <w:lang w:val="en-US" w:eastAsia="en-US" w:bidi="ar-SA"/>
      </w:rPr>
    </w:lvl>
    <w:lvl w:ilvl="1">
      <w:start w:val="1"/>
      <w:numFmt w:val="decimal"/>
      <w:lvlText w:val="%1.%2"/>
      <w:lvlJc w:val="left"/>
      <w:pPr>
        <w:ind w:left="594" w:hanging="375"/>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2">
      <w:start w:val="0"/>
      <w:numFmt w:val="bullet"/>
      <w:lvlText w:val="•"/>
      <w:lvlJc w:val="left"/>
      <w:pPr>
        <w:ind w:left="2544" w:hanging="375"/>
      </w:pPr>
      <w:rPr>
        <w:rFonts w:hint="default"/>
        <w:lang w:val="en-US" w:eastAsia="en-US" w:bidi="ar-SA"/>
      </w:rPr>
    </w:lvl>
    <w:lvl w:ilvl="3">
      <w:start w:val="0"/>
      <w:numFmt w:val="bullet"/>
      <w:lvlText w:val="•"/>
      <w:lvlJc w:val="left"/>
      <w:pPr>
        <w:ind w:left="3516" w:hanging="375"/>
      </w:pPr>
      <w:rPr>
        <w:rFonts w:hint="default"/>
        <w:lang w:val="en-US" w:eastAsia="en-US" w:bidi="ar-SA"/>
      </w:rPr>
    </w:lvl>
    <w:lvl w:ilvl="4">
      <w:start w:val="0"/>
      <w:numFmt w:val="bullet"/>
      <w:lvlText w:val="•"/>
      <w:lvlJc w:val="left"/>
      <w:pPr>
        <w:ind w:left="4488" w:hanging="375"/>
      </w:pPr>
      <w:rPr>
        <w:rFonts w:hint="default"/>
        <w:lang w:val="en-US" w:eastAsia="en-US" w:bidi="ar-SA"/>
      </w:rPr>
    </w:lvl>
    <w:lvl w:ilvl="5">
      <w:start w:val="0"/>
      <w:numFmt w:val="bullet"/>
      <w:lvlText w:val="•"/>
      <w:lvlJc w:val="left"/>
      <w:pPr>
        <w:ind w:left="5460" w:hanging="375"/>
      </w:pPr>
      <w:rPr>
        <w:rFonts w:hint="default"/>
        <w:lang w:val="en-US" w:eastAsia="en-US" w:bidi="ar-SA"/>
      </w:rPr>
    </w:lvl>
    <w:lvl w:ilvl="6">
      <w:start w:val="0"/>
      <w:numFmt w:val="bullet"/>
      <w:lvlText w:val="•"/>
      <w:lvlJc w:val="left"/>
      <w:pPr>
        <w:ind w:left="6432" w:hanging="375"/>
      </w:pPr>
      <w:rPr>
        <w:rFonts w:hint="default"/>
        <w:lang w:val="en-US" w:eastAsia="en-US" w:bidi="ar-SA"/>
      </w:rPr>
    </w:lvl>
    <w:lvl w:ilvl="7">
      <w:start w:val="0"/>
      <w:numFmt w:val="bullet"/>
      <w:lvlText w:val="•"/>
      <w:lvlJc w:val="left"/>
      <w:pPr>
        <w:ind w:left="7404" w:hanging="375"/>
      </w:pPr>
      <w:rPr>
        <w:rFonts w:hint="default"/>
        <w:lang w:val="en-US" w:eastAsia="en-US" w:bidi="ar-SA"/>
      </w:rPr>
    </w:lvl>
    <w:lvl w:ilvl="8">
      <w:start w:val="0"/>
      <w:numFmt w:val="bullet"/>
      <w:lvlText w:val="•"/>
      <w:lvlJc w:val="left"/>
      <w:pPr>
        <w:ind w:left="8376" w:hanging="375"/>
      </w:pPr>
      <w:rPr>
        <w:rFonts w:hint="default"/>
        <w:lang w:val="en-US" w:eastAsia="en-US" w:bidi="ar-SA"/>
      </w:rPr>
    </w:lvl>
  </w:abstractNum>
  <w:abstractNum w:abstractNumId="6">
    <w:multiLevelType w:val="hybridMultilevel"/>
    <w:lvl w:ilvl="0">
      <w:start w:val="4"/>
      <w:numFmt w:val="decimal"/>
      <w:lvlText w:val="%1"/>
      <w:lvlJc w:val="left"/>
      <w:pPr>
        <w:ind w:left="594" w:hanging="375"/>
        <w:jc w:val="left"/>
      </w:pPr>
      <w:rPr>
        <w:rFonts w:hint="default"/>
        <w:lang w:val="en-US" w:eastAsia="en-US" w:bidi="ar-SA"/>
      </w:rPr>
    </w:lvl>
    <w:lvl w:ilvl="1">
      <w:start w:val="1"/>
      <w:numFmt w:val="decimal"/>
      <w:lvlText w:val="%1.%2"/>
      <w:lvlJc w:val="left"/>
      <w:pPr>
        <w:ind w:left="594" w:hanging="375"/>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2">
      <w:start w:val="1"/>
      <w:numFmt w:val="decimal"/>
      <w:lvlText w:val="%1.%2.%3"/>
      <w:lvlJc w:val="left"/>
      <w:pPr>
        <w:ind w:left="782" w:hanging="562"/>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3">
      <w:start w:val="0"/>
      <w:numFmt w:val="bullet"/>
      <w:lvlText w:val="•"/>
      <w:lvlJc w:val="left"/>
      <w:pPr>
        <w:ind w:left="2900" w:hanging="562"/>
      </w:pPr>
      <w:rPr>
        <w:rFonts w:hint="default"/>
        <w:lang w:val="en-US" w:eastAsia="en-US" w:bidi="ar-SA"/>
      </w:rPr>
    </w:lvl>
    <w:lvl w:ilvl="4">
      <w:start w:val="0"/>
      <w:numFmt w:val="bullet"/>
      <w:lvlText w:val="•"/>
      <w:lvlJc w:val="left"/>
      <w:pPr>
        <w:ind w:left="3960" w:hanging="562"/>
      </w:pPr>
      <w:rPr>
        <w:rFonts w:hint="default"/>
        <w:lang w:val="en-US" w:eastAsia="en-US" w:bidi="ar-SA"/>
      </w:rPr>
    </w:lvl>
    <w:lvl w:ilvl="5">
      <w:start w:val="0"/>
      <w:numFmt w:val="bullet"/>
      <w:lvlText w:val="•"/>
      <w:lvlJc w:val="left"/>
      <w:pPr>
        <w:ind w:left="5020" w:hanging="562"/>
      </w:pPr>
      <w:rPr>
        <w:rFonts w:hint="default"/>
        <w:lang w:val="en-US" w:eastAsia="en-US" w:bidi="ar-SA"/>
      </w:rPr>
    </w:lvl>
    <w:lvl w:ilvl="6">
      <w:start w:val="0"/>
      <w:numFmt w:val="bullet"/>
      <w:lvlText w:val="•"/>
      <w:lvlJc w:val="left"/>
      <w:pPr>
        <w:ind w:left="6080" w:hanging="562"/>
      </w:pPr>
      <w:rPr>
        <w:rFonts w:hint="default"/>
        <w:lang w:val="en-US" w:eastAsia="en-US" w:bidi="ar-SA"/>
      </w:rPr>
    </w:lvl>
    <w:lvl w:ilvl="7">
      <w:start w:val="0"/>
      <w:numFmt w:val="bullet"/>
      <w:lvlText w:val="•"/>
      <w:lvlJc w:val="left"/>
      <w:pPr>
        <w:ind w:left="7140" w:hanging="562"/>
      </w:pPr>
      <w:rPr>
        <w:rFonts w:hint="default"/>
        <w:lang w:val="en-US" w:eastAsia="en-US" w:bidi="ar-SA"/>
      </w:rPr>
    </w:lvl>
    <w:lvl w:ilvl="8">
      <w:start w:val="0"/>
      <w:numFmt w:val="bullet"/>
      <w:lvlText w:val="•"/>
      <w:lvlJc w:val="left"/>
      <w:pPr>
        <w:ind w:left="8200" w:hanging="562"/>
      </w:pPr>
      <w:rPr>
        <w:rFonts w:hint="default"/>
        <w:lang w:val="en-US" w:eastAsia="en-US" w:bidi="ar-SA"/>
      </w:rPr>
    </w:lvl>
  </w:abstractNum>
  <w:abstractNum w:abstractNumId="5">
    <w:multiLevelType w:val="hybridMultilevel"/>
    <w:lvl w:ilvl="0">
      <w:start w:val="4"/>
      <w:numFmt w:val="decimal"/>
      <w:lvlText w:val="%1"/>
      <w:lvlJc w:val="left"/>
      <w:pPr>
        <w:ind w:left="594" w:hanging="375"/>
        <w:jc w:val="left"/>
      </w:pPr>
      <w:rPr>
        <w:rFonts w:hint="default"/>
        <w:lang w:val="en-US" w:eastAsia="en-US" w:bidi="ar-SA"/>
      </w:rPr>
    </w:lvl>
    <w:lvl w:ilvl="1">
      <w:start w:val="1"/>
      <w:numFmt w:val="decimal"/>
      <w:lvlText w:val="%1.%2"/>
      <w:lvlJc w:val="left"/>
      <w:pPr>
        <w:ind w:left="594" w:hanging="375"/>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2">
      <w:start w:val="0"/>
      <w:numFmt w:val="bullet"/>
      <w:lvlText w:val="•"/>
      <w:lvlJc w:val="left"/>
      <w:pPr>
        <w:ind w:left="2544" w:hanging="375"/>
      </w:pPr>
      <w:rPr>
        <w:rFonts w:hint="default"/>
        <w:lang w:val="en-US" w:eastAsia="en-US" w:bidi="ar-SA"/>
      </w:rPr>
    </w:lvl>
    <w:lvl w:ilvl="3">
      <w:start w:val="0"/>
      <w:numFmt w:val="bullet"/>
      <w:lvlText w:val="•"/>
      <w:lvlJc w:val="left"/>
      <w:pPr>
        <w:ind w:left="3516" w:hanging="375"/>
      </w:pPr>
      <w:rPr>
        <w:rFonts w:hint="default"/>
        <w:lang w:val="en-US" w:eastAsia="en-US" w:bidi="ar-SA"/>
      </w:rPr>
    </w:lvl>
    <w:lvl w:ilvl="4">
      <w:start w:val="0"/>
      <w:numFmt w:val="bullet"/>
      <w:lvlText w:val="•"/>
      <w:lvlJc w:val="left"/>
      <w:pPr>
        <w:ind w:left="4488" w:hanging="375"/>
      </w:pPr>
      <w:rPr>
        <w:rFonts w:hint="default"/>
        <w:lang w:val="en-US" w:eastAsia="en-US" w:bidi="ar-SA"/>
      </w:rPr>
    </w:lvl>
    <w:lvl w:ilvl="5">
      <w:start w:val="0"/>
      <w:numFmt w:val="bullet"/>
      <w:lvlText w:val="•"/>
      <w:lvlJc w:val="left"/>
      <w:pPr>
        <w:ind w:left="5460" w:hanging="375"/>
      </w:pPr>
      <w:rPr>
        <w:rFonts w:hint="default"/>
        <w:lang w:val="en-US" w:eastAsia="en-US" w:bidi="ar-SA"/>
      </w:rPr>
    </w:lvl>
    <w:lvl w:ilvl="6">
      <w:start w:val="0"/>
      <w:numFmt w:val="bullet"/>
      <w:lvlText w:val="•"/>
      <w:lvlJc w:val="left"/>
      <w:pPr>
        <w:ind w:left="6432" w:hanging="375"/>
      </w:pPr>
      <w:rPr>
        <w:rFonts w:hint="default"/>
        <w:lang w:val="en-US" w:eastAsia="en-US" w:bidi="ar-SA"/>
      </w:rPr>
    </w:lvl>
    <w:lvl w:ilvl="7">
      <w:start w:val="0"/>
      <w:numFmt w:val="bullet"/>
      <w:lvlText w:val="•"/>
      <w:lvlJc w:val="left"/>
      <w:pPr>
        <w:ind w:left="7404" w:hanging="375"/>
      </w:pPr>
      <w:rPr>
        <w:rFonts w:hint="default"/>
        <w:lang w:val="en-US" w:eastAsia="en-US" w:bidi="ar-SA"/>
      </w:rPr>
    </w:lvl>
    <w:lvl w:ilvl="8">
      <w:start w:val="0"/>
      <w:numFmt w:val="bullet"/>
      <w:lvlText w:val="•"/>
      <w:lvlJc w:val="left"/>
      <w:pPr>
        <w:ind w:left="8376" w:hanging="375"/>
      </w:pPr>
      <w:rPr>
        <w:rFonts w:hint="default"/>
        <w:lang w:val="en-US" w:eastAsia="en-US" w:bidi="ar-SA"/>
      </w:rPr>
    </w:lvl>
  </w:abstractNum>
  <w:abstractNum w:abstractNumId="4">
    <w:multiLevelType w:val="hybridMultilevel"/>
    <w:lvl w:ilvl="0">
      <w:start w:val="3"/>
      <w:numFmt w:val="decimal"/>
      <w:lvlText w:val="%1"/>
      <w:lvlJc w:val="left"/>
      <w:pPr>
        <w:ind w:left="594" w:hanging="375"/>
        <w:jc w:val="left"/>
      </w:pPr>
      <w:rPr>
        <w:rFonts w:hint="default"/>
        <w:lang w:val="en-US" w:eastAsia="en-US" w:bidi="ar-SA"/>
      </w:rPr>
    </w:lvl>
    <w:lvl w:ilvl="1">
      <w:start w:val="1"/>
      <w:numFmt w:val="decimal"/>
      <w:lvlText w:val="%1.%2"/>
      <w:lvlJc w:val="left"/>
      <w:pPr>
        <w:ind w:left="594" w:hanging="375"/>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2">
      <w:start w:val="1"/>
      <w:numFmt w:val="decimal"/>
      <w:lvlText w:val="%1.%2.%3"/>
      <w:lvlJc w:val="left"/>
      <w:pPr>
        <w:ind w:left="782" w:hanging="562"/>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3">
      <w:start w:val="0"/>
      <w:numFmt w:val="bullet"/>
      <w:lvlText w:val="•"/>
      <w:lvlJc w:val="left"/>
      <w:pPr>
        <w:ind w:left="2900" w:hanging="562"/>
      </w:pPr>
      <w:rPr>
        <w:rFonts w:hint="default"/>
        <w:lang w:val="en-US" w:eastAsia="en-US" w:bidi="ar-SA"/>
      </w:rPr>
    </w:lvl>
    <w:lvl w:ilvl="4">
      <w:start w:val="0"/>
      <w:numFmt w:val="bullet"/>
      <w:lvlText w:val="•"/>
      <w:lvlJc w:val="left"/>
      <w:pPr>
        <w:ind w:left="3960" w:hanging="562"/>
      </w:pPr>
      <w:rPr>
        <w:rFonts w:hint="default"/>
        <w:lang w:val="en-US" w:eastAsia="en-US" w:bidi="ar-SA"/>
      </w:rPr>
    </w:lvl>
    <w:lvl w:ilvl="5">
      <w:start w:val="0"/>
      <w:numFmt w:val="bullet"/>
      <w:lvlText w:val="•"/>
      <w:lvlJc w:val="left"/>
      <w:pPr>
        <w:ind w:left="5020" w:hanging="562"/>
      </w:pPr>
      <w:rPr>
        <w:rFonts w:hint="default"/>
        <w:lang w:val="en-US" w:eastAsia="en-US" w:bidi="ar-SA"/>
      </w:rPr>
    </w:lvl>
    <w:lvl w:ilvl="6">
      <w:start w:val="0"/>
      <w:numFmt w:val="bullet"/>
      <w:lvlText w:val="•"/>
      <w:lvlJc w:val="left"/>
      <w:pPr>
        <w:ind w:left="6080" w:hanging="562"/>
      </w:pPr>
      <w:rPr>
        <w:rFonts w:hint="default"/>
        <w:lang w:val="en-US" w:eastAsia="en-US" w:bidi="ar-SA"/>
      </w:rPr>
    </w:lvl>
    <w:lvl w:ilvl="7">
      <w:start w:val="0"/>
      <w:numFmt w:val="bullet"/>
      <w:lvlText w:val="•"/>
      <w:lvlJc w:val="left"/>
      <w:pPr>
        <w:ind w:left="7140" w:hanging="562"/>
      </w:pPr>
      <w:rPr>
        <w:rFonts w:hint="default"/>
        <w:lang w:val="en-US" w:eastAsia="en-US" w:bidi="ar-SA"/>
      </w:rPr>
    </w:lvl>
    <w:lvl w:ilvl="8">
      <w:start w:val="0"/>
      <w:numFmt w:val="bullet"/>
      <w:lvlText w:val="•"/>
      <w:lvlJc w:val="left"/>
      <w:pPr>
        <w:ind w:left="8200" w:hanging="562"/>
      </w:pPr>
      <w:rPr>
        <w:rFonts w:hint="default"/>
        <w:lang w:val="en-US" w:eastAsia="en-US" w:bidi="ar-SA"/>
      </w:rPr>
    </w:lvl>
  </w:abstractNum>
  <w:abstractNum w:abstractNumId="3">
    <w:multiLevelType w:val="hybridMultilevel"/>
    <w:lvl w:ilvl="0">
      <w:start w:val="2"/>
      <w:numFmt w:val="decimal"/>
      <w:lvlText w:val="%1"/>
      <w:lvlJc w:val="left"/>
      <w:pPr>
        <w:ind w:left="594" w:hanging="375"/>
        <w:jc w:val="left"/>
      </w:pPr>
      <w:rPr>
        <w:rFonts w:hint="default"/>
        <w:lang w:val="en-US" w:eastAsia="en-US" w:bidi="ar-SA"/>
      </w:rPr>
    </w:lvl>
    <w:lvl w:ilvl="1">
      <w:start w:val="2"/>
      <w:numFmt w:val="decimal"/>
      <w:lvlText w:val="%1.%2"/>
      <w:lvlJc w:val="left"/>
      <w:pPr>
        <w:ind w:left="594" w:hanging="375"/>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2">
      <w:start w:val="1"/>
      <w:numFmt w:val="decimal"/>
      <w:lvlText w:val="%1.%2.%3"/>
      <w:lvlJc w:val="left"/>
      <w:pPr>
        <w:ind w:left="782" w:hanging="562"/>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3">
      <w:start w:val="0"/>
      <w:numFmt w:val="bullet"/>
      <w:lvlText w:val="•"/>
      <w:lvlJc w:val="left"/>
      <w:pPr>
        <w:ind w:left="2900" w:hanging="562"/>
      </w:pPr>
      <w:rPr>
        <w:rFonts w:hint="default"/>
        <w:lang w:val="en-US" w:eastAsia="en-US" w:bidi="ar-SA"/>
      </w:rPr>
    </w:lvl>
    <w:lvl w:ilvl="4">
      <w:start w:val="0"/>
      <w:numFmt w:val="bullet"/>
      <w:lvlText w:val="•"/>
      <w:lvlJc w:val="left"/>
      <w:pPr>
        <w:ind w:left="3960" w:hanging="562"/>
      </w:pPr>
      <w:rPr>
        <w:rFonts w:hint="default"/>
        <w:lang w:val="en-US" w:eastAsia="en-US" w:bidi="ar-SA"/>
      </w:rPr>
    </w:lvl>
    <w:lvl w:ilvl="5">
      <w:start w:val="0"/>
      <w:numFmt w:val="bullet"/>
      <w:lvlText w:val="•"/>
      <w:lvlJc w:val="left"/>
      <w:pPr>
        <w:ind w:left="5020" w:hanging="562"/>
      </w:pPr>
      <w:rPr>
        <w:rFonts w:hint="default"/>
        <w:lang w:val="en-US" w:eastAsia="en-US" w:bidi="ar-SA"/>
      </w:rPr>
    </w:lvl>
    <w:lvl w:ilvl="6">
      <w:start w:val="0"/>
      <w:numFmt w:val="bullet"/>
      <w:lvlText w:val="•"/>
      <w:lvlJc w:val="left"/>
      <w:pPr>
        <w:ind w:left="6080" w:hanging="562"/>
      </w:pPr>
      <w:rPr>
        <w:rFonts w:hint="default"/>
        <w:lang w:val="en-US" w:eastAsia="en-US" w:bidi="ar-SA"/>
      </w:rPr>
    </w:lvl>
    <w:lvl w:ilvl="7">
      <w:start w:val="0"/>
      <w:numFmt w:val="bullet"/>
      <w:lvlText w:val="•"/>
      <w:lvlJc w:val="left"/>
      <w:pPr>
        <w:ind w:left="7140" w:hanging="562"/>
      </w:pPr>
      <w:rPr>
        <w:rFonts w:hint="default"/>
        <w:lang w:val="en-US" w:eastAsia="en-US" w:bidi="ar-SA"/>
      </w:rPr>
    </w:lvl>
    <w:lvl w:ilvl="8">
      <w:start w:val="0"/>
      <w:numFmt w:val="bullet"/>
      <w:lvlText w:val="•"/>
      <w:lvlJc w:val="left"/>
      <w:pPr>
        <w:ind w:left="8200" w:hanging="562"/>
      </w:pPr>
      <w:rPr>
        <w:rFonts w:hint="default"/>
        <w:lang w:val="en-US" w:eastAsia="en-US" w:bidi="ar-SA"/>
      </w:rPr>
    </w:lvl>
  </w:abstractNum>
  <w:abstractNum w:abstractNumId="2">
    <w:multiLevelType w:val="hybridMultilevel"/>
    <w:lvl w:ilvl="0">
      <w:start w:val="2"/>
      <w:numFmt w:val="decimal"/>
      <w:lvlText w:val="%1"/>
      <w:lvlJc w:val="left"/>
      <w:pPr>
        <w:ind w:left="782" w:hanging="562"/>
        <w:jc w:val="left"/>
      </w:pPr>
      <w:rPr>
        <w:rFonts w:hint="default"/>
        <w:lang w:val="en-US" w:eastAsia="en-US" w:bidi="ar-SA"/>
      </w:rPr>
    </w:lvl>
    <w:lvl w:ilvl="1">
      <w:start w:val="1"/>
      <w:numFmt w:val="decimal"/>
      <w:lvlText w:val="%1.%2"/>
      <w:lvlJc w:val="left"/>
      <w:pPr>
        <w:ind w:left="782" w:hanging="562"/>
        <w:jc w:val="left"/>
      </w:pPr>
      <w:rPr>
        <w:rFonts w:hint="default"/>
        <w:lang w:val="en-US" w:eastAsia="en-US" w:bidi="ar-SA"/>
      </w:rPr>
    </w:lvl>
    <w:lvl w:ilvl="2">
      <w:start w:val="2"/>
      <w:numFmt w:val="decimal"/>
      <w:lvlText w:val="%1.%2.%3"/>
      <w:lvlJc w:val="left"/>
      <w:pPr>
        <w:ind w:left="782" w:hanging="562"/>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3">
      <w:start w:val="0"/>
      <w:numFmt w:val="bullet"/>
      <w:lvlText w:val="•"/>
      <w:lvlJc w:val="left"/>
      <w:pPr>
        <w:ind w:left="3642" w:hanging="562"/>
      </w:pPr>
      <w:rPr>
        <w:rFonts w:hint="default"/>
        <w:lang w:val="en-US" w:eastAsia="en-US" w:bidi="ar-SA"/>
      </w:rPr>
    </w:lvl>
    <w:lvl w:ilvl="4">
      <w:start w:val="0"/>
      <w:numFmt w:val="bullet"/>
      <w:lvlText w:val="•"/>
      <w:lvlJc w:val="left"/>
      <w:pPr>
        <w:ind w:left="4596" w:hanging="562"/>
      </w:pPr>
      <w:rPr>
        <w:rFonts w:hint="default"/>
        <w:lang w:val="en-US" w:eastAsia="en-US" w:bidi="ar-SA"/>
      </w:rPr>
    </w:lvl>
    <w:lvl w:ilvl="5">
      <w:start w:val="0"/>
      <w:numFmt w:val="bullet"/>
      <w:lvlText w:val="•"/>
      <w:lvlJc w:val="left"/>
      <w:pPr>
        <w:ind w:left="5550" w:hanging="562"/>
      </w:pPr>
      <w:rPr>
        <w:rFonts w:hint="default"/>
        <w:lang w:val="en-US" w:eastAsia="en-US" w:bidi="ar-SA"/>
      </w:rPr>
    </w:lvl>
    <w:lvl w:ilvl="6">
      <w:start w:val="0"/>
      <w:numFmt w:val="bullet"/>
      <w:lvlText w:val="•"/>
      <w:lvlJc w:val="left"/>
      <w:pPr>
        <w:ind w:left="6504" w:hanging="562"/>
      </w:pPr>
      <w:rPr>
        <w:rFonts w:hint="default"/>
        <w:lang w:val="en-US" w:eastAsia="en-US" w:bidi="ar-SA"/>
      </w:rPr>
    </w:lvl>
    <w:lvl w:ilvl="7">
      <w:start w:val="0"/>
      <w:numFmt w:val="bullet"/>
      <w:lvlText w:val="•"/>
      <w:lvlJc w:val="left"/>
      <w:pPr>
        <w:ind w:left="7458" w:hanging="562"/>
      </w:pPr>
      <w:rPr>
        <w:rFonts w:hint="default"/>
        <w:lang w:val="en-US" w:eastAsia="en-US" w:bidi="ar-SA"/>
      </w:rPr>
    </w:lvl>
    <w:lvl w:ilvl="8">
      <w:start w:val="0"/>
      <w:numFmt w:val="bullet"/>
      <w:lvlText w:val="•"/>
      <w:lvlJc w:val="left"/>
      <w:pPr>
        <w:ind w:left="8412" w:hanging="562"/>
      </w:pPr>
      <w:rPr>
        <w:rFonts w:hint="default"/>
        <w:lang w:val="en-US" w:eastAsia="en-US" w:bidi="ar-SA"/>
      </w:rPr>
    </w:lvl>
  </w:abstractNum>
  <w:abstractNum w:abstractNumId="1">
    <w:multiLevelType w:val="hybridMultilevel"/>
    <w:lvl w:ilvl="0">
      <w:start w:val="2"/>
      <w:numFmt w:val="decimal"/>
      <w:lvlText w:val="%1"/>
      <w:lvlJc w:val="left"/>
      <w:pPr>
        <w:ind w:left="594" w:hanging="375"/>
        <w:jc w:val="left"/>
      </w:pPr>
      <w:rPr>
        <w:rFonts w:hint="default"/>
        <w:lang w:val="en-US" w:eastAsia="en-US" w:bidi="ar-SA"/>
      </w:rPr>
    </w:lvl>
    <w:lvl w:ilvl="1">
      <w:start w:val="1"/>
      <w:numFmt w:val="decimal"/>
      <w:lvlText w:val="%1.%2"/>
      <w:lvlJc w:val="left"/>
      <w:pPr>
        <w:ind w:left="594" w:hanging="375"/>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2">
      <w:start w:val="1"/>
      <w:numFmt w:val="decimal"/>
      <w:lvlText w:val="%1.%2.%3"/>
      <w:lvlJc w:val="left"/>
      <w:pPr>
        <w:ind w:left="782" w:hanging="562"/>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3">
      <w:start w:val="0"/>
      <w:numFmt w:val="bullet"/>
      <w:lvlText w:val="•"/>
      <w:lvlJc w:val="left"/>
      <w:pPr>
        <w:ind w:left="2900" w:hanging="562"/>
      </w:pPr>
      <w:rPr>
        <w:rFonts w:hint="default"/>
        <w:lang w:val="en-US" w:eastAsia="en-US" w:bidi="ar-SA"/>
      </w:rPr>
    </w:lvl>
    <w:lvl w:ilvl="4">
      <w:start w:val="0"/>
      <w:numFmt w:val="bullet"/>
      <w:lvlText w:val="•"/>
      <w:lvlJc w:val="left"/>
      <w:pPr>
        <w:ind w:left="3960" w:hanging="562"/>
      </w:pPr>
      <w:rPr>
        <w:rFonts w:hint="default"/>
        <w:lang w:val="en-US" w:eastAsia="en-US" w:bidi="ar-SA"/>
      </w:rPr>
    </w:lvl>
    <w:lvl w:ilvl="5">
      <w:start w:val="0"/>
      <w:numFmt w:val="bullet"/>
      <w:lvlText w:val="•"/>
      <w:lvlJc w:val="left"/>
      <w:pPr>
        <w:ind w:left="5020" w:hanging="562"/>
      </w:pPr>
      <w:rPr>
        <w:rFonts w:hint="default"/>
        <w:lang w:val="en-US" w:eastAsia="en-US" w:bidi="ar-SA"/>
      </w:rPr>
    </w:lvl>
    <w:lvl w:ilvl="6">
      <w:start w:val="0"/>
      <w:numFmt w:val="bullet"/>
      <w:lvlText w:val="•"/>
      <w:lvlJc w:val="left"/>
      <w:pPr>
        <w:ind w:left="6080" w:hanging="562"/>
      </w:pPr>
      <w:rPr>
        <w:rFonts w:hint="default"/>
        <w:lang w:val="en-US" w:eastAsia="en-US" w:bidi="ar-SA"/>
      </w:rPr>
    </w:lvl>
    <w:lvl w:ilvl="7">
      <w:start w:val="0"/>
      <w:numFmt w:val="bullet"/>
      <w:lvlText w:val="•"/>
      <w:lvlJc w:val="left"/>
      <w:pPr>
        <w:ind w:left="7140" w:hanging="562"/>
      </w:pPr>
      <w:rPr>
        <w:rFonts w:hint="default"/>
        <w:lang w:val="en-US" w:eastAsia="en-US" w:bidi="ar-SA"/>
      </w:rPr>
    </w:lvl>
    <w:lvl w:ilvl="8">
      <w:start w:val="0"/>
      <w:numFmt w:val="bullet"/>
      <w:lvlText w:val="•"/>
      <w:lvlJc w:val="left"/>
      <w:pPr>
        <w:ind w:left="8200" w:hanging="562"/>
      </w:pPr>
      <w:rPr>
        <w:rFonts w:hint="default"/>
        <w:lang w:val="en-US" w:eastAsia="en-US" w:bidi="ar-SA"/>
      </w:rPr>
    </w:lvl>
  </w:abstractNum>
  <w:abstractNum w:abstractNumId="0">
    <w:multiLevelType w:val="hybridMultilevel"/>
    <w:lvl w:ilvl="0">
      <w:start w:val="1"/>
      <w:numFmt w:val="decimal"/>
      <w:lvlText w:val="%1"/>
      <w:lvlJc w:val="left"/>
      <w:pPr>
        <w:ind w:left="594" w:hanging="375"/>
        <w:jc w:val="left"/>
      </w:pPr>
      <w:rPr>
        <w:rFonts w:hint="default"/>
        <w:lang w:val="en-US" w:eastAsia="en-US" w:bidi="ar-SA"/>
      </w:rPr>
    </w:lvl>
    <w:lvl w:ilvl="1">
      <w:start w:val="1"/>
      <w:numFmt w:val="decimal"/>
      <w:lvlText w:val="%1.%2"/>
      <w:lvlJc w:val="left"/>
      <w:pPr>
        <w:ind w:left="594" w:hanging="375"/>
        <w:jc w:val="left"/>
      </w:pPr>
      <w:rPr>
        <w:rFonts w:hint="default" w:ascii="Times New Roman" w:hAnsi="Times New Roman" w:eastAsia="Times New Roman" w:cs="Times New Roman"/>
        <w:b w:val="0"/>
        <w:bCs w:val="0"/>
        <w:i w:val="0"/>
        <w:iCs w:val="0"/>
        <w:spacing w:val="0"/>
        <w:w w:val="99"/>
        <w:sz w:val="25"/>
        <w:szCs w:val="25"/>
        <w:lang w:val="en-US" w:eastAsia="en-US" w:bidi="ar-SA"/>
      </w:rPr>
    </w:lvl>
    <w:lvl w:ilvl="2">
      <w:start w:val="0"/>
      <w:numFmt w:val="bullet"/>
      <w:lvlText w:val="•"/>
      <w:lvlJc w:val="left"/>
      <w:pPr>
        <w:ind w:left="2544" w:hanging="375"/>
      </w:pPr>
      <w:rPr>
        <w:rFonts w:hint="default"/>
        <w:lang w:val="en-US" w:eastAsia="en-US" w:bidi="ar-SA"/>
      </w:rPr>
    </w:lvl>
    <w:lvl w:ilvl="3">
      <w:start w:val="0"/>
      <w:numFmt w:val="bullet"/>
      <w:lvlText w:val="•"/>
      <w:lvlJc w:val="left"/>
      <w:pPr>
        <w:ind w:left="3516" w:hanging="375"/>
      </w:pPr>
      <w:rPr>
        <w:rFonts w:hint="default"/>
        <w:lang w:val="en-US" w:eastAsia="en-US" w:bidi="ar-SA"/>
      </w:rPr>
    </w:lvl>
    <w:lvl w:ilvl="4">
      <w:start w:val="0"/>
      <w:numFmt w:val="bullet"/>
      <w:lvlText w:val="•"/>
      <w:lvlJc w:val="left"/>
      <w:pPr>
        <w:ind w:left="4488" w:hanging="375"/>
      </w:pPr>
      <w:rPr>
        <w:rFonts w:hint="default"/>
        <w:lang w:val="en-US" w:eastAsia="en-US" w:bidi="ar-SA"/>
      </w:rPr>
    </w:lvl>
    <w:lvl w:ilvl="5">
      <w:start w:val="0"/>
      <w:numFmt w:val="bullet"/>
      <w:lvlText w:val="•"/>
      <w:lvlJc w:val="left"/>
      <w:pPr>
        <w:ind w:left="5460" w:hanging="375"/>
      </w:pPr>
      <w:rPr>
        <w:rFonts w:hint="default"/>
        <w:lang w:val="en-US" w:eastAsia="en-US" w:bidi="ar-SA"/>
      </w:rPr>
    </w:lvl>
    <w:lvl w:ilvl="6">
      <w:start w:val="0"/>
      <w:numFmt w:val="bullet"/>
      <w:lvlText w:val="•"/>
      <w:lvlJc w:val="left"/>
      <w:pPr>
        <w:ind w:left="6432" w:hanging="375"/>
      </w:pPr>
      <w:rPr>
        <w:rFonts w:hint="default"/>
        <w:lang w:val="en-US" w:eastAsia="en-US" w:bidi="ar-SA"/>
      </w:rPr>
    </w:lvl>
    <w:lvl w:ilvl="7">
      <w:start w:val="0"/>
      <w:numFmt w:val="bullet"/>
      <w:lvlText w:val="•"/>
      <w:lvlJc w:val="left"/>
      <w:pPr>
        <w:ind w:left="7404" w:hanging="375"/>
      </w:pPr>
      <w:rPr>
        <w:rFonts w:hint="default"/>
        <w:lang w:val="en-US" w:eastAsia="en-US" w:bidi="ar-SA"/>
      </w:rPr>
    </w:lvl>
    <w:lvl w:ilvl="8">
      <w:start w:val="0"/>
      <w:numFmt w:val="bullet"/>
      <w:lvlText w:val="•"/>
      <w:lvlJc w:val="left"/>
      <w:pPr>
        <w:ind w:left="8376" w:hanging="375"/>
      </w:pPr>
      <w:rPr>
        <w:rFonts w:hint="default"/>
        <w:lang w:val="en-US" w:eastAsia="en-US" w:bidi="ar-SA"/>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576"/>
      <w:ind w:left="282" w:right="804" w:hanging="63"/>
    </w:pPr>
    <w:rPr>
      <w:rFonts w:ascii="Times New Roman" w:hAnsi="Times New Roman" w:eastAsia="Times New Roman" w:cs="Times New Roman"/>
      <w:b/>
      <w:bCs/>
      <w:sz w:val="25"/>
      <w:szCs w:val="25"/>
      <w:lang w:val="en-US" w:eastAsia="en-US" w:bidi="ar-SA"/>
    </w:rPr>
  </w:style>
  <w:style w:styleId="TOC2" w:type="paragraph">
    <w:name w:val="TOC 2"/>
    <w:basedOn w:val="Normal"/>
    <w:uiPriority w:val="1"/>
    <w:qFormat/>
    <w:pPr>
      <w:spacing w:before="574"/>
      <w:ind w:left="220"/>
    </w:pPr>
    <w:rPr>
      <w:rFonts w:ascii="Times New Roman" w:hAnsi="Times New Roman" w:eastAsia="Times New Roman" w:cs="Times New Roman"/>
      <w:b/>
      <w:bCs/>
      <w:sz w:val="25"/>
      <w:szCs w:val="25"/>
      <w:lang w:val="en-US" w:eastAsia="en-US" w:bidi="ar-SA"/>
    </w:rPr>
  </w:style>
  <w:style w:styleId="TOC3" w:type="paragraph">
    <w:name w:val="TOC 3"/>
    <w:basedOn w:val="Normal"/>
    <w:uiPriority w:val="1"/>
    <w:qFormat/>
    <w:pPr>
      <w:spacing w:before="286"/>
      <w:ind w:left="593" w:hanging="373"/>
    </w:pPr>
    <w:rPr>
      <w:rFonts w:ascii="Times New Roman" w:hAnsi="Times New Roman" w:eastAsia="Times New Roman" w:cs="Times New Roman"/>
      <w:sz w:val="25"/>
      <w:szCs w:val="25"/>
      <w:lang w:val="en-US" w:eastAsia="en-US" w:bidi="ar-SA"/>
    </w:rPr>
  </w:style>
  <w:style w:styleId="BodyText" w:type="paragraph">
    <w:name w:val="Body Text"/>
    <w:basedOn w:val="Normal"/>
    <w:uiPriority w:val="1"/>
    <w:qFormat/>
    <w:pPr>
      <w:ind w:left="220"/>
    </w:pPr>
    <w:rPr>
      <w:rFonts w:ascii="Times New Roman" w:hAnsi="Times New Roman" w:eastAsia="Times New Roman" w:cs="Times New Roman"/>
      <w:sz w:val="25"/>
      <w:szCs w:val="25"/>
      <w:lang w:val="en-US" w:eastAsia="en-US" w:bidi="ar-SA"/>
    </w:rPr>
  </w:style>
  <w:style w:styleId="Heading1" w:type="paragraph">
    <w:name w:val="Heading 1"/>
    <w:basedOn w:val="Normal"/>
    <w:uiPriority w:val="1"/>
    <w:qFormat/>
    <w:pPr>
      <w:spacing w:before="60"/>
      <w:ind w:left="170"/>
      <w:jc w:val="center"/>
      <w:outlineLvl w:val="1"/>
    </w:pPr>
    <w:rPr>
      <w:rFonts w:ascii="Times New Roman" w:hAnsi="Times New Roman" w:eastAsia="Times New Roman" w:cs="Times New Roman"/>
      <w:b/>
      <w:bCs/>
      <w:sz w:val="25"/>
      <w:szCs w:val="25"/>
      <w:lang w:val="en-US" w:eastAsia="en-US" w:bidi="ar-SA"/>
    </w:rPr>
  </w:style>
  <w:style w:styleId="Heading2" w:type="paragraph">
    <w:name w:val="Heading 2"/>
    <w:basedOn w:val="Normal"/>
    <w:uiPriority w:val="1"/>
    <w:qFormat/>
    <w:pPr>
      <w:ind w:left="593" w:hanging="373"/>
      <w:outlineLvl w:val="2"/>
    </w:pPr>
    <w:rPr>
      <w:rFonts w:ascii="Times New Roman" w:hAnsi="Times New Roman" w:eastAsia="Times New Roman" w:cs="Times New Roman"/>
      <w:b/>
      <w:bCs/>
      <w:sz w:val="25"/>
      <w:szCs w:val="25"/>
      <w:lang w:val="en-US" w:eastAsia="en-US" w:bidi="ar-SA"/>
    </w:rPr>
  </w:style>
  <w:style w:styleId="ListParagraph" w:type="paragraph">
    <w:name w:val="List Paragraph"/>
    <w:basedOn w:val="Normal"/>
    <w:uiPriority w:val="1"/>
    <w:qFormat/>
    <w:pPr>
      <w:ind w:left="593" w:hanging="373"/>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6" w:line="199" w:lineRule="exact"/>
    </w:pPr>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http://197.255.68.203/handle/123456789/5421" TargetMode="External"/><Relationship Id="rId8" Type="http://schemas.openxmlformats.org/officeDocument/2006/relationships/hyperlink" Target="http://dx.doi.org/10.2139/ssrn.1929045" TargetMode="External"/><Relationship Id="rId9" Type="http://schemas.openxmlformats.org/officeDocument/2006/relationships/hyperlink" Target="http://www.worldbank.org/research/conferences/financial-globalization/FPI" TargetMode="External"/><Relationship Id="rId10" Type="http://schemas.openxmlformats.org/officeDocument/2006/relationships/hyperlink" Target="http://dx.doi.org/10.5018/economics-ejournal.ja.2019-4" TargetMode="External"/><Relationship Id="rId11" Type="http://schemas.openxmlformats.org/officeDocument/2006/relationships/hyperlink" Target="http://unctad.org/en/Publications" TargetMode="Externa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Alhaji</dc:creator>
  <dcterms:created xsi:type="dcterms:W3CDTF">2023-11-14T20:04:48Z</dcterms:created>
  <dcterms:modified xsi:type="dcterms:W3CDTF">2023-11-14T20:04:48Z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2022-01-14T00:00:00Z</vt:filetime>
  </property>
  <property fmtid="{D5CDD505-2E9C-101B-9397-08002B2CF9AE}" pid="3" name="Creator">
    <vt:lpwstr>Microsoft® Word 2019</vt:lpwstr>
  </property>
  <property fmtid="{D5CDD505-2E9C-101B-9397-08002B2CF9AE}" pid="4" name="LastSaved">
    <vt:filetime>2023-11-14T00:00:00Z</vt:filetime>
  </property>
  <property fmtid="{D5CDD505-2E9C-101B-9397-08002B2CF9AE}" pid="5" name="Producer">
    <vt:lpwstr>Microsoft® Word 2019</vt:lpwstr>
  </property>
</Properties>
</file>